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-424" w:leftChars="-202" w:firstLine="360" w:firstLineChars="100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技术参数确认表</w:t>
      </w:r>
    </w:p>
    <w:tbl>
      <w:tblPr>
        <w:tblStyle w:val="5"/>
        <w:tblW w:w="13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170"/>
        <w:gridCol w:w="4238"/>
        <w:gridCol w:w="1147"/>
        <w:gridCol w:w="1945"/>
        <w:gridCol w:w="194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eastAsia="zh-Hans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eastAsia="zh-Hans" w:bidi="zh-CN"/>
              </w:rPr>
              <w:t>药剂科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流式细胞仪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1套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预算金额（</w:t>
            </w: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万</w:t>
            </w:r>
            <w:bookmarkStart w:id="0" w:name="_GoBack"/>
            <w:bookmarkEnd w:id="0"/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元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）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1</w:t>
            </w:r>
            <w:r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473" w:type="dxa"/>
            <w:gridSpan w:val="7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>
            <w:pPr>
              <w:jc w:val="left"/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可对细胞</w:t>
            </w: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eastAsia="zh-CN" w:bidi="zh-CN"/>
              </w:rPr>
              <w:t>部分</w:t>
            </w: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功能进行自动检测分析，是科研中常用仪器。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eastAsia="zh-Hans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eastAsia="zh-Hans" w:bidi="zh-CN"/>
              </w:rPr>
              <w:t>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无特殊要求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 xml:space="preserve">合同签订后 </w:t>
            </w:r>
            <w:r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  <w:t>45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 xml:space="preserve"> 天内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473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4238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val="zh-CN" w:bidi="zh-CN"/>
              </w:rPr>
              <w:t>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参数1</w:t>
            </w:r>
          </w:p>
        </w:tc>
        <w:tc>
          <w:tcPr>
            <w:tcW w:w="4238" w:type="dxa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可同时检测的荧光通道数≥14个，可升级至荧光通道≥18个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bidi="zh-CN"/>
              </w:rPr>
              <w:t>荧光通道颜色数量能够决定开展研究的能力，具备可升级性避免重复购置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bidi="zh-CN"/>
              </w:rPr>
              <w:t>荧光通道数越多越好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仿宋" w:asciiTheme="minorEastAsia" w:hAnsiTheme="minorEastAsia"/>
                <w:kern w:val="0"/>
                <w:szCs w:val="21"/>
                <w:lang w:val="zh-CN" w:bidi="zh-CN"/>
              </w:rPr>
              <w:t>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参数2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采用PMT或SiPM光电倍增管检测器，保证检测结果稳定性和灵敏度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bidi="zh-CN"/>
              </w:rPr>
              <w:t>光电倍增管可以最大限度减少光能量损失，提高检测灵敏度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▲参数3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至少具备独立半导体温控功能的405nm、488nm、640±3nm激光器，可对激光器进行精确的加热和降温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▲参数4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检测灵敏度:FITC≤45MESF,PE≤15MESF,APC≤15MESF;分析速度≥50,000events/s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bidi="zh-CN"/>
              </w:rPr>
              <w:t>灵敏度越小越好，分析速度越快越好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▲</w:t>
            </w:r>
            <w:r>
              <w:rPr>
                <w:rStyle w:val="11"/>
                <w:rFonts w:hAnsi="宋体"/>
                <w:lang w:bidi="ar"/>
              </w:rPr>
              <w:t>参数5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采用注射泵或压力泵上样（非蠕动泵上样），提供更大的驱动力及更稳定的连续液流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参数6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交叉污染：&lt;0.1%；全峰宽变异系数：CV&lt;3%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bidi="zh-CN"/>
              </w:rPr>
              <w:t>系数越小越好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Style w:val="11"/>
                <w:rFonts w:hAnsi="宋体"/>
                <w:lang w:bidi="ar"/>
              </w:rPr>
              <w:t>参数7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检测样品直径：0.11～50</w:t>
            </w:r>
            <w:r>
              <w:rPr>
                <w:rFonts w:ascii="Calibri" w:hAnsi="Calibri" w:cs="Calibri"/>
                <w:color w:val="000000"/>
                <w:szCs w:val="21"/>
              </w:rPr>
              <w:t>μm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参数8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动态范围：10的7.2次方，具有免调/可调电压模式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bidi="zh-CN"/>
              </w:rPr>
              <w:t>动态范围越大越好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Style w:val="11"/>
                <w:rFonts w:hAnsi="宋体"/>
                <w:lang w:bidi="ar"/>
              </w:rPr>
              <w:t>参数9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可插拨式滤光片，支持通道配置更改，滤光片自带智能芯片，确保光路正确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参数10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无需微球绝对计数功能，精度≤±5%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参数11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支持边进样检测样品边分析数据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参数12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具有样本回收模式，针对未采集的样本可以进行回收，珍贵样本不浪费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参数13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可升级自动加样器：兼容40管标准流式管、24孔板、48孔板、96孔板、384孔板上样，安装后自动校准，具有条形码扫描功能，样本混匀速度、时间及加速度可调，撞针后自动修复获取下个样本，样本采集后自动清洗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一键式开关机，全自动液路清洗维护，每个样本做完后机器支持自动清洗管路和进样针的内壁和外壁，全程无需人员参与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参数1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4238" w:type="dxa"/>
            <w:vAlign w:val="center"/>
          </w:tcPr>
          <w:p>
            <w:pPr>
              <w:widowControl/>
              <w:textAlignment w:val="center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/>
                <w:color w:val="000000"/>
                <w:szCs w:val="21"/>
              </w:rPr>
              <w:t>中英文双界面，具有散点图、密度图、直方图、等高线图、热图、统计表格等功能，自带细胞周期、细胞增殖拟合功能，可在线和离线补偿，数字矩阵补偿、快速补偿、自动补偿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514" w:type="dxa"/>
            <w:gridSpan w:val="2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4238" w:type="dxa"/>
            <w:vAlign w:val="center"/>
          </w:tcPr>
          <w:p>
            <w:pPr>
              <w:widowControl/>
              <w:jc w:val="left"/>
              <w:textAlignment w:val="center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widowControl/>
              <w:jc w:val="left"/>
              <w:rPr>
                <w:rFonts w:cs="Arial" w:asciiTheme="minorEastAsia" w:hAnsiTheme="minorEastAsia"/>
                <w:kern w:val="0"/>
                <w:szCs w:val="21"/>
                <w:lang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473" w:type="dxa"/>
            <w:gridSpan w:val="7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eastAsia="zh-Hans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Hans" w:bidi="zh-CN"/>
              </w:rPr>
              <w:t>流式细胞仪主机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eastAsia="zh-Hans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Hans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eastAsia="zh-Hans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Hans" w:bidi="zh-CN"/>
              </w:rPr>
              <w:t>数据处理工作站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eastAsia="zh-Hans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Hans" w:bidi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850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eastAsia="zh-Hans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eastAsia="zh-Hans" w:bidi="zh-CN"/>
              </w:rPr>
              <w:t>清洗液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eastAsia="zh-Hans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Hans" w:bidi="zh-CN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8500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eastAsia="zh-Hans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Hans" w:bidi="zh-CN"/>
              </w:rPr>
              <w:t>冲洗液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3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eastAsia="zh-Hans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eastAsia="zh-Hans" w:bidi="zh-CN"/>
              </w:rPr>
              <w:t>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473" w:type="dxa"/>
            <w:gridSpan w:val="7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14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/>
              </w:rPr>
              <w:t>保修年限</w:t>
            </w:r>
          </w:p>
        </w:tc>
        <w:tc>
          <w:tcPr>
            <w:tcW w:w="10959" w:type="dxa"/>
            <w:gridSpan w:val="5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14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/>
              </w:rPr>
              <w:t>耗材及零配件</w:t>
            </w:r>
          </w:p>
        </w:tc>
        <w:tc>
          <w:tcPr>
            <w:tcW w:w="10959" w:type="dxa"/>
            <w:gridSpan w:val="5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提供耗材及主要零配件目录（含报价）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14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/>
              </w:rPr>
              <w:t>故障响应时间</w:t>
            </w:r>
          </w:p>
        </w:tc>
        <w:tc>
          <w:tcPr>
            <w:tcW w:w="10959" w:type="dxa"/>
            <w:gridSpan w:val="5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维修到达现场时间≤6 小时（本地）；维修到达现场时间≤24 小时（外地）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14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/>
              </w:rPr>
              <w:t>配件供应时间</w:t>
            </w:r>
          </w:p>
        </w:tc>
        <w:tc>
          <w:tcPr>
            <w:tcW w:w="10959" w:type="dxa"/>
            <w:gridSpan w:val="5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≥10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514" w:type="dxa"/>
            <w:gridSpan w:val="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="宋体" w:hAnsi="宋体" w:eastAsia="宋体"/>
              </w:rPr>
              <w:t>维修资料</w:t>
            </w:r>
          </w:p>
        </w:tc>
        <w:tc>
          <w:tcPr>
            <w:tcW w:w="10959" w:type="dxa"/>
            <w:gridSpan w:val="5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提供详细操作手册、维修保养手册、安装手册等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514" w:type="dxa"/>
            <w:gridSpan w:val="2"/>
          </w:tcPr>
          <w:p>
            <w:pPr>
              <w:jc w:val="center"/>
            </w:pPr>
            <w:r>
              <w:rPr>
                <w:rFonts w:hint="eastAsia" w:ascii="Calibri" w:hAnsi="Calibri" w:eastAsia="宋体"/>
              </w:rPr>
              <w:t>升级</w:t>
            </w:r>
          </w:p>
        </w:tc>
        <w:tc>
          <w:tcPr>
            <w:tcW w:w="10959" w:type="dxa"/>
            <w:gridSpan w:val="5"/>
          </w:tcPr>
          <w:p>
            <w:r>
              <w:rPr>
                <w:rFonts w:hint="eastAsia"/>
              </w:rPr>
              <w:t>软件终身免费升级</w:t>
            </w:r>
          </w:p>
        </w:tc>
      </w:tr>
    </w:tbl>
    <w:p>
      <w:pPr>
        <w:spacing w:line="400" w:lineRule="exact"/>
        <w:jc w:val="center"/>
        <w:rPr>
          <w:rFonts w:ascii="宋体" w:hAnsi="宋体" w:eastAsia="宋体" w:cs="宋体"/>
          <w:b/>
          <w:sz w:val="28"/>
          <w:szCs w:val="24"/>
        </w:rPr>
      </w:pPr>
    </w:p>
    <w:p>
      <w:pPr>
        <w:spacing w:line="400" w:lineRule="exact"/>
        <w:jc w:val="center"/>
        <w:rPr>
          <w:rFonts w:ascii="宋体" w:hAnsi="宋体" w:eastAsia="宋体" w:cs="宋体"/>
          <w:b/>
          <w:sz w:val="28"/>
          <w:szCs w:val="24"/>
        </w:rPr>
      </w:pPr>
    </w:p>
    <w:p>
      <w:pPr>
        <w:spacing w:line="400" w:lineRule="exact"/>
        <w:jc w:val="center"/>
        <w:rPr>
          <w:rFonts w:ascii="宋体" w:hAnsi="宋体" w:eastAsia="宋体" w:cs="宋体"/>
          <w:b/>
          <w:sz w:val="28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NzM3NDMzYTlmOWVkYjI4ZjM1YWE4NDZiZWRkMjYifQ=="/>
  </w:docVars>
  <w:rsids>
    <w:rsidRoot w:val="00287E88"/>
    <w:rsid w:val="0009773C"/>
    <w:rsid w:val="000D713F"/>
    <w:rsid w:val="0015692F"/>
    <w:rsid w:val="001605D0"/>
    <w:rsid w:val="001731BF"/>
    <w:rsid w:val="001A02EE"/>
    <w:rsid w:val="001F7587"/>
    <w:rsid w:val="002011AE"/>
    <w:rsid w:val="00220F1B"/>
    <w:rsid w:val="00276018"/>
    <w:rsid w:val="00284A46"/>
    <w:rsid w:val="00287E88"/>
    <w:rsid w:val="00295775"/>
    <w:rsid w:val="002C3735"/>
    <w:rsid w:val="002D397F"/>
    <w:rsid w:val="003179B5"/>
    <w:rsid w:val="00342468"/>
    <w:rsid w:val="00397C31"/>
    <w:rsid w:val="003B4B9F"/>
    <w:rsid w:val="003D03E5"/>
    <w:rsid w:val="003D7FE5"/>
    <w:rsid w:val="003E7CF2"/>
    <w:rsid w:val="003F5EB7"/>
    <w:rsid w:val="00414DA8"/>
    <w:rsid w:val="004300A5"/>
    <w:rsid w:val="004701B0"/>
    <w:rsid w:val="004727EF"/>
    <w:rsid w:val="004C7548"/>
    <w:rsid w:val="004F1657"/>
    <w:rsid w:val="00502F7E"/>
    <w:rsid w:val="00513DE8"/>
    <w:rsid w:val="0051542D"/>
    <w:rsid w:val="00535B74"/>
    <w:rsid w:val="00540CDC"/>
    <w:rsid w:val="005511F9"/>
    <w:rsid w:val="0055545C"/>
    <w:rsid w:val="005715F3"/>
    <w:rsid w:val="00586ECF"/>
    <w:rsid w:val="005C14EB"/>
    <w:rsid w:val="00610AC8"/>
    <w:rsid w:val="006236AA"/>
    <w:rsid w:val="0063308A"/>
    <w:rsid w:val="006365FB"/>
    <w:rsid w:val="00650D7C"/>
    <w:rsid w:val="00667E9D"/>
    <w:rsid w:val="00683086"/>
    <w:rsid w:val="007229DE"/>
    <w:rsid w:val="00733487"/>
    <w:rsid w:val="00782665"/>
    <w:rsid w:val="007911A0"/>
    <w:rsid w:val="007A6425"/>
    <w:rsid w:val="007E09AA"/>
    <w:rsid w:val="007E6BDB"/>
    <w:rsid w:val="008232ED"/>
    <w:rsid w:val="00883914"/>
    <w:rsid w:val="008D0806"/>
    <w:rsid w:val="00940449"/>
    <w:rsid w:val="00967CFD"/>
    <w:rsid w:val="009D54EE"/>
    <w:rsid w:val="009E3AD4"/>
    <w:rsid w:val="00A02FB3"/>
    <w:rsid w:val="00A04E4B"/>
    <w:rsid w:val="00A21F39"/>
    <w:rsid w:val="00AE098A"/>
    <w:rsid w:val="00AF476C"/>
    <w:rsid w:val="00B032A0"/>
    <w:rsid w:val="00B17B07"/>
    <w:rsid w:val="00B83237"/>
    <w:rsid w:val="00BC0D37"/>
    <w:rsid w:val="00BF319F"/>
    <w:rsid w:val="00C06A9E"/>
    <w:rsid w:val="00C450B3"/>
    <w:rsid w:val="00C84B2B"/>
    <w:rsid w:val="00C9743C"/>
    <w:rsid w:val="00CD0533"/>
    <w:rsid w:val="00CF25DF"/>
    <w:rsid w:val="00D06911"/>
    <w:rsid w:val="00D25DC5"/>
    <w:rsid w:val="00D5378C"/>
    <w:rsid w:val="00D55984"/>
    <w:rsid w:val="00D6683E"/>
    <w:rsid w:val="00DD5625"/>
    <w:rsid w:val="00DE1ECC"/>
    <w:rsid w:val="00DE74BF"/>
    <w:rsid w:val="00E24F1C"/>
    <w:rsid w:val="00E257E5"/>
    <w:rsid w:val="00E305E7"/>
    <w:rsid w:val="00EC12BF"/>
    <w:rsid w:val="00ED7339"/>
    <w:rsid w:val="00ED7A9F"/>
    <w:rsid w:val="00FB10FE"/>
    <w:rsid w:val="00FC7F1F"/>
    <w:rsid w:val="00FF4EA4"/>
    <w:rsid w:val="049A1C0C"/>
    <w:rsid w:val="2EC94D7F"/>
    <w:rsid w:val="491947D1"/>
    <w:rsid w:val="589F0DDA"/>
    <w:rsid w:val="5C7C26B8"/>
    <w:rsid w:val="5FCC11C8"/>
    <w:rsid w:val="69F56D29"/>
    <w:rsid w:val="71E732BF"/>
    <w:rsid w:val="724A54B2"/>
    <w:rsid w:val="793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1"/>
    <w:qFormat/>
    <w:uiPriority w:val="99"/>
    <w:pPr>
      <w:spacing w:after="120" w:line="275" w:lineRule="atLeast"/>
      <w:ind w:firstLine="420"/>
      <w:textAlignment w:val="baseline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font31"/>
    <w:basedOn w:val="7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1">
    <w:name w:val="font21"/>
    <w:basedOn w:val="7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4717-7812-4418-8901-AB020502F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197</Words>
  <Characters>1124</Characters>
  <Lines>9</Lines>
  <Paragraphs>2</Paragraphs>
  <TotalTime>0</TotalTime>
  <ScaleCrop>false</ScaleCrop>
  <LinksUpToDate>false</LinksUpToDate>
  <CharactersWithSpaces>1319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2024-04-16T00:56:00Z</dcterms:created>
  <dc:creator>Administrator</dc:creator>
  <cp:lastModifiedBy>WPS_1528213740</cp:lastModifiedBy>
  <cp:lastPrinted>2021-11-19T03:48:00Z</cp:lastPrinted>
  <dcterms:modified xsi:type="dcterms:W3CDTF">2024-04-16T01:03:47Z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91732374A21F420E83F163A768431E6A</vt:lpwstr>
  </property>
</Properties>
</file>