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技术参数确认表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：护士鞋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供货周期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、主要技术参数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（一）主要技术参数</w:t>
      </w:r>
    </w:p>
    <w:tbl>
      <w:tblPr>
        <w:tblStyle w:val="4"/>
        <w:tblW w:w="963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041"/>
        <w:gridCol w:w="3118"/>
        <w:gridCol w:w="379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材质鉴别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38408-2019《皮革 材质鉴别 显微镜法》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鞋面：头层牛皮革；内里、鞋垫：猪皮革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鞋面厚度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2709-2005《皮革 物理和机械试验 厚度的测定》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鞋面牛皮厚度：1.5mm（±0.2）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鞋面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1.鞋面白色，采用优质纳帕白色光面小牛软皮。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2.鞋面内侧有透气排气小孔，长期穿着后无折痕，坚固耐用。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3.鞋口后跟有海绵口，易穿着，保护后脚跟。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鞋底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采用超轻EVA材质，前部加高弹EVC胶，减小脚部整体压力，前掌与后跟均有橡胶底片双向防滑。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鞋垫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两穿活动鞋垫方便取出晾晒，U型足弓承托。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女式34-43码，男式38-46码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鞋跟高度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3.5cm（±0.5）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外观质量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QB/T2955-2017《休闲鞋》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GB/T3903.5《鞋类 整鞋试验方法 感官质量》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符合QB/T2955-2017中5.2条感官质量要求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GB20400-2006《皮革和毛皮 有害物质限量》 B类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≤75mg/kg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异味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QB/T2955-2017《休闲鞋》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可分解致癌芳香胺染料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GB20400-2006《皮革和毛皮 有害物质限量》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≤30mg/kg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衬里和内垫摩擦色牢度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QB/T2955-2017《休闲鞋》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沾色≥2-3级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耐黄变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4330-2023《庭院鞋》、QB/T 2956-2017《鞋类外底》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HG/T3689-2014《鞋类耐黄变试验方法》A法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外底耐磨性能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QB/T2955-2017《休闲鞋》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磨痕长度≤14.0mm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耐折性能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QB/T2955-2017《休闲鞋》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折后割口裂口长度不应大于20.0mm,折后出现新裂纹不应超过3处且单个裂纹长度不应大于5.0mm。同时折后不应出现帮面裂浆、裂面，底墙、帮底或鞋底开胶长度不应大于5.0mm。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鞋底不应出现涂色脱落。沿条处不应出现裂纹。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静态防滑性能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3903.6-2017《鞋类 整鞋试验方法 防滑性能》（陶瓷砖、水平模式、三级水）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干态动摩擦系数：≥0.80；湿态动摩擦系数：≥0.30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投标时需提供经CMA和CNAS认证的检测报告，检测报告至少需包含材质鉴别、外观质量、甲醛、异味、可分解致癌芳香胺染料、衬里和内垫摩擦色牢度、耐黄变、外底耐磨性能、耐折性能、静态防滑性能等指标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注：以下采购人统称为甲方，投标人和中标人统称为乙方。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（二）样品款式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ge">
                    <wp:posOffset>281305</wp:posOffset>
                  </wp:positionV>
                  <wp:extent cx="2207895" cy="2182495"/>
                  <wp:effectExtent l="0" t="0" r="1905" b="8255"/>
                  <wp:wrapTopAndBottom/>
                  <wp:docPr id="5" name="图片 5" descr="2cfcd45770e280103e7d511d3435c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cfcd45770e280103e7d511d3435c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895" cy="218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288925</wp:posOffset>
                  </wp:positionV>
                  <wp:extent cx="2461260" cy="2162810"/>
                  <wp:effectExtent l="0" t="0" r="15240" b="8890"/>
                  <wp:wrapTopAndBottom/>
                  <wp:docPr id="6" name="图片 6" descr="943daca615553b03fbf556c416f7f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43daca615553b03fbf556c416f7f2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260" cy="216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vertAlign w:val="baseline"/>
                <w:lang w:eastAsia="zh-CN"/>
              </w:rPr>
              <w:t>女护士鞋</w:t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vertAlign w:val="baseline"/>
                <w:lang w:eastAsia="zh-CN"/>
              </w:rPr>
              <w:t>男护士鞋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（三）样品</w:t>
      </w:r>
      <w:r>
        <w:rPr>
          <w:rFonts w:hint="eastAsia" w:ascii="楷体_GB2312" w:hAnsi="楷体_GB2312" w:eastAsia="楷体_GB2312" w:cs="楷体_GB2312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1.投标时需提供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女式37码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护士鞋</w:t>
      </w:r>
      <w:r>
        <w:rPr>
          <w:rFonts w:hint="eastAsia" w:ascii="仿宋_GB2312" w:hAnsi="仿宋_GB2312" w:eastAsia="仿宋_GB2312" w:cs="仿宋_GB2312"/>
          <w:sz w:val="32"/>
          <w:szCs w:val="32"/>
        </w:rPr>
        <w:t>一双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提供参考样品，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乙方所提供样品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甲方参考样品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实物款式基本一致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可参看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甲方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样品，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样品查看时间待定，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023-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687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55347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以上样品主要作为款式等要素参</w:t>
      </w:r>
      <w:r>
        <w:rPr>
          <w:rFonts w:hint="eastAsia" w:ascii="仿宋_GB2312" w:hAnsi="仿宋_GB2312" w:eastAsia="仿宋_GB2312" w:cs="仿宋_GB2312"/>
          <w:sz w:val="32"/>
          <w:szCs w:val="32"/>
        </w:rPr>
        <w:t>考标准，最终标准按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不改变主要参数前提下确定。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服务需求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（一）交货时间、地点和方式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交货时间：自合同生效起，乙方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自甲方下达订单</w:t>
      </w:r>
      <w:r>
        <w:rPr>
          <w:rFonts w:hint="eastAsia" w:ascii="仿宋_GB2312" w:hAnsi="仿宋_GB2312" w:eastAsia="仿宋_GB2312" w:cs="仿宋_GB2312"/>
          <w:sz w:val="32"/>
          <w:szCs w:val="32"/>
        </w:rPr>
        <w:t>之日起20个日历日内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交货，送采购人指定地址。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交货地点：重庆市（甲方需求科室指定地点）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交货方式：每双护士鞋应按甲方要求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独立包装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。每批次送货时，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乙方需派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业务员</w:t>
      </w:r>
      <w:r>
        <w:rPr>
          <w:rFonts w:hint="eastAsia" w:ascii="仿宋_GB2312" w:hAnsi="仿宋_GB2312" w:eastAsia="仿宋_GB2312" w:cs="仿宋_GB2312"/>
          <w:sz w:val="32"/>
          <w:szCs w:val="32"/>
        </w:rPr>
        <w:t>随行货物运送至甲方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需求科室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指定地点，并配合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上架及分发工作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（二）验收要求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必须具有完整配送及售后服务体系，满足科室需求及时供货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必须保证一次性通过使用单位验收合格，若验收不合格的，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有权要求换货或退货，产生的费用由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全额承担。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2.产品质量、安全验收严格按照国家标准或行业技术规范执行，依据招（投）标文件中要求的功能、性能、技术指标以及合同有关技术、商务约定、系统配置清单验收。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3.产品交付后，需求科室组织相关人员依据上述要求进行形式验收及应用质量、安全验收。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4.产品交付后，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将抽查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供货物，并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送专业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质检部门检测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参数质量，检测费用由乙方承担。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5.乙方所提供的货物要采用国家或行业规定的标准进行包装，并符合甲方实际需求，每件包装箱内附一份详细装箱清单和质量检验合格证，包装物由乙方免费提供。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产品质量保证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应明确承诺：其投标产品质量保证期达到三个月。三个月内出现质量问题，免费更换新品。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投标产品属于国家规定“三包”范围的，其产品质量保证期不得低于“三包”规定。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的质量保证期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承诺优于国家“三包”规定的，按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实际承诺执行。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投标产品由制造商（指产品生产制造商，或其负责销售、售后服务机构，以下同）负责标准售后服务的，应当在投标文件中予以明确说明,并附制造商售后服务承诺。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产品出厂验收不合格，甲方有权拒收货物和解除采购合同，由此造成的损失，由乙方承担。出厂验收过程中，乙方可有1次整改机会。若整改后二次验收仍未通过的，甲方有权取消或解除采购合同，由此造成的损失，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产品交付后，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甲方有权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抽查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供货物，并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送专业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质检部门检测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参数质量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，乙方应予以配合。如发现乙方所供货物未达到合同参数要求标准的，按履约保证金的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10%进行处罚，并无条件更换，甲方已发放使用的未达标货物不再退还，乙方需另外交付同等数量合格货物。对甲方造成实际损失的，由乙方承担一切责任，并赔偿所造成的全部损失。乙方应根据甲方要求立即整改，未立即整改到位、影响甲方正常使用的，另外扣除履约保证金的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甲方在产品使用过程中，发现产品性能指标未达到要求或不符合国家行业技术规范的，或在质量保证期内出现质量问题的，甲方有权要求换货或退货，并按该批次产品合同金额的2倍进行处罚，自应付货款中扣除，乙方须按照甲方明确的整改期限（不超过1个月）进行整改。更换后的产品应从更换之日起重新计算质保期；若为退货，乙方必须无条件退回所收甲方全部货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售后服务内容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在质量保证期内应当为采购人提供以下免费技术支持和服务：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①电话咨询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应当为采购人提供技术援助电话，解答采购人在使用中遇到的问题，及时为采购人提出解决问题的建议。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②现场响应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采购人遇到使用及技术问题，电话咨询不能解决的，应在3小时内到达现场进行处理，确保产品正常工作；无法在4小时内解决的，应在24小时内提供备用产品，使采购人能够正常使用。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履约保证金：履约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20000元（贰万元整）人民币，乙方以银行转账的方式缴纳，合同签订时乙方须出具缴纳凭证，供货期满且最后一批产品质保期满后，凭乙方提供的由甲方单位财务部门开具的收费单据原件，一次性、无息、原渠道退还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的订单数量供货，根据实际供货数量及金额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提供正规发票，经甲方主管部门审核完成后分批次结算，以银行转账的方式进行支付。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支付本合同期内的金额以实际需求订单数量为准。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.因政策或市场变化，如遇市场价格下调波动或产品停产等情况，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有义务及时将变动情况书面报告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职能部门，经双方协商后，按照新价格执行。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六、知识产权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乙方应保证甲方在使用货物和服务时不受第三方提出侵犯其专利权、商标权和工业设计权的起诉，甲方不承担任何连带责任和赔偿责任。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5" w:type="first"/>
      <w:headerReference r:id="rId3" w:type="default"/>
      <w:footerReference r:id="rId4" w:type="default"/>
      <w:pgSz w:w="11907" w:h="16840"/>
      <w:pgMar w:top="1247" w:right="1191" w:bottom="1247" w:left="1361" w:header="851" w:footer="907" w:gutter="284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D6305"/>
    <w:rsid w:val="4BEE44AA"/>
    <w:rsid w:val="5880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2024-08-01T03:16:00Z</dcterms:created>
  <dc:creator>ywc35</dc:creator>
  <cp:lastModifiedBy>ywc35</cp:lastModifiedBy>
  <dcterms:modified xsi:type="dcterms:W3CDTF">2024-08-01T07:28:30Z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