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sz w:val="32"/>
          <w:szCs w:val="32"/>
          <w:lang w:eastAsia="zh-CN"/>
        </w:rPr>
      </w:pPr>
      <w:r>
        <w:rPr>
          <w:rFonts w:hint="eastAsia" w:ascii="黑体" w:hAnsi="黑体" w:eastAsia="黑体" w:cs="黑体"/>
          <w:sz w:val="32"/>
          <w:szCs w:val="32"/>
          <w:lang w:eastAsia="zh-CN"/>
        </w:rPr>
        <w:t>一、技术要求</w:t>
      </w:r>
    </w:p>
    <w:tbl>
      <w:tblPr>
        <w:tblStyle w:val="10"/>
        <w:tblpPr w:leftFromText="180" w:rightFromText="180" w:vertAnchor="text" w:tblpXSpec="center" w:tblpY="1"/>
        <w:tblOverlap w:val="never"/>
        <w:tblW w:w="14602" w:type="dxa"/>
        <w:jc w:val="center"/>
        <w:tblLayout w:type="fixed"/>
        <w:tblCellMar>
          <w:top w:w="0" w:type="dxa"/>
          <w:left w:w="108" w:type="dxa"/>
          <w:bottom w:w="0" w:type="dxa"/>
          <w:right w:w="108" w:type="dxa"/>
        </w:tblCellMar>
      </w:tblPr>
      <w:tblGrid>
        <w:gridCol w:w="794"/>
        <w:gridCol w:w="1531"/>
        <w:gridCol w:w="5102"/>
        <w:gridCol w:w="1304"/>
        <w:gridCol w:w="1077"/>
        <w:gridCol w:w="1077"/>
        <w:gridCol w:w="1077"/>
        <w:gridCol w:w="2640"/>
      </w:tblGrid>
      <w:tr>
        <w:tblPrEx>
          <w:tblCellMar>
            <w:top w:w="0" w:type="dxa"/>
            <w:left w:w="108" w:type="dxa"/>
            <w:bottom w:w="0" w:type="dxa"/>
            <w:right w:w="108" w:type="dxa"/>
          </w:tblCellMar>
        </w:tblPrEx>
        <w:trPr>
          <w:trHeight w:val="756" w:hRule="atLeast"/>
          <w:jc w:val="center"/>
        </w:trPr>
        <w:tc>
          <w:tcPr>
            <w:tcW w:w="794"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Times New Roman"/>
                <w:kern w:val="0"/>
                <w:szCs w:val="21"/>
              </w:rPr>
            </w:pPr>
            <w:r>
              <w:rPr>
                <w:rFonts w:hint="eastAsia" w:ascii="宋体" w:hAnsi="宋体" w:eastAsia="宋体" w:cs="Times New Roman"/>
                <w:kern w:val="0"/>
                <w:szCs w:val="21"/>
              </w:rPr>
              <w:t>序号</w:t>
            </w:r>
          </w:p>
        </w:tc>
        <w:tc>
          <w:tcPr>
            <w:tcW w:w="1531"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宋体" w:hAnsi="宋体" w:eastAsia="宋体" w:cs="Times New Roman"/>
                <w:kern w:val="0"/>
                <w:szCs w:val="21"/>
              </w:rPr>
            </w:pPr>
            <w:r>
              <w:rPr>
                <w:rFonts w:hint="eastAsia" w:ascii="宋体" w:hAnsi="宋体" w:eastAsia="宋体" w:cs="Times New Roman"/>
                <w:kern w:val="0"/>
                <w:szCs w:val="21"/>
              </w:rPr>
              <w:t>品名</w:t>
            </w:r>
          </w:p>
        </w:tc>
        <w:tc>
          <w:tcPr>
            <w:tcW w:w="5102"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宋体" w:hAnsi="宋体" w:eastAsia="宋体" w:cs="Times New Roman"/>
                <w:kern w:val="0"/>
                <w:szCs w:val="21"/>
              </w:rPr>
            </w:pPr>
            <w:r>
              <w:rPr>
                <w:rFonts w:hint="eastAsia" w:ascii="宋体" w:hAnsi="宋体" w:eastAsia="宋体" w:cs="Times New Roman"/>
                <w:kern w:val="0"/>
                <w:szCs w:val="21"/>
              </w:rPr>
              <w:t>面料参数</w:t>
            </w:r>
          </w:p>
        </w:tc>
        <w:tc>
          <w:tcPr>
            <w:tcW w:w="1304"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宋体" w:hAnsi="宋体" w:eastAsia="宋体" w:cs="Times New Roman"/>
                <w:kern w:val="0"/>
                <w:szCs w:val="21"/>
              </w:rPr>
            </w:pPr>
            <w:r>
              <w:rPr>
                <w:rFonts w:hint="eastAsia" w:ascii="宋体" w:hAnsi="宋体" w:eastAsia="宋体" w:cs="Times New Roman"/>
                <w:kern w:val="0"/>
                <w:szCs w:val="21"/>
              </w:rPr>
              <w:t>颜色</w:t>
            </w:r>
          </w:p>
        </w:tc>
        <w:tc>
          <w:tcPr>
            <w:tcW w:w="1077" w:type="dxa"/>
            <w:tcBorders>
              <w:top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Times New Roman" w:hAnsi="Times New Roman" w:eastAsia="宋体" w:cs="Times New Roman"/>
                <w:kern w:val="0"/>
                <w:sz w:val="20"/>
                <w:szCs w:val="21"/>
                <w:lang w:eastAsia="zh-CN"/>
              </w:rPr>
            </w:pPr>
            <w:r>
              <w:rPr>
                <w:rFonts w:hint="eastAsia" w:ascii="Times New Roman" w:hAnsi="Times New Roman" w:eastAsia="宋体" w:cs="Times New Roman"/>
                <w:kern w:val="0"/>
                <w:sz w:val="20"/>
                <w:szCs w:val="21"/>
                <w:lang w:eastAsia="zh-CN"/>
              </w:rPr>
              <w:t>单位</w:t>
            </w:r>
          </w:p>
        </w:tc>
        <w:tc>
          <w:tcPr>
            <w:tcW w:w="1077" w:type="dxa"/>
            <w:tcBorders>
              <w:top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Times New Roman" w:hAnsi="Times New Roman" w:eastAsia="宋体" w:cs="Times New Roman"/>
                <w:kern w:val="0"/>
                <w:sz w:val="20"/>
                <w:szCs w:val="21"/>
                <w:lang w:eastAsia="zh-CN"/>
              </w:rPr>
            </w:pPr>
            <w:r>
              <w:rPr>
                <w:rFonts w:hint="eastAsia" w:ascii="Times New Roman" w:hAnsi="Times New Roman" w:eastAsia="宋体" w:cs="Times New Roman"/>
                <w:kern w:val="0"/>
                <w:sz w:val="20"/>
                <w:szCs w:val="21"/>
                <w:lang w:eastAsia="zh-CN"/>
              </w:rPr>
              <w:t>单价限价</w:t>
            </w:r>
          </w:p>
        </w:tc>
        <w:tc>
          <w:tcPr>
            <w:tcW w:w="1077" w:type="dxa"/>
            <w:tcBorders>
              <w:top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Times New Roman" w:hAnsi="Times New Roman" w:eastAsia="宋体" w:cs="Times New Roman"/>
                <w:kern w:val="0"/>
                <w:sz w:val="20"/>
                <w:szCs w:val="21"/>
                <w:lang w:eastAsia="zh-CN"/>
              </w:rPr>
            </w:pPr>
            <w:r>
              <w:rPr>
                <w:rFonts w:hint="eastAsia" w:ascii="Times New Roman" w:hAnsi="Times New Roman" w:eastAsia="宋体" w:cs="Times New Roman"/>
                <w:kern w:val="0"/>
                <w:sz w:val="20"/>
                <w:szCs w:val="21"/>
                <w:highlight w:val="none"/>
                <w:lang w:eastAsia="zh-CN"/>
              </w:rPr>
              <w:t>年预计需求量（米）</w:t>
            </w:r>
          </w:p>
        </w:tc>
        <w:tc>
          <w:tcPr>
            <w:tcW w:w="2640" w:type="dxa"/>
            <w:tcBorders>
              <w:top w:val="single" w:color="auto" w:sz="4" w:space="0"/>
              <w:bottom w:val="single" w:color="auto" w:sz="4" w:space="0"/>
              <w:right w:val="single" w:color="auto" w:sz="4" w:space="0"/>
            </w:tcBorders>
            <w:shd w:val="clear" w:color="auto" w:fill="auto"/>
            <w:vAlign w:val="center"/>
          </w:tcPr>
          <w:p>
            <w:pPr>
              <w:widowControl/>
              <w:ind w:firstLine="1100" w:firstLineChars="550"/>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面料图片</w:t>
            </w:r>
          </w:p>
        </w:tc>
      </w:tr>
      <w:tr>
        <w:tblPrEx>
          <w:tblCellMar>
            <w:top w:w="0" w:type="dxa"/>
            <w:left w:w="108" w:type="dxa"/>
            <w:bottom w:w="0" w:type="dxa"/>
            <w:right w:w="108" w:type="dxa"/>
          </w:tblCellMar>
        </w:tblPrEx>
        <w:trPr>
          <w:trHeight w:val="5506" w:hRule="atLeast"/>
          <w:jc w:val="center"/>
        </w:trPr>
        <w:tc>
          <w:tcPr>
            <w:tcW w:w="794"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Times New Roman"/>
                <w:color w:val="000000"/>
                <w:kern w:val="0"/>
                <w:szCs w:val="21"/>
              </w:rPr>
            </w:pPr>
            <w:r>
              <w:rPr>
                <w:rFonts w:hint="eastAsia" w:ascii="宋体" w:hAnsi="宋体" w:eastAsia="宋体" w:cs="Times New Roman"/>
                <w:color w:val="000000"/>
                <w:kern w:val="0"/>
                <w:szCs w:val="21"/>
              </w:rPr>
              <w:t>1</w:t>
            </w:r>
          </w:p>
        </w:tc>
        <w:tc>
          <w:tcPr>
            <w:tcW w:w="153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Times New Roman"/>
                <w:color w:val="000000"/>
                <w:kern w:val="0"/>
                <w:szCs w:val="21"/>
              </w:rPr>
            </w:pPr>
            <w:r>
              <w:rPr>
                <w:rFonts w:hint="eastAsia" w:ascii="宋体" w:hAnsi="宋体" w:eastAsia="宋体" w:cs="Times New Roman"/>
                <w:color w:val="000000"/>
                <w:kern w:val="0"/>
                <w:sz w:val="20"/>
                <w:szCs w:val="20"/>
              </w:rPr>
              <w:t>医用隔帘</w:t>
            </w:r>
          </w:p>
        </w:tc>
        <w:tc>
          <w:tcPr>
            <w:tcW w:w="5102" w:type="dxa"/>
            <w:tcBorders>
              <w:top w:val="single" w:color="auto" w:sz="4" w:space="0"/>
              <w:left w:val="nil"/>
              <w:bottom w:val="single" w:color="auto" w:sz="4" w:space="0"/>
              <w:right w:val="single" w:color="auto" w:sz="4" w:space="0"/>
            </w:tcBorders>
            <w:shd w:val="clear" w:color="auto" w:fill="auto"/>
            <w:noWrap/>
          </w:tcPr>
          <w:p>
            <w:pPr>
              <w:widowControl/>
              <w:spacing w:line="300" w:lineRule="exac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1、面料成份：100%</w:t>
            </w:r>
            <w:r>
              <w:rPr>
                <w:rFonts w:hint="eastAsia" w:ascii="宋体" w:hAnsi="宋体" w:eastAsia="宋体" w:cs="宋体"/>
                <w:color w:val="000000"/>
                <w:kern w:val="0"/>
                <w:sz w:val="21"/>
                <w:szCs w:val="21"/>
                <w:lang w:eastAsia="zh-CN"/>
              </w:rPr>
              <w:t>聚酯纤维</w:t>
            </w:r>
          </w:p>
          <w:p>
            <w:pPr>
              <w:widowControl/>
              <w:spacing w:line="300" w:lineRule="exact"/>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rPr>
              <w:t>2、克重</w:t>
            </w:r>
            <w:r>
              <w:rPr>
                <w:rFonts w:hint="eastAsia" w:ascii="宋体" w:hAnsi="宋体" w:eastAsia="宋体" w:cs="宋体"/>
                <w:color w:val="000000"/>
                <w:kern w:val="0"/>
                <w:sz w:val="21"/>
                <w:szCs w:val="21"/>
                <w:lang w:eastAsia="zh-CN"/>
              </w:rPr>
              <w:t>（</w:t>
            </w:r>
            <w:r>
              <w:rPr>
                <w:rFonts w:hint="eastAsia" w:ascii="宋体" w:hAnsi="宋体" w:eastAsia="宋体" w:cs="宋体"/>
                <w:color w:val="000000"/>
                <w:kern w:val="0"/>
                <w:sz w:val="21"/>
                <w:szCs w:val="21"/>
                <w:lang w:val="en-US" w:eastAsia="zh-CN"/>
              </w:rPr>
              <w:t>g</w:t>
            </w:r>
            <w:r>
              <w:rPr>
                <w:rFonts w:hint="eastAsia" w:ascii="宋体" w:hAnsi="宋体" w:eastAsia="宋体" w:cs="宋体"/>
                <w:color w:val="000000"/>
                <w:kern w:val="0"/>
                <w:sz w:val="21"/>
                <w:szCs w:val="21"/>
              </w:rPr>
              <w:t>/</w:t>
            </w:r>
            <w:r>
              <w:rPr>
                <w:rFonts w:hint="eastAsia" w:ascii="宋体" w:hAnsi="宋体" w:eastAsia="宋体" w:cs="宋体"/>
                <w:color w:val="000000"/>
                <w:kern w:val="0"/>
                <w:sz w:val="21"/>
                <w:szCs w:val="21"/>
                <w:lang w:eastAsia="zh-CN"/>
              </w:rPr>
              <w:t>㎡）</w:t>
            </w:r>
            <w:r>
              <w:rPr>
                <w:rFonts w:hint="eastAsia" w:ascii="宋体" w:hAnsi="宋体" w:eastAsia="宋体" w:cs="宋体"/>
                <w:color w:val="000000"/>
                <w:kern w:val="0"/>
                <w:sz w:val="21"/>
                <w:szCs w:val="21"/>
              </w:rPr>
              <w:t>：</w:t>
            </w:r>
            <w:r>
              <w:rPr>
                <w:rFonts w:hint="eastAsia" w:ascii="宋体" w:hAnsi="宋体" w:eastAsia="宋体" w:cs="宋体"/>
                <w:color w:val="000000"/>
                <w:kern w:val="0"/>
                <w:sz w:val="21"/>
                <w:szCs w:val="21"/>
                <w:lang w:eastAsia="zh-CN"/>
              </w:rPr>
              <w:t>≥</w:t>
            </w:r>
            <w:r>
              <w:rPr>
                <w:rFonts w:hint="eastAsia" w:ascii="宋体" w:hAnsi="宋体" w:eastAsia="宋体" w:cs="宋体"/>
                <w:color w:val="000000"/>
                <w:kern w:val="0"/>
                <w:sz w:val="21"/>
                <w:szCs w:val="21"/>
                <w:lang w:val="en-US" w:eastAsia="zh-CN"/>
              </w:rPr>
              <w:t>250</w:t>
            </w:r>
          </w:p>
          <w:p>
            <w:pPr>
              <w:widowControl/>
              <w:spacing w:line="300" w:lineRule="exact"/>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3、厚度（mm）≥0.7</w:t>
            </w:r>
          </w:p>
          <w:p>
            <w:pPr>
              <w:widowControl/>
              <w:spacing w:line="300" w:lineRule="exac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rPr>
              <w:t>4、网眼密度（孔/5cm）：直向≥8 横向≥4</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lang w:val="en-US" w:eastAsia="zh-CN"/>
              </w:rPr>
              <w:t>5</w:t>
            </w:r>
            <w:r>
              <w:rPr>
                <w:rFonts w:hint="eastAsia" w:ascii="宋体" w:hAnsi="宋体" w:eastAsia="宋体" w:cs="宋体"/>
                <w:color w:val="000000"/>
                <w:kern w:val="0"/>
                <w:sz w:val="21"/>
                <w:szCs w:val="21"/>
              </w:rPr>
              <w:t>、</w:t>
            </w:r>
            <w:r>
              <w:rPr>
                <w:rFonts w:hint="eastAsia" w:ascii="宋体" w:hAnsi="宋体" w:eastAsia="宋体" w:cs="宋体"/>
                <w:color w:val="000000"/>
                <w:kern w:val="0"/>
                <w:sz w:val="21"/>
                <w:szCs w:val="21"/>
                <w:lang w:val="en-US" w:eastAsia="zh-CN"/>
              </w:rPr>
              <w:t>符合GB 18401-2010（B类）《国家纺织品基本安全技术规范》检测要求（包含但不限于甲醛、PH值、异味、可分解致癌芳香胺染料）</w:t>
            </w:r>
          </w:p>
          <w:p>
            <w:pPr>
              <w:widowControl/>
              <w:spacing w:line="300" w:lineRule="exact"/>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6、</w:t>
            </w:r>
            <w:r>
              <w:rPr>
                <w:rFonts w:hint="eastAsia" w:ascii="宋体" w:hAnsi="宋体" w:eastAsia="宋体" w:cs="宋体"/>
                <w:color w:val="000000"/>
                <w:kern w:val="0"/>
                <w:sz w:val="21"/>
                <w:szCs w:val="21"/>
                <w:lang w:eastAsia="zh-CN"/>
              </w:rPr>
              <w:t>水洗尺寸变化率（</w:t>
            </w:r>
            <w:r>
              <w:rPr>
                <w:rFonts w:hint="eastAsia" w:ascii="宋体" w:hAnsi="宋体" w:eastAsia="宋体" w:cs="宋体"/>
                <w:color w:val="000000"/>
                <w:kern w:val="0"/>
                <w:sz w:val="21"/>
                <w:szCs w:val="21"/>
                <w:lang w:val="en-US" w:eastAsia="zh-CN"/>
              </w:rPr>
              <w:t>%</w:t>
            </w:r>
            <w:r>
              <w:rPr>
                <w:rFonts w:hint="eastAsia" w:ascii="宋体" w:hAnsi="宋体" w:eastAsia="宋体" w:cs="宋体"/>
                <w:color w:val="000000"/>
                <w:kern w:val="0"/>
                <w:sz w:val="21"/>
                <w:szCs w:val="21"/>
                <w:lang w:eastAsia="zh-CN"/>
              </w:rPr>
              <w:t>）：</w:t>
            </w:r>
            <w:r>
              <w:rPr>
                <w:rFonts w:hint="eastAsia" w:ascii="宋体" w:hAnsi="宋体" w:eastAsia="宋体" w:cs="宋体"/>
                <w:color w:val="000000"/>
                <w:kern w:val="0"/>
                <w:sz w:val="21"/>
                <w:szCs w:val="21"/>
                <w:lang w:val="en-US" w:eastAsia="zh-CN"/>
              </w:rPr>
              <w:t>-3.0%～3.0%</w:t>
            </w:r>
          </w:p>
          <w:p>
            <w:pPr>
              <w:widowControl/>
              <w:spacing w:line="300" w:lineRule="exac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rPr>
              <w:t>7、</w:t>
            </w:r>
            <w:r>
              <w:rPr>
                <w:rFonts w:hint="eastAsia" w:ascii="宋体" w:hAnsi="宋体" w:eastAsia="宋体" w:cs="宋体"/>
                <w:color w:val="000000"/>
                <w:kern w:val="0"/>
                <w:sz w:val="21"/>
                <w:szCs w:val="21"/>
              </w:rPr>
              <w:t>耐光色牢度≥</w:t>
            </w:r>
            <w:r>
              <w:rPr>
                <w:rFonts w:hint="eastAsia" w:ascii="宋体" w:hAnsi="宋体" w:eastAsia="宋体" w:cs="宋体"/>
                <w:color w:val="000000"/>
                <w:kern w:val="0"/>
                <w:sz w:val="21"/>
                <w:szCs w:val="21"/>
                <w:lang w:val="en-US" w:eastAsia="zh-CN"/>
              </w:rPr>
              <w:t>5</w:t>
            </w:r>
            <w:r>
              <w:rPr>
                <w:rFonts w:hint="eastAsia" w:ascii="宋体" w:hAnsi="宋体" w:eastAsia="宋体" w:cs="宋体"/>
                <w:color w:val="000000"/>
                <w:kern w:val="0"/>
                <w:sz w:val="21"/>
                <w:szCs w:val="21"/>
              </w:rPr>
              <w:t>级</w:t>
            </w:r>
            <w:r>
              <w:rPr>
                <w:rFonts w:hint="eastAsia" w:ascii="宋体" w:hAnsi="宋体" w:eastAsia="宋体" w:cs="宋体"/>
                <w:color w:val="000000"/>
                <w:kern w:val="0"/>
                <w:sz w:val="21"/>
                <w:szCs w:val="21"/>
                <w:lang w:eastAsia="zh-CN"/>
              </w:rPr>
              <w:t>；</w:t>
            </w:r>
            <w:r>
              <w:rPr>
                <w:rFonts w:hint="eastAsia" w:ascii="宋体" w:hAnsi="宋体" w:eastAsia="宋体" w:cs="宋体"/>
                <w:color w:val="000000"/>
                <w:kern w:val="0"/>
                <w:sz w:val="21"/>
                <w:szCs w:val="21"/>
              </w:rPr>
              <w:t>耐</w:t>
            </w:r>
            <w:r>
              <w:rPr>
                <w:rFonts w:hint="eastAsia" w:ascii="宋体" w:hAnsi="宋体" w:eastAsia="宋体" w:cs="宋体"/>
                <w:color w:val="000000"/>
                <w:kern w:val="0"/>
                <w:sz w:val="21"/>
                <w:szCs w:val="21"/>
                <w:lang w:eastAsia="zh-CN"/>
              </w:rPr>
              <w:t>干</w:t>
            </w:r>
            <w:r>
              <w:rPr>
                <w:rFonts w:hint="eastAsia" w:ascii="宋体" w:hAnsi="宋体" w:eastAsia="宋体" w:cs="宋体"/>
                <w:color w:val="000000"/>
                <w:kern w:val="0"/>
                <w:sz w:val="21"/>
                <w:szCs w:val="21"/>
              </w:rPr>
              <w:t>摩擦色牢度≥</w:t>
            </w:r>
            <w:r>
              <w:rPr>
                <w:rFonts w:hint="eastAsia" w:ascii="宋体" w:hAnsi="宋体" w:eastAsia="宋体" w:cs="宋体"/>
                <w:color w:val="000000"/>
                <w:kern w:val="0"/>
                <w:sz w:val="21"/>
                <w:szCs w:val="21"/>
                <w:lang w:val="en-US" w:eastAsia="zh-CN"/>
              </w:rPr>
              <w:t>3</w:t>
            </w:r>
            <w:r>
              <w:rPr>
                <w:rFonts w:hint="eastAsia" w:ascii="宋体" w:hAnsi="宋体" w:eastAsia="宋体" w:cs="宋体"/>
                <w:color w:val="000000"/>
                <w:kern w:val="0"/>
                <w:sz w:val="21"/>
                <w:szCs w:val="21"/>
              </w:rPr>
              <w:t>级</w:t>
            </w:r>
            <w:r>
              <w:rPr>
                <w:rFonts w:hint="eastAsia" w:ascii="宋体" w:hAnsi="宋体" w:eastAsia="宋体" w:cs="宋体"/>
                <w:color w:val="000000"/>
                <w:kern w:val="0"/>
                <w:sz w:val="21"/>
                <w:szCs w:val="21"/>
                <w:lang w:eastAsia="zh-CN"/>
              </w:rPr>
              <w:t>；</w:t>
            </w:r>
            <w:r>
              <w:rPr>
                <w:rFonts w:hint="eastAsia" w:ascii="宋体" w:hAnsi="宋体" w:eastAsia="宋体" w:cs="宋体"/>
                <w:color w:val="000000"/>
                <w:kern w:val="0"/>
                <w:sz w:val="21"/>
                <w:szCs w:val="21"/>
              </w:rPr>
              <w:t>耐</w:t>
            </w:r>
            <w:r>
              <w:rPr>
                <w:rFonts w:hint="eastAsia" w:ascii="宋体" w:hAnsi="宋体" w:eastAsia="宋体" w:cs="宋体"/>
                <w:color w:val="000000"/>
                <w:kern w:val="0"/>
                <w:sz w:val="21"/>
                <w:szCs w:val="21"/>
                <w:lang w:eastAsia="zh-CN"/>
              </w:rPr>
              <w:t>干洗</w:t>
            </w:r>
            <w:r>
              <w:rPr>
                <w:rFonts w:hint="eastAsia" w:ascii="宋体" w:hAnsi="宋体" w:eastAsia="宋体" w:cs="宋体"/>
                <w:color w:val="000000"/>
                <w:kern w:val="0"/>
                <w:sz w:val="21"/>
                <w:szCs w:val="21"/>
              </w:rPr>
              <w:t>色牢度≥4级</w:t>
            </w:r>
            <w:r>
              <w:rPr>
                <w:rFonts w:hint="eastAsia" w:ascii="宋体" w:hAnsi="宋体" w:eastAsia="宋体" w:cs="宋体"/>
                <w:color w:val="000000"/>
                <w:kern w:val="0"/>
                <w:sz w:val="21"/>
                <w:szCs w:val="21"/>
                <w:lang w:eastAsia="zh-CN"/>
              </w:rPr>
              <w:t>；耐热压色牢度：变色</w:t>
            </w:r>
            <w:r>
              <w:rPr>
                <w:rFonts w:hint="eastAsia" w:ascii="宋体" w:hAnsi="宋体" w:eastAsia="宋体" w:cs="宋体"/>
                <w:color w:val="000000"/>
                <w:kern w:val="0"/>
                <w:sz w:val="21"/>
                <w:szCs w:val="21"/>
              </w:rPr>
              <w:t>≥4级</w:t>
            </w:r>
            <w:r>
              <w:rPr>
                <w:rFonts w:hint="eastAsia" w:ascii="宋体" w:hAnsi="宋体" w:eastAsia="宋体" w:cs="宋体"/>
                <w:color w:val="000000"/>
                <w:kern w:val="0"/>
                <w:sz w:val="21"/>
                <w:szCs w:val="21"/>
                <w:lang w:eastAsia="zh-CN"/>
              </w:rPr>
              <w:t>，沾色</w:t>
            </w:r>
            <w:r>
              <w:rPr>
                <w:rFonts w:hint="eastAsia" w:ascii="宋体" w:hAnsi="宋体" w:eastAsia="宋体" w:cs="宋体"/>
                <w:color w:val="000000"/>
                <w:kern w:val="0"/>
                <w:sz w:val="21"/>
                <w:szCs w:val="21"/>
              </w:rPr>
              <w:t>≥4级</w:t>
            </w:r>
            <w:r>
              <w:rPr>
                <w:rFonts w:hint="eastAsia" w:ascii="宋体" w:hAnsi="宋体" w:eastAsia="宋体" w:cs="宋体"/>
                <w:color w:val="000000"/>
                <w:kern w:val="0"/>
                <w:sz w:val="21"/>
                <w:szCs w:val="21"/>
                <w:lang w:eastAsia="zh-CN"/>
              </w:rPr>
              <w:t>；染料迁移性能</w:t>
            </w:r>
            <w:r>
              <w:rPr>
                <w:rFonts w:hint="eastAsia" w:ascii="宋体" w:hAnsi="宋体" w:eastAsia="宋体" w:cs="宋体"/>
                <w:color w:val="000000"/>
                <w:kern w:val="0"/>
                <w:sz w:val="21"/>
                <w:szCs w:val="21"/>
              </w:rPr>
              <w:t>≥4级</w:t>
            </w:r>
            <w:r>
              <w:rPr>
                <w:rFonts w:hint="eastAsia" w:ascii="宋体" w:hAnsi="宋体" w:eastAsia="宋体" w:cs="宋体"/>
                <w:color w:val="000000"/>
                <w:kern w:val="0"/>
                <w:sz w:val="21"/>
                <w:szCs w:val="21"/>
                <w:lang w:eastAsia="zh-CN"/>
              </w:rPr>
              <w:t>；耐酸斑色牢度</w:t>
            </w:r>
            <w:r>
              <w:rPr>
                <w:rFonts w:hint="eastAsia" w:ascii="宋体" w:hAnsi="宋体" w:eastAsia="宋体" w:cs="宋体"/>
                <w:color w:val="000000"/>
                <w:kern w:val="0"/>
                <w:sz w:val="21"/>
                <w:szCs w:val="21"/>
              </w:rPr>
              <w:t>≥4级</w:t>
            </w:r>
          </w:p>
          <w:p>
            <w:pPr>
              <w:widowControl/>
              <w:spacing w:line="300" w:lineRule="exact"/>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★8、致癌染料（mg/kg）：</w:t>
            </w:r>
            <w:r>
              <w:rPr>
                <w:rFonts w:hint="eastAsia" w:ascii="宋体" w:hAnsi="宋体" w:eastAsia="宋体" w:cs="宋体"/>
                <w:color w:val="000000"/>
                <w:kern w:val="0"/>
                <w:sz w:val="21"/>
                <w:szCs w:val="21"/>
              </w:rPr>
              <w:t>≤</w:t>
            </w:r>
            <w:r>
              <w:rPr>
                <w:rFonts w:hint="eastAsia" w:ascii="宋体" w:hAnsi="宋体" w:eastAsia="宋体" w:cs="宋体"/>
                <w:color w:val="000000"/>
                <w:kern w:val="0"/>
                <w:sz w:val="21"/>
                <w:szCs w:val="21"/>
                <w:lang w:val="en-US" w:eastAsia="zh-CN"/>
              </w:rPr>
              <w:t>10mg/kg；邻苯基苯酚（mg/kg）：</w:t>
            </w:r>
            <w:r>
              <w:rPr>
                <w:rFonts w:hint="eastAsia" w:ascii="宋体" w:hAnsi="宋体" w:eastAsia="宋体" w:cs="宋体"/>
                <w:color w:val="000000"/>
                <w:kern w:val="0"/>
                <w:sz w:val="21"/>
                <w:szCs w:val="21"/>
              </w:rPr>
              <w:t>≤</w:t>
            </w:r>
            <w:r>
              <w:rPr>
                <w:rFonts w:hint="eastAsia" w:ascii="宋体" w:hAnsi="宋体" w:eastAsia="宋体" w:cs="宋体"/>
                <w:color w:val="000000"/>
                <w:kern w:val="0"/>
                <w:sz w:val="21"/>
                <w:szCs w:val="21"/>
                <w:lang w:val="en-US" w:eastAsia="zh-CN"/>
              </w:rPr>
              <w:t>0.10mg/kg；邻苯二甲酸酯（%）：满足GB/T 20388-2016测定低限；致敏性染料（mg/kg）：</w:t>
            </w:r>
            <w:r>
              <w:rPr>
                <w:rFonts w:hint="eastAsia" w:ascii="宋体" w:hAnsi="宋体" w:eastAsia="宋体" w:cs="宋体"/>
                <w:color w:val="000000"/>
                <w:kern w:val="0"/>
                <w:sz w:val="21"/>
                <w:szCs w:val="21"/>
              </w:rPr>
              <w:t>≤</w:t>
            </w:r>
            <w:r>
              <w:rPr>
                <w:rFonts w:hint="eastAsia" w:ascii="宋体" w:hAnsi="宋体" w:eastAsia="宋体" w:cs="宋体"/>
                <w:color w:val="000000"/>
                <w:kern w:val="0"/>
                <w:sz w:val="21"/>
                <w:szCs w:val="21"/>
                <w:lang w:val="en-US" w:eastAsia="zh-CN"/>
              </w:rPr>
              <w:t>5mg/kg；氯化苯和氯化甲苯（mg/kg）：</w:t>
            </w:r>
            <w:r>
              <w:rPr>
                <w:rFonts w:hint="eastAsia" w:ascii="宋体" w:hAnsi="宋体" w:eastAsia="宋体" w:cs="宋体"/>
                <w:color w:val="000000"/>
                <w:kern w:val="0"/>
                <w:sz w:val="21"/>
                <w:szCs w:val="21"/>
              </w:rPr>
              <w:t>≤</w:t>
            </w:r>
            <w:r>
              <w:rPr>
                <w:rFonts w:hint="eastAsia" w:ascii="宋体" w:hAnsi="宋体" w:eastAsia="宋体" w:cs="宋体"/>
                <w:color w:val="000000"/>
                <w:kern w:val="0"/>
                <w:sz w:val="21"/>
                <w:szCs w:val="21"/>
                <w:lang w:val="en-US" w:eastAsia="zh-CN"/>
              </w:rPr>
              <w:t>0.05mg/kg</w:t>
            </w:r>
          </w:p>
          <w:p>
            <w:pPr>
              <w:widowControl/>
              <w:spacing w:line="300" w:lineRule="exact"/>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9、重金属（mg/kg）：铅</w:t>
            </w:r>
            <w:r>
              <w:rPr>
                <w:rFonts w:hint="eastAsia" w:ascii="宋体" w:hAnsi="宋体" w:eastAsia="宋体" w:cs="宋体"/>
                <w:color w:val="000000"/>
                <w:kern w:val="0"/>
                <w:sz w:val="21"/>
                <w:szCs w:val="21"/>
              </w:rPr>
              <w:t>≤</w:t>
            </w:r>
            <w:r>
              <w:rPr>
                <w:rFonts w:hint="eastAsia" w:ascii="宋体" w:hAnsi="宋体" w:eastAsia="宋体" w:cs="宋体"/>
                <w:color w:val="000000"/>
                <w:kern w:val="0"/>
                <w:sz w:val="21"/>
                <w:szCs w:val="21"/>
                <w:lang w:val="en-US" w:eastAsia="zh-CN"/>
              </w:rPr>
              <w:t>0.2，砷</w:t>
            </w:r>
            <w:r>
              <w:rPr>
                <w:rFonts w:hint="eastAsia" w:ascii="宋体" w:hAnsi="宋体" w:eastAsia="宋体" w:cs="宋体"/>
                <w:color w:val="000000"/>
                <w:kern w:val="0"/>
                <w:sz w:val="21"/>
                <w:szCs w:val="21"/>
              </w:rPr>
              <w:t>≤</w:t>
            </w:r>
            <w:r>
              <w:rPr>
                <w:rFonts w:hint="eastAsia" w:ascii="宋体" w:hAnsi="宋体" w:eastAsia="宋体" w:cs="宋体"/>
                <w:color w:val="000000"/>
                <w:kern w:val="0"/>
                <w:sz w:val="21"/>
                <w:szCs w:val="21"/>
                <w:lang w:val="en-US" w:eastAsia="zh-CN"/>
              </w:rPr>
              <w:t>0.1，铬</w:t>
            </w:r>
            <w:r>
              <w:rPr>
                <w:rFonts w:hint="eastAsia" w:ascii="宋体" w:hAnsi="宋体" w:eastAsia="宋体" w:cs="宋体"/>
                <w:color w:val="000000"/>
                <w:kern w:val="0"/>
                <w:sz w:val="21"/>
                <w:szCs w:val="21"/>
              </w:rPr>
              <w:t>≤</w:t>
            </w:r>
            <w:r>
              <w:rPr>
                <w:rFonts w:hint="eastAsia" w:ascii="宋体" w:hAnsi="宋体" w:eastAsia="宋体" w:cs="宋体"/>
                <w:color w:val="000000"/>
                <w:kern w:val="0"/>
                <w:sz w:val="21"/>
                <w:szCs w:val="21"/>
                <w:lang w:val="en-US" w:eastAsia="zh-CN"/>
              </w:rPr>
              <w:t>0.12，铬（六价）</w:t>
            </w:r>
            <w:r>
              <w:rPr>
                <w:rFonts w:hint="eastAsia" w:ascii="宋体" w:hAnsi="宋体" w:eastAsia="宋体" w:cs="宋体"/>
                <w:color w:val="000000"/>
                <w:kern w:val="0"/>
                <w:sz w:val="21"/>
                <w:szCs w:val="21"/>
              </w:rPr>
              <w:t>≤</w:t>
            </w:r>
            <w:r>
              <w:rPr>
                <w:rFonts w:hint="eastAsia" w:ascii="宋体" w:hAnsi="宋体" w:eastAsia="宋体" w:cs="宋体"/>
                <w:color w:val="000000"/>
                <w:kern w:val="0"/>
                <w:sz w:val="21"/>
                <w:szCs w:val="21"/>
                <w:lang w:val="en-US" w:eastAsia="zh-CN"/>
              </w:rPr>
              <w:t>0.20，汞</w:t>
            </w:r>
            <w:r>
              <w:rPr>
                <w:rFonts w:hint="eastAsia" w:ascii="宋体" w:hAnsi="宋体" w:eastAsia="宋体" w:cs="宋体"/>
                <w:color w:val="000000"/>
                <w:kern w:val="0"/>
                <w:sz w:val="21"/>
                <w:szCs w:val="21"/>
              </w:rPr>
              <w:t>≤</w:t>
            </w:r>
            <w:r>
              <w:rPr>
                <w:rFonts w:hint="eastAsia" w:ascii="宋体" w:hAnsi="宋体" w:eastAsia="宋体" w:cs="宋体"/>
                <w:color w:val="000000"/>
                <w:kern w:val="0"/>
                <w:sz w:val="21"/>
                <w:szCs w:val="21"/>
                <w:lang w:val="en-US" w:eastAsia="zh-CN"/>
              </w:rPr>
              <w:t>0.005</w:t>
            </w:r>
          </w:p>
          <w:p>
            <w:pPr>
              <w:widowControl/>
              <w:spacing w:line="300" w:lineRule="exact"/>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10、遮光率（%）</w:t>
            </w:r>
            <w:r>
              <w:rPr>
                <w:rFonts w:hint="eastAsia" w:ascii="宋体" w:hAnsi="宋体" w:eastAsia="宋体" w:cs="宋体"/>
                <w:color w:val="000000"/>
                <w:kern w:val="0"/>
                <w:sz w:val="21"/>
                <w:szCs w:val="21"/>
              </w:rPr>
              <w:t>≥</w:t>
            </w:r>
            <w:r>
              <w:rPr>
                <w:rFonts w:hint="eastAsia" w:ascii="宋体" w:hAnsi="宋体" w:eastAsia="宋体" w:cs="宋体"/>
                <w:color w:val="000000"/>
                <w:kern w:val="0"/>
                <w:sz w:val="21"/>
                <w:szCs w:val="21"/>
                <w:lang w:val="en-US" w:eastAsia="zh-CN"/>
              </w:rPr>
              <w:t>65</w:t>
            </w:r>
          </w:p>
          <w:p>
            <w:pPr>
              <w:widowControl/>
              <w:numPr>
                <w:ilvl w:val="0"/>
                <w:numId w:val="0"/>
              </w:numPr>
              <w:spacing w:line="300" w:lineRule="exact"/>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11、顶破强力（N）：</w:t>
            </w:r>
            <w:r>
              <w:rPr>
                <w:rFonts w:hint="eastAsia" w:ascii="宋体" w:hAnsi="宋体" w:eastAsia="宋体" w:cs="宋体"/>
                <w:color w:val="000000"/>
                <w:kern w:val="0"/>
                <w:sz w:val="21"/>
                <w:szCs w:val="21"/>
              </w:rPr>
              <w:t>≥</w:t>
            </w:r>
            <w:r>
              <w:rPr>
                <w:rFonts w:hint="eastAsia" w:ascii="宋体" w:hAnsi="宋体" w:eastAsia="宋体" w:cs="宋体"/>
                <w:color w:val="000000"/>
                <w:kern w:val="0"/>
                <w:sz w:val="21"/>
                <w:szCs w:val="21"/>
                <w:lang w:val="en-US" w:eastAsia="zh-CN"/>
              </w:rPr>
              <w:t>1600</w:t>
            </w:r>
          </w:p>
          <w:p>
            <w:pPr>
              <w:widowControl/>
              <w:numPr>
                <w:ilvl w:val="0"/>
                <w:numId w:val="0"/>
              </w:numPr>
              <w:spacing w:line="300" w:lineRule="exact"/>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12、耐磨性能（级）：测试</w:t>
            </w:r>
            <w:r>
              <w:rPr>
                <w:rFonts w:hint="eastAsia" w:ascii="宋体" w:hAnsi="宋体" w:eastAsia="宋体" w:cs="宋体"/>
                <w:color w:val="000000"/>
                <w:kern w:val="0"/>
                <w:sz w:val="21"/>
                <w:szCs w:val="21"/>
              </w:rPr>
              <w:t>≥</w:t>
            </w:r>
            <w:r>
              <w:rPr>
                <w:rFonts w:hint="eastAsia" w:ascii="宋体" w:hAnsi="宋体" w:eastAsia="宋体" w:cs="宋体"/>
                <w:color w:val="000000"/>
                <w:kern w:val="0"/>
                <w:sz w:val="21"/>
                <w:szCs w:val="21"/>
                <w:lang w:val="en-US" w:eastAsia="zh-CN"/>
              </w:rPr>
              <w:t>10000次，织物未破损</w:t>
            </w:r>
          </w:p>
          <w:p>
            <w:pPr>
              <w:widowControl/>
              <w:numPr>
                <w:ilvl w:val="0"/>
                <w:numId w:val="0"/>
              </w:numPr>
              <w:spacing w:line="300" w:lineRule="exact"/>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13、透气率（%）：</w:t>
            </w:r>
            <w:r>
              <w:rPr>
                <w:rFonts w:hint="eastAsia" w:ascii="宋体" w:hAnsi="宋体" w:eastAsia="宋体" w:cs="宋体"/>
                <w:color w:val="000000"/>
                <w:kern w:val="0"/>
                <w:sz w:val="21"/>
                <w:szCs w:val="21"/>
              </w:rPr>
              <w:t>≥</w:t>
            </w:r>
            <w:r>
              <w:rPr>
                <w:rFonts w:hint="eastAsia" w:ascii="宋体" w:hAnsi="宋体" w:eastAsia="宋体" w:cs="宋体"/>
                <w:color w:val="000000"/>
                <w:kern w:val="0"/>
                <w:sz w:val="21"/>
                <w:szCs w:val="21"/>
                <w:lang w:val="en-US" w:eastAsia="zh-CN"/>
              </w:rPr>
              <w:t>700</w:t>
            </w:r>
          </w:p>
          <w:p>
            <w:pPr>
              <w:widowControl/>
              <w:numPr>
                <w:ilvl w:val="0"/>
                <w:numId w:val="0"/>
              </w:numPr>
              <w:spacing w:line="300" w:lineRule="exact"/>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14、织物悬垂性（%）：a面</w:t>
            </w:r>
            <w:r>
              <w:rPr>
                <w:rFonts w:hint="eastAsia" w:ascii="宋体" w:hAnsi="宋体" w:eastAsia="宋体" w:cs="宋体"/>
                <w:color w:val="000000"/>
                <w:kern w:val="0"/>
                <w:sz w:val="21"/>
                <w:szCs w:val="21"/>
              </w:rPr>
              <w:t>≥</w:t>
            </w:r>
            <w:r>
              <w:rPr>
                <w:rFonts w:hint="eastAsia" w:ascii="宋体" w:hAnsi="宋体" w:eastAsia="宋体" w:cs="宋体"/>
                <w:color w:val="000000"/>
                <w:kern w:val="0"/>
                <w:sz w:val="21"/>
                <w:szCs w:val="21"/>
                <w:lang w:val="en-US" w:eastAsia="zh-CN"/>
              </w:rPr>
              <w:t>50，b面</w:t>
            </w:r>
            <w:r>
              <w:rPr>
                <w:rFonts w:hint="eastAsia" w:ascii="宋体" w:hAnsi="宋体" w:eastAsia="宋体" w:cs="宋体"/>
                <w:color w:val="000000"/>
                <w:kern w:val="0"/>
                <w:sz w:val="21"/>
                <w:szCs w:val="21"/>
              </w:rPr>
              <w:t>≥</w:t>
            </w:r>
            <w:r>
              <w:rPr>
                <w:rFonts w:hint="eastAsia" w:ascii="宋体" w:hAnsi="宋体" w:eastAsia="宋体" w:cs="宋体"/>
                <w:color w:val="000000"/>
                <w:kern w:val="0"/>
                <w:sz w:val="21"/>
                <w:szCs w:val="21"/>
                <w:lang w:val="en-US" w:eastAsia="zh-CN"/>
              </w:rPr>
              <w:t>50</w:t>
            </w:r>
          </w:p>
          <w:p>
            <w:pPr>
              <w:widowControl/>
              <w:numPr>
                <w:ilvl w:val="0"/>
                <w:numId w:val="0"/>
              </w:numPr>
              <w:spacing w:line="300" w:lineRule="exact"/>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15、胀破强力（kPa）：</w:t>
            </w:r>
            <w:r>
              <w:rPr>
                <w:rFonts w:hint="eastAsia" w:ascii="宋体" w:hAnsi="宋体" w:eastAsia="宋体" w:cs="宋体"/>
                <w:color w:val="000000"/>
                <w:kern w:val="0"/>
                <w:sz w:val="21"/>
                <w:szCs w:val="21"/>
              </w:rPr>
              <w:t>≥</w:t>
            </w:r>
            <w:r>
              <w:rPr>
                <w:rFonts w:hint="eastAsia" w:ascii="宋体" w:hAnsi="宋体" w:eastAsia="宋体" w:cs="宋体"/>
                <w:color w:val="000000"/>
                <w:kern w:val="0"/>
                <w:sz w:val="21"/>
                <w:szCs w:val="21"/>
                <w:lang w:val="en-US" w:eastAsia="zh-CN"/>
              </w:rPr>
              <w:t>1600</w:t>
            </w:r>
          </w:p>
          <w:p>
            <w:pPr>
              <w:pStyle w:val="5"/>
              <w:ind w:left="0" w:leftChars="0" w:firstLine="0" w:firstLineChars="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rPr>
              <w:t>16、易去污性（级）：初始色差</w:t>
            </w:r>
            <w:r>
              <w:rPr>
                <w:rFonts w:hint="eastAsia" w:ascii="宋体" w:hAnsi="宋体" w:eastAsia="宋体" w:cs="宋体"/>
                <w:color w:val="000000"/>
                <w:kern w:val="0"/>
                <w:sz w:val="21"/>
                <w:szCs w:val="21"/>
              </w:rPr>
              <w:t>≥</w:t>
            </w:r>
            <w:r>
              <w:rPr>
                <w:rFonts w:hint="eastAsia" w:ascii="宋体" w:hAnsi="宋体" w:eastAsia="宋体" w:cs="宋体"/>
                <w:color w:val="000000"/>
                <w:kern w:val="0"/>
                <w:sz w:val="21"/>
                <w:szCs w:val="21"/>
                <w:lang w:val="en-US" w:eastAsia="zh-CN"/>
              </w:rPr>
              <w:t>2，洗涤后色差</w:t>
            </w:r>
            <w:r>
              <w:rPr>
                <w:rFonts w:hint="eastAsia" w:ascii="宋体" w:hAnsi="宋体" w:eastAsia="宋体" w:cs="宋体"/>
                <w:color w:val="000000"/>
                <w:kern w:val="0"/>
                <w:sz w:val="21"/>
                <w:szCs w:val="21"/>
              </w:rPr>
              <w:t>≥</w:t>
            </w:r>
            <w:r>
              <w:rPr>
                <w:rFonts w:hint="eastAsia" w:ascii="宋体" w:hAnsi="宋体" w:eastAsia="宋体" w:cs="宋体"/>
                <w:color w:val="000000"/>
                <w:kern w:val="0"/>
                <w:sz w:val="21"/>
                <w:szCs w:val="21"/>
                <w:lang w:val="en-US" w:eastAsia="zh-CN"/>
              </w:rPr>
              <w:t>3</w:t>
            </w:r>
          </w:p>
          <w:p>
            <w:pPr>
              <w:widowControl/>
              <w:spacing w:line="300" w:lineRule="exact"/>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rPr>
              <w:t>★</w:t>
            </w:r>
            <w:r>
              <w:rPr>
                <w:rFonts w:hint="eastAsia" w:ascii="宋体" w:hAnsi="宋体" w:eastAsia="宋体" w:cs="宋体"/>
                <w:color w:val="000000"/>
                <w:kern w:val="0"/>
                <w:sz w:val="21"/>
                <w:szCs w:val="21"/>
                <w:lang w:val="en-US" w:eastAsia="zh-CN"/>
              </w:rPr>
              <w:t>17</w:t>
            </w:r>
            <w:r>
              <w:rPr>
                <w:rFonts w:hint="eastAsia" w:ascii="宋体" w:hAnsi="宋体" w:eastAsia="宋体" w:cs="宋体"/>
                <w:color w:val="000000"/>
                <w:kern w:val="0"/>
                <w:sz w:val="21"/>
                <w:szCs w:val="21"/>
              </w:rPr>
              <w:t>、</w:t>
            </w:r>
            <w:r>
              <w:rPr>
                <w:rFonts w:hint="eastAsia" w:ascii="宋体" w:hAnsi="宋体" w:eastAsia="宋体" w:cs="宋体"/>
                <w:b w:val="0"/>
                <w:bCs/>
                <w:sz w:val="21"/>
                <w:szCs w:val="21"/>
                <w:lang w:val="en-US" w:eastAsia="zh-CN"/>
              </w:rPr>
              <w:t>燃烧性能符合（GB/T 17591-2006）装饰用织物B1级：损毁长度≤150mm  续燃时间≤5S 阴燃时间≤5S或符合GB 20286-2006 公共场所阻燃制品1级阻燃要求。</w:t>
            </w:r>
          </w:p>
        </w:tc>
        <w:tc>
          <w:tcPr>
            <w:tcW w:w="1304" w:type="dxa"/>
            <w:tcBorders>
              <w:top w:val="single" w:color="auto" w:sz="4" w:space="0"/>
              <w:left w:val="single" w:color="auto" w:sz="4" w:space="0"/>
              <w:bottom w:val="single" w:color="auto" w:sz="4" w:space="0"/>
              <w:right w:val="single" w:color="auto" w:sz="4" w:space="0"/>
            </w:tcBorders>
            <w:shd w:val="clear" w:color="auto" w:fill="auto"/>
            <w:vAlign w:val="center"/>
          </w:tcPr>
          <w:p>
            <w:pPr>
              <w:ind w:left="-80" w:leftChars="-38"/>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 xml:space="preserve">黄色 </w:t>
            </w:r>
          </w:p>
          <w:p>
            <w:pPr>
              <w:ind w:left="-80" w:leftChars="-38"/>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蓝色</w:t>
            </w:r>
          </w:p>
          <w:p>
            <w:pPr>
              <w:ind w:left="-80" w:leftChars="-38"/>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淡蓝</w:t>
            </w:r>
          </w:p>
          <w:p>
            <w:pPr>
              <w:ind w:left="-80" w:leftChars="-38"/>
              <w:jc w:val="center"/>
              <w:rPr>
                <w:rFonts w:ascii="宋体" w:hAnsi="宋体" w:eastAsia="宋体" w:cs="Times New Roman"/>
                <w:color w:val="000000"/>
                <w:kern w:val="0"/>
                <w:szCs w:val="21"/>
              </w:rPr>
            </w:pPr>
            <w:r>
              <w:rPr>
                <w:rFonts w:hint="eastAsia" w:ascii="宋体" w:hAnsi="宋体" w:eastAsia="宋体" w:cs="Times New Roman"/>
                <w:color w:val="000000"/>
                <w:kern w:val="0"/>
                <w:sz w:val="20"/>
                <w:szCs w:val="20"/>
              </w:rPr>
              <w:t>淡绿色等</w:t>
            </w:r>
          </w:p>
        </w:tc>
        <w:tc>
          <w:tcPr>
            <w:tcW w:w="1077" w:type="dxa"/>
            <w:tcBorders>
              <w:top w:val="single" w:color="auto" w:sz="4" w:space="0"/>
              <w:bottom w:val="single" w:color="auto" w:sz="4" w:space="0"/>
              <w:right w:val="single" w:color="auto" w:sz="4" w:space="0"/>
            </w:tcBorders>
            <w:shd w:val="clear" w:color="auto" w:fill="auto"/>
            <w:vAlign w:val="center"/>
          </w:tcPr>
          <w:p>
            <w:pPr>
              <w:widowControl/>
              <w:spacing w:line="300" w:lineRule="exact"/>
              <w:jc w:val="center"/>
              <w:rPr>
                <w:rFonts w:hint="eastAsia" w:ascii="宋体" w:hAnsi="宋体" w:eastAsia="宋体" w:cs="宋体"/>
                <w:color w:val="000000"/>
                <w:kern w:val="0"/>
                <w:sz w:val="20"/>
                <w:szCs w:val="21"/>
                <w:lang w:val="en-US" w:eastAsia="zh-CN" w:bidi="ar-SA"/>
              </w:rPr>
            </w:pPr>
            <w:r>
              <w:rPr>
                <w:rFonts w:hint="eastAsia" w:ascii="宋体" w:hAnsi="宋体" w:eastAsia="宋体" w:cs="宋体"/>
                <w:color w:val="000000"/>
                <w:kern w:val="0"/>
                <w:sz w:val="20"/>
                <w:szCs w:val="21"/>
              </w:rPr>
              <w:t>米</w:t>
            </w:r>
          </w:p>
        </w:tc>
        <w:tc>
          <w:tcPr>
            <w:tcW w:w="1077" w:type="dxa"/>
            <w:tcBorders>
              <w:top w:val="single" w:color="auto" w:sz="4" w:space="0"/>
              <w:bottom w:val="single" w:color="auto" w:sz="4" w:space="0"/>
              <w:right w:val="single" w:color="auto" w:sz="4" w:space="0"/>
            </w:tcBorders>
            <w:shd w:val="clear" w:color="auto" w:fill="auto"/>
            <w:vAlign w:val="center"/>
          </w:tcPr>
          <w:p>
            <w:pPr>
              <w:jc w:val="center"/>
              <w:rPr>
                <w:rFonts w:hint="default" w:eastAsia="宋体" w:asciiTheme="minorEastAsia" w:hAnsiTheme="minorEastAsia" w:cstheme="minorBidi"/>
                <w:kern w:val="2"/>
                <w:sz w:val="21"/>
                <w:szCs w:val="22"/>
                <w:lang w:val="en-US" w:eastAsia="zh-CN" w:bidi="ar-SA"/>
              </w:rPr>
            </w:pPr>
            <w:r>
              <w:rPr>
                <w:rFonts w:hint="eastAsia" w:ascii="Times New Roman" w:hAnsi="Times New Roman" w:eastAsia="宋体" w:cs="Times New Roman"/>
                <w:color w:val="000000"/>
                <w:kern w:val="0"/>
                <w:sz w:val="20"/>
                <w:szCs w:val="21"/>
                <w:lang w:val="en-US" w:eastAsia="zh-CN"/>
              </w:rPr>
              <w:t>42</w:t>
            </w:r>
            <w:r>
              <w:rPr>
                <w:rFonts w:hint="eastAsia" w:ascii="Times New Roman" w:hAnsi="Times New Roman" w:eastAsia="宋体" w:cs="Times New Roman"/>
                <w:color w:val="000000"/>
                <w:kern w:val="0"/>
                <w:sz w:val="20"/>
                <w:szCs w:val="21"/>
                <w:lang w:eastAsia="zh-CN"/>
              </w:rPr>
              <w:t>元</w:t>
            </w:r>
            <w:r>
              <w:rPr>
                <w:rFonts w:hint="eastAsia" w:ascii="Times New Roman" w:hAnsi="Times New Roman" w:eastAsia="宋体" w:cs="Times New Roman"/>
                <w:color w:val="000000"/>
                <w:kern w:val="0"/>
                <w:sz w:val="20"/>
                <w:szCs w:val="21"/>
                <w:lang w:val="en-US" w:eastAsia="zh-CN"/>
              </w:rPr>
              <w:t>/米</w:t>
            </w:r>
          </w:p>
        </w:tc>
        <w:tc>
          <w:tcPr>
            <w:tcW w:w="1077" w:type="dxa"/>
            <w:tcBorders>
              <w:top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Times New Roman"/>
                <w:color w:val="000000"/>
                <w:kern w:val="0"/>
                <w:sz w:val="20"/>
                <w:szCs w:val="21"/>
              </w:rPr>
            </w:pPr>
            <w:r>
              <w:rPr>
                <w:rFonts w:hint="eastAsia" w:ascii="宋体" w:hAnsi="宋体" w:eastAsia="宋体" w:cs="宋体"/>
                <w:i w:val="0"/>
                <w:color w:val="000000"/>
                <w:kern w:val="0"/>
                <w:sz w:val="22"/>
                <w:szCs w:val="22"/>
                <w:u w:val="none"/>
                <w:lang w:val="en-US" w:eastAsia="zh-CN" w:bidi="ar"/>
              </w:rPr>
              <w:t>700</w:t>
            </w:r>
          </w:p>
        </w:tc>
        <w:tc>
          <w:tcPr>
            <w:tcW w:w="2640" w:type="dxa"/>
            <w:tcBorders>
              <w:top w:val="single" w:color="auto" w:sz="4" w:space="0"/>
              <w:bottom w:val="single" w:color="auto" w:sz="4" w:space="0"/>
              <w:right w:val="single" w:color="auto" w:sz="4" w:space="0"/>
            </w:tcBorders>
            <w:shd w:val="clear" w:color="auto" w:fill="auto"/>
          </w:tcPr>
          <w:p>
            <w:pPr>
              <w:widowControl/>
              <w:jc w:val="left"/>
              <w:rPr>
                <w:rFonts w:hint="eastAsia" w:ascii="Times New Roman" w:hAnsi="Times New Roman" w:eastAsia="宋体" w:cs="Times New Roman"/>
                <w:color w:val="000000"/>
                <w:kern w:val="0"/>
                <w:sz w:val="20"/>
                <w:szCs w:val="21"/>
              </w:rPr>
            </w:pPr>
          </w:p>
          <w:p>
            <w:pPr>
              <w:widowControl/>
              <w:jc w:val="left"/>
              <w:rPr>
                <w:rFonts w:hint="eastAsia" w:ascii="Times New Roman" w:hAnsi="Times New Roman" w:eastAsia="宋体" w:cs="Times New Roman"/>
                <w:color w:val="000000"/>
                <w:kern w:val="0"/>
                <w:sz w:val="20"/>
                <w:szCs w:val="21"/>
              </w:rPr>
            </w:pPr>
          </w:p>
          <w:p>
            <w:pPr>
              <w:widowControl/>
              <w:jc w:val="left"/>
              <w:rPr>
                <w:rFonts w:ascii="Times New Roman" w:hAnsi="Times New Roman" w:eastAsia="宋体" w:cs="Times New Roman"/>
                <w:color w:val="000000"/>
                <w:kern w:val="0"/>
                <w:sz w:val="20"/>
                <w:szCs w:val="21"/>
              </w:rPr>
            </w:pPr>
            <w:r>
              <w:rPr>
                <w:rFonts w:hint="eastAsia" w:ascii="Times New Roman" w:hAnsi="Times New Roman" w:eastAsia="宋体" w:cs="Times New Roman"/>
                <w:color w:val="000000"/>
                <w:kern w:val="0"/>
                <w:sz w:val="20"/>
                <w:szCs w:val="21"/>
                <w:lang w:eastAsia="zh-CN"/>
              </w:rPr>
              <w:drawing>
                <wp:inline distT="0" distB="0" distL="114300" distR="114300">
                  <wp:extent cx="1538605" cy="1900555"/>
                  <wp:effectExtent l="0" t="0" r="4445" b="4445"/>
                  <wp:docPr id="1" name="图片 1" descr="医用隔帘"/>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医用隔帘"/>
                          <pic:cNvPicPr>
                            <a:picLocks noChangeAspect="1"/>
                          </pic:cNvPicPr>
                        </pic:nvPicPr>
                        <pic:blipFill>
                          <a:blip r:embed="rId5"/>
                          <a:stretch>
                            <a:fillRect/>
                          </a:stretch>
                        </pic:blipFill>
                        <pic:spPr>
                          <a:xfrm>
                            <a:off x="0" y="0"/>
                            <a:ext cx="1538605" cy="1900555"/>
                          </a:xfrm>
                          <a:prstGeom prst="rect">
                            <a:avLst/>
                          </a:prstGeom>
                        </pic:spPr>
                      </pic:pic>
                    </a:graphicData>
                  </a:graphic>
                </wp:inline>
              </w:drawing>
            </w:r>
          </w:p>
        </w:tc>
      </w:tr>
      <w:tr>
        <w:tblPrEx>
          <w:tblCellMar>
            <w:top w:w="0" w:type="dxa"/>
            <w:left w:w="108" w:type="dxa"/>
            <w:bottom w:w="0" w:type="dxa"/>
            <w:right w:w="108" w:type="dxa"/>
          </w:tblCellMar>
        </w:tblPrEx>
        <w:trPr>
          <w:trHeight w:val="3832" w:hRule="atLeast"/>
          <w:jc w:val="center"/>
        </w:trPr>
        <w:tc>
          <w:tcPr>
            <w:tcW w:w="794"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Times New Roman"/>
                <w:color w:val="000000"/>
                <w:kern w:val="0"/>
                <w:szCs w:val="21"/>
              </w:rPr>
            </w:pPr>
            <w:r>
              <w:rPr>
                <w:rFonts w:hint="eastAsia" w:ascii="宋体" w:hAnsi="宋体" w:eastAsia="宋体" w:cs="Times New Roman"/>
                <w:color w:val="000000"/>
                <w:kern w:val="0"/>
                <w:szCs w:val="21"/>
              </w:rPr>
              <w:t>2</w:t>
            </w:r>
          </w:p>
        </w:tc>
        <w:tc>
          <w:tcPr>
            <w:tcW w:w="153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both"/>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普通</w:t>
            </w:r>
            <w:r>
              <w:rPr>
                <w:rFonts w:hint="eastAsia" w:ascii="宋体" w:hAnsi="宋体" w:eastAsia="宋体" w:cs="Times New Roman"/>
                <w:color w:val="000000"/>
                <w:kern w:val="0"/>
                <w:sz w:val="20"/>
                <w:szCs w:val="20"/>
                <w:lang w:eastAsia="zh-CN"/>
              </w:rPr>
              <w:t>窗帘</w:t>
            </w:r>
            <w:r>
              <w:rPr>
                <w:rFonts w:hint="eastAsia" w:ascii="宋体" w:hAnsi="宋体" w:eastAsia="宋体" w:cs="Times New Roman"/>
                <w:color w:val="000000"/>
                <w:kern w:val="0"/>
                <w:sz w:val="20"/>
                <w:szCs w:val="20"/>
              </w:rPr>
              <w:t>面料</w:t>
            </w:r>
          </w:p>
        </w:tc>
        <w:tc>
          <w:tcPr>
            <w:tcW w:w="5102" w:type="dxa"/>
            <w:tcBorders>
              <w:top w:val="single" w:color="auto" w:sz="4" w:space="0"/>
              <w:left w:val="nil"/>
              <w:bottom w:val="single" w:color="auto" w:sz="4" w:space="0"/>
              <w:right w:val="single" w:color="auto" w:sz="4" w:space="0"/>
            </w:tcBorders>
            <w:shd w:val="clear" w:color="auto" w:fill="auto"/>
            <w:noWrap/>
            <w:vAlign w:val="center"/>
          </w:tcPr>
          <w:p>
            <w:pPr>
              <w:spacing w:line="300" w:lineRule="exac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1、面料成份：100%</w:t>
            </w:r>
            <w:r>
              <w:rPr>
                <w:rFonts w:hint="eastAsia" w:ascii="宋体" w:hAnsi="宋体" w:eastAsia="宋体" w:cs="宋体"/>
                <w:color w:val="000000"/>
                <w:kern w:val="0"/>
                <w:sz w:val="21"/>
                <w:szCs w:val="21"/>
                <w:lang w:eastAsia="zh-CN"/>
              </w:rPr>
              <w:t>聚酯纤维</w:t>
            </w:r>
          </w:p>
          <w:p>
            <w:pPr>
              <w:widowControl/>
              <w:spacing w:line="300" w:lineRule="exact"/>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rPr>
              <w:t>2、克重</w:t>
            </w:r>
            <w:r>
              <w:rPr>
                <w:rFonts w:hint="eastAsia" w:ascii="宋体" w:hAnsi="宋体" w:eastAsia="宋体" w:cs="宋体"/>
                <w:color w:val="000000"/>
                <w:kern w:val="0"/>
                <w:sz w:val="21"/>
                <w:szCs w:val="21"/>
                <w:lang w:eastAsia="zh-CN"/>
              </w:rPr>
              <w:t>（</w:t>
            </w:r>
            <w:r>
              <w:rPr>
                <w:rFonts w:hint="eastAsia" w:ascii="宋体" w:hAnsi="宋体" w:eastAsia="宋体" w:cs="宋体"/>
                <w:color w:val="000000"/>
                <w:kern w:val="0"/>
                <w:sz w:val="21"/>
                <w:szCs w:val="21"/>
                <w:lang w:val="en-US" w:eastAsia="zh-CN"/>
              </w:rPr>
              <w:t>g</w:t>
            </w:r>
            <w:r>
              <w:rPr>
                <w:rFonts w:hint="eastAsia" w:ascii="宋体" w:hAnsi="宋体" w:eastAsia="宋体" w:cs="宋体"/>
                <w:color w:val="000000"/>
                <w:kern w:val="0"/>
                <w:sz w:val="21"/>
                <w:szCs w:val="21"/>
              </w:rPr>
              <w:t>/</w:t>
            </w:r>
            <w:r>
              <w:rPr>
                <w:rFonts w:hint="eastAsia" w:ascii="宋体" w:hAnsi="宋体" w:eastAsia="宋体" w:cs="宋体"/>
                <w:color w:val="000000"/>
                <w:kern w:val="0"/>
                <w:sz w:val="21"/>
                <w:szCs w:val="21"/>
                <w:lang w:eastAsia="zh-CN"/>
              </w:rPr>
              <w:t>㎡）</w:t>
            </w:r>
            <w:r>
              <w:rPr>
                <w:rFonts w:hint="eastAsia" w:ascii="宋体" w:hAnsi="宋体" w:eastAsia="宋体" w:cs="宋体"/>
                <w:color w:val="000000"/>
                <w:kern w:val="0"/>
                <w:sz w:val="21"/>
                <w:szCs w:val="21"/>
              </w:rPr>
              <w:t>：</w:t>
            </w:r>
            <w:r>
              <w:rPr>
                <w:rFonts w:hint="eastAsia" w:ascii="宋体" w:hAnsi="宋体" w:eastAsia="宋体" w:cs="宋体"/>
                <w:color w:val="000000"/>
                <w:kern w:val="0"/>
                <w:sz w:val="21"/>
                <w:szCs w:val="21"/>
                <w:lang w:val="en-US" w:eastAsia="zh-CN"/>
              </w:rPr>
              <w:t>250</w:t>
            </w:r>
            <w:r>
              <w:rPr>
                <w:rFonts w:hint="eastAsia" w:ascii="宋体" w:hAnsi="宋体" w:eastAsia="宋体" w:cs="宋体"/>
                <w:color w:val="000000"/>
                <w:kern w:val="0"/>
                <w:sz w:val="21"/>
                <w:szCs w:val="21"/>
                <w:lang w:eastAsia="zh-CN"/>
              </w:rPr>
              <w:t>（</w:t>
            </w:r>
            <w:r>
              <w:rPr>
                <w:rFonts w:hint="eastAsia" w:ascii="宋体" w:hAnsi="宋体" w:eastAsia="宋体" w:cs="宋体"/>
                <w:color w:val="000000"/>
                <w:kern w:val="0"/>
                <w:sz w:val="21"/>
                <w:szCs w:val="21"/>
                <w:lang w:val="en-US" w:eastAsia="zh-CN"/>
              </w:rPr>
              <w:t>±5%</w:t>
            </w:r>
            <w:r>
              <w:rPr>
                <w:rFonts w:hint="eastAsia" w:ascii="宋体" w:hAnsi="宋体" w:eastAsia="宋体" w:cs="宋体"/>
                <w:color w:val="000000"/>
                <w:kern w:val="0"/>
                <w:sz w:val="21"/>
                <w:szCs w:val="21"/>
                <w:lang w:eastAsia="zh-CN"/>
              </w:rPr>
              <w:t>）</w:t>
            </w:r>
            <w:r>
              <w:rPr>
                <w:rFonts w:hint="eastAsia" w:ascii="宋体" w:hAnsi="宋体" w:eastAsia="宋体" w:cs="宋体"/>
                <w:color w:val="000000"/>
                <w:kern w:val="0"/>
                <w:sz w:val="21"/>
                <w:szCs w:val="21"/>
                <w:lang w:val="en-US" w:eastAsia="zh-CN"/>
              </w:rPr>
              <w:t>；</w:t>
            </w:r>
          </w:p>
          <w:p>
            <w:pPr>
              <w:widowControl/>
              <w:spacing w:line="300" w:lineRule="exact"/>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lang w:val="en-US" w:eastAsia="zh-CN"/>
              </w:rPr>
              <w:t>3</w:t>
            </w:r>
            <w:r>
              <w:rPr>
                <w:rFonts w:hint="eastAsia" w:ascii="宋体" w:hAnsi="宋体" w:eastAsia="宋体" w:cs="宋体"/>
                <w:color w:val="000000"/>
                <w:kern w:val="0"/>
                <w:sz w:val="21"/>
                <w:szCs w:val="21"/>
                <w:highlight w:val="none"/>
                <w:lang w:val="en-US" w:eastAsia="zh-CN"/>
              </w:rPr>
              <w:t>、厚度（mm）≥0.5</w:t>
            </w:r>
            <w:r>
              <w:rPr>
                <w:rFonts w:hint="eastAsia" w:ascii="宋体" w:hAnsi="宋体" w:eastAsia="宋体" w:cs="宋体"/>
                <w:color w:val="000000"/>
                <w:kern w:val="0"/>
                <w:sz w:val="21"/>
                <w:szCs w:val="21"/>
                <w:highlight w:val="none"/>
                <w:lang w:val="en-US" w:eastAsia="zh-CN"/>
              </w:rPr>
              <w:br w:type="textWrapping"/>
            </w:r>
            <w:r>
              <w:rPr>
                <w:rFonts w:hint="eastAsia" w:ascii="宋体" w:hAnsi="宋体" w:eastAsia="宋体" w:cs="宋体"/>
                <w:color w:val="000000"/>
                <w:kern w:val="0"/>
                <w:sz w:val="21"/>
                <w:szCs w:val="21"/>
                <w:highlight w:val="none"/>
                <w:lang w:val="en-US" w:eastAsia="zh-CN"/>
              </w:rPr>
              <w:t>★4、密度（根/10cm）：经向1460（±3%），纬向300（±3%）；线密度（tex）经向9（±3%），纬向35（±3%）</w:t>
            </w:r>
          </w:p>
          <w:p>
            <w:pPr>
              <w:widowControl/>
              <w:spacing w:line="300" w:lineRule="exact"/>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5、符合GB 18401-2010（B类）《国家纺织品基本安全技术规范》检测要求（包含但不限于甲醛、PH值、异味、可分解致癌芳香胺染料、耐水色牢度、耐干摩擦色牢度）</w:t>
            </w:r>
          </w:p>
          <w:p>
            <w:pPr>
              <w:widowControl/>
              <w:spacing w:line="300" w:lineRule="exact"/>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6、符合GB/T19817-2005《纺织品 装饰用织物》（优等品）全项目标准的检测要求（包含但不限于：外观质量、纤维含量、断裂强力、胀破强力、纱线抗滑移、干水洗尺寸变化率、耐水色牢度、耐光色牢度≥6级、耐干洗色牢度、耐洗色牢度）</w:t>
            </w:r>
          </w:p>
          <w:p>
            <w:pPr>
              <w:pStyle w:val="5"/>
              <w:ind w:left="0" w:leftChars="0" w:firstLine="0" w:firstLineChars="0"/>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7、遮光率（%）</w:t>
            </w:r>
            <w:r>
              <w:rPr>
                <w:rFonts w:hint="eastAsia" w:ascii="宋体" w:hAnsi="宋体" w:eastAsia="宋体" w:cs="宋体"/>
                <w:color w:val="000000"/>
                <w:kern w:val="0"/>
                <w:sz w:val="21"/>
                <w:szCs w:val="21"/>
                <w:highlight w:val="none"/>
              </w:rPr>
              <w:t>≥</w:t>
            </w:r>
            <w:r>
              <w:rPr>
                <w:rFonts w:hint="eastAsia" w:ascii="宋体" w:hAnsi="宋体" w:eastAsia="宋体" w:cs="宋体"/>
                <w:color w:val="000000"/>
                <w:kern w:val="0"/>
                <w:sz w:val="21"/>
                <w:szCs w:val="21"/>
                <w:highlight w:val="none"/>
                <w:lang w:val="en-US" w:eastAsia="zh-CN"/>
              </w:rPr>
              <w:t>85</w:t>
            </w:r>
          </w:p>
          <w:p>
            <w:pPr>
              <w:pStyle w:val="5"/>
              <w:ind w:left="0" w:leftChars="0" w:firstLine="0" w:firstLineChars="0"/>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8、防紫外线性能：UPF＞50，UPFav＞500，T（UVA）AV＜5%，T（UVB）AV＜5%</w:t>
            </w:r>
          </w:p>
          <w:p>
            <w:pPr>
              <w:pStyle w:val="5"/>
              <w:ind w:left="0" w:leftChars="0" w:firstLine="0" w:firstLineChars="0"/>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lang w:val="en-US" w:eastAsia="zh-CN"/>
              </w:rPr>
              <w:t>9、易去污性（级）：初始色差</w:t>
            </w:r>
            <w:r>
              <w:rPr>
                <w:rFonts w:hint="eastAsia" w:ascii="宋体" w:hAnsi="宋体" w:eastAsia="宋体" w:cs="宋体"/>
                <w:color w:val="000000"/>
                <w:kern w:val="0"/>
                <w:sz w:val="21"/>
                <w:szCs w:val="21"/>
                <w:highlight w:val="none"/>
              </w:rPr>
              <w:t>≥</w:t>
            </w:r>
            <w:r>
              <w:rPr>
                <w:rFonts w:hint="eastAsia" w:ascii="宋体" w:hAnsi="宋体" w:eastAsia="宋体" w:cs="宋体"/>
                <w:color w:val="000000"/>
                <w:kern w:val="0"/>
                <w:sz w:val="21"/>
                <w:szCs w:val="21"/>
                <w:highlight w:val="none"/>
                <w:lang w:val="en-US" w:eastAsia="zh-CN"/>
              </w:rPr>
              <w:t>2，洗涤后色差</w:t>
            </w:r>
            <w:r>
              <w:rPr>
                <w:rFonts w:hint="eastAsia" w:ascii="宋体" w:hAnsi="宋体" w:eastAsia="宋体" w:cs="宋体"/>
                <w:color w:val="000000"/>
                <w:kern w:val="0"/>
                <w:sz w:val="21"/>
                <w:szCs w:val="21"/>
                <w:highlight w:val="none"/>
              </w:rPr>
              <w:t>≥</w:t>
            </w:r>
            <w:r>
              <w:rPr>
                <w:rFonts w:hint="eastAsia" w:ascii="宋体" w:hAnsi="宋体" w:eastAsia="宋体" w:cs="宋体"/>
                <w:color w:val="000000"/>
                <w:kern w:val="0"/>
                <w:sz w:val="21"/>
                <w:szCs w:val="21"/>
                <w:highlight w:val="none"/>
                <w:lang w:val="en-US" w:eastAsia="zh-CN"/>
              </w:rPr>
              <w:t>3</w:t>
            </w:r>
          </w:p>
          <w:p>
            <w:pPr>
              <w:widowControl/>
              <w:spacing w:line="300" w:lineRule="exact"/>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10、挥发性有机物（mg/㎡）符合GB/T 24281-2009标准要求；邻苯二甲酸酯（%）：未检出；富马酸二甲酯（mg/kg）：</w:t>
            </w:r>
            <w:r>
              <w:rPr>
                <w:rFonts w:hint="eastAsia" w:ascii="宋体" w:hAnsi="宋体" w:eastAsia="宋体" w:cs="宋体"/>
                <w:color w:val="000000"/>
                <w:kern w:val="0"/>
                <w:sz w:val="21"/>
                <w:szCs w:val="21"/>
                <w:highlight w:val="none"/>
                <w:lang w:eastAsia="zh-CN"/>
              </w:rPr>
              <w:t>未检出</w:t>
            </w:r>
            <w:r>
              <w:rPr>
                <w:rFonts w:hint="eastAsia" w:ascii="宋体" w:hAnsi="宋体" w:eastAsia="宋体" w:cs="宋体"/>
                <w:color w:val="000000"/>
                <w:kern w:val="0"/>
                <w:sz w:val="21"/>
                <w:szCs w:val="21"/>
                <w:highlight w:val="none"/>
                <w:lang w:val="en-US" w:eastAsia="zh-CN"/>
              </w:rPr>
              <w:t>；含氯苯酚（mg/kg）：</w:t>
            </w:r>
            <w:r>
              <w:rPr>
                <w:rFonts w:hint="eastAsia" w:ascii="宋体" w:hAnsi="宋体" w:eastAsia="宋体" w:cs="宋体"/>
                <w:color w:val="000000"/>
                <w:kern w:val="0"/>
                <w:sz w:val="21"/>
                <w:szCs w:val="21"/>
                <w:highlight w:val="none"/>
                <w:lang w:eastAsia="zh-CN"/>
              </w:rPr>
              <w:t>未检出</w:t>
            </w:r>
          </w:p>
          <w:p>
            <w:pP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11、重金属（mg/kg）：铅</w:t>
            </w:r>
            <w:r>
              <w:rPr>
                <w:rFonts w:hint="eastAsia" w:ascii="宋体" w:hAnsi="宋体" w:eastAsia="宋体" w:cs="宋体"/>
                <w:color w:val="000000"/>
                <w:kern w:val="0"/>
                <w:sz w:val="21"/>
                <w:szCs w:val="21"/>
                <w:highlight w:val="none"/>
              </w:rPr>
              <w:t>≤</w:t>
            </w:r>
            <w:r>
              <w:rPr>
                <w:rFonts w:hint="eastAsia" w:ascii="宋体" w:hAnsi="宋体" w:eastAsia="宋体" w:cs="宋体"/>
                <w:color w:val="000000"/>
                <w:kern w:val="0"/>
                <w:sz w:val="21"/>
                <w:szCs w:val="21"/>
                <w:highlight w:val="none"/>
                <w:lang w:val="en-US" w:eastAsia="zh-CN"/>
              </w:rPr>
              <w:t>0.5，镉</w:t>
            </w:r>
            <w:r>
              <w:rPr>
                <w:rFonts w:hint="eastAsia" w:ascii="宋体" w:hAnsi="宋体" w:eastAsia="宋体" w:cs="宋体"/>
                <w:color w:val="000000"/>
                <w:kern w:val="0"/>
                <w:sz w:val="21"/>
                <w:szCs w:val="21"/>
                <w:highlight w:val="none"/>
              </w:rPr>
              <w:t>≤</w:t>
            </w:r>
            <w:r>
              <w:rPr>
                <w:rFonts w:hint="eastAsia" w:ascii="宋体" w:hAnsi="宋体" w:eastAsia="宋体" w:cs="宋体"/>
                <w:color w:val="000000"/>
                <w:kern w:val="0"/>
                <w:sz w:val="21"/>
                <w:szCs w:val="21"/>
                <w:highlight w:val="none"/>
                <w:lang w:val="en-US" w:eastAsia="zh-CN"/>
              </w:rPr>
              <w:t>0.1，砷</w:t>
            </w:r>
            <w:r>
              <w:rPr>
                <w:rFonts w:hint="eastAsia" w:ascii="宋体" w:hAnsi="宋体" w:eastAsia="宋体" w:cs="宋体"/>
                <w:color w:val="000000"/>
                <w:kern w:val="0"/>
                <w:sz w:val="21"/>
                <w:szCs w:val="21"/>
                <w:highlight w:val="none"/>
              </w:rPr>
              <w:t>≤</w:t>
            </w:r>
            <w:r>
              <w:rPr>
                <w:rFonts w:hint="eastAsia" w:ascii="宋体" w:hAnsi="宋体" w:eastAsia="宋体" w:cs="宋体"/>
                <w:color w:val="000000"/>
                <w:kern w:val="0"/>
                <w:sz w:val="21"/>
                <w:szCs w:val="21"/>
                <w:highlight w:val="none"/>
                <w:lang w:val="en-US" w:eastAsia="zh-CN"/>
              </w:rPr>
              <w:t>0.2，铜</w:t>
            </w:r>
            <w:r>
              <w:rPr>
                <w:rFonts w:hint="eastAsia" w:ascii="宋体" w:hAnsi="宋体" w:eastAsia="宋体" w:cs="宋体"/>
                <w:color w:val="000000"/>
                <w:kern w:val="0"/>
                <w:sz w:val="21"/>
                <w:szCs w:val="21"/>
                <w:highlight w:val="none"/>
              </w:rPr>
              <w:t>≤</w:t>
            </w:r>
            <w:r>
              <w:rPr>
                <w:rFonts w:hint="eastAsia" w:ascii="宋体" w:hAnsi="宋体" w:eastAsia="宋体" w:cs="宋体"/>
                <w:color w:val="000000"/>
                <w:kern w:val="0"/>
                <w:sz w:val="21"/>
                <w:szCs w:val="21"/>
                <w:highlight w:val="none"/>
                <w:lang w:val="en-US" w:eastAsia="zh-CN"/>
              </w:rPr>
              <w:t>1.0，钴</w:t>
            </w:r>
            <w:r>
              <w:rPr>
                <w:rFonts w:hint="eastAsia" w:ascii="宋体" w:hAnsi="宋体" w:eastAsia="宋体" w:cs="宋体"/>
                <w:color w:val="000000"/>
                <w:kern w:val="0"/>
                <w:sz w:val="21"/>
                <w:szCs w:val="21"/>
                <w:highlight w:val="none"/>
              </w:rPr>
              <w:t>≤</w:t>
            </w:r>
            <w:r>
              <w:rPr>
                <w:rFonts w:hint="eastAsia" w:ascii="宋体" w:hAnsi="宋体" w:eastAsia="宋体" w:cs="宋体"/>
                <w:color w:val="000000"/>
                <w:kern w:val="0"/>
                <w:sz w:val="21"/>
                <w:szCs w:val="21"/>
                <w:highlight w:val="none"/>
                <w:lang w:val="en-US" w:eastAsia="zh-CN"/>
              </w:rPr>
              <w:t>0.2，镍</w:t>
            </w:r>
            <w:r>
              <w:rPr>
                <w:rFonts w:hint="eastAsia" w:ascii="宋体" w:hAnsi="宋体" w:eastAsia="宋体" w:cs="宋体"/>
                <w:color w:val="000000"/>
                <w:kern w:val="0"/>
                <w:sz w:val="21"/>
                <w:szCs w:val="21"/>
                <w:highlight w:val="none"/>
              </w:rPr>
              <w:t>≤</w:t>
            </w:r>
            <w:r>
              <w:rPr>
                <w:rFonts w:hint="eastAsia" w:ascii="宋体" w:hAnsi="宋体" w:eastAsia="宋体" w:cs="宋体"/>
                <w:color w:val="000000"/>
                <w:kern w:val="0"/>
                <w:sz w:val="21"/>
                <w:szCs w:val="21"/>
                <w:highlight w:val="none"/>
                <w:lang w:val="en-US" w:eastAsia="zh-CN"/>
              </w:rPr>
              <w:t>0.2，铬</w:t>
            </w:r>
            <w:r>
              <w:rPr>
                <w:rFonts w:hint="eastAsia" w:ascii="宋体" w:hAnsi="宋体" w:eastAsia="宋体" w:cs="宋体"/>
                <w:color w:val="000000"/>
                <w:kern w:val="0"/>
                <w:sz w:val="21"/>
                <w:szCs w:val="21"/>
                <w:highlight w:val="none"/>
              </w:rPr>
              <w:t>≤</w:t>
            </w:r>
            <w:r>
              <w:rPr>
                <w:rFonts w:hint="eastAsia" w:ascii="宋体" w:hAnsi="宋体" w:eastAsia="宋体" w:cs="宋体"/>
                <w:color w:val="000000"/>
                <w:kern w:val="0"/>
                <w:sz w:val="21"/>
                <w:szCs w:val="21"/>
                <w:highlight w:val="none"/>
                <w:lang w:val="en-US" w:eastAsia="zh-CN"/>
              </w:rPr>
              <w:t>0.2，锑</w:t>
            </w:r>
            <w:r>
              <w:rPr>
                <w:rFonts w:hint="eastAsia" w:ascii="宋体" w:hAnsi="宋体" w:eastAsia="宋体" w:cs="宋体"/>
                <w:color w:val="000000"/>
                <w:kern w:val="0"/>
                <w:sz w:val="21"/>
                <w:szCs w:val="21"/>
                <w:highlight w:val="none"/>
              </w:rPr>
              <w:t>≤</w:t>
            </w:r>
            <w:r>
              <w:rPr>
                <w:rFonts w:hint="eastAsia" w:ascii="宋体" w:hAnsi="宋体" w:eastAsia="宋体" w:cs="宋体"/>
                <w:color w:val="000000"/>
                <w:kern w:val="0"/>
                <w:sz w:val="21"/>
                <w:szCs w:val="21"/>
                <w:highlight w:val="none"/>
                <w:lang w:val="en-US" w:eastAsia="zh-CN"/>
              </w:rPr>
              <w:t>0.2，铬（六价）</w:t>
            </w:r>
            <w:r>
              <w:rPr>
                <w:rFonts w:hint="eastAsia" w:ascii="宋体" w:hAnsi="宋体" w:eastAsia="宋体" w:cs="宋体"/>
                <w:color w:val="000000"/>
                <w:kern w:val="0"/>
                <w:sz w:val="21"/>
                <w:szCs w:val="21"/>
                <w:highlight w:val="none"/>
              </w:rPr>
              <w:t>≤</w:t>
            </w:r>
            <w:r>
              <w:rPr>
                <w:rFonts w:hint="eastAsia" w:ascii="宋体" w:hAnsi="宋体" w:eastAsia="宋体" w:cs="宋体"/>
                <w:color w:val="000000"/>
                <w:kern w:val="0"/>
                <w:sz w:val="21"/>
                <w:szCs w:val="21"/>
                <w:highlight w:val="none"/>
                <w:lang w:val="en-US" w:eastAsia="zh-CN"/>
              </w:rPr>
              <w:t>0.20，汞</w:t>
            </w:r>
            <w:r>
              <w:rPr>
                <w:rFonts w:hint="eastAsia" w:ascii="宋体" w:hAnsi="宋体" w:eastAsia="宋体" w:cs="宋体"/>
                <w:color w:val="000000"/>
                <w:kern w:val="0"/>
                <w:sz w:val="21"/>
                <w:szCs w:val="21"/>
                <w:highlight w:val="none"/>
              </w:rPr>
              <w:t>≤</w:t>
            </w:r>
            <w:r>
              <w:rPr>
                <w:rFonts w:hint="eastAsia" w:ascii="宋体" w:hAnsi="宋体" w:eastAsia="宋体" w:cs="宋体"/>
                <w:color w:val="000000"/>
                <w:kern w:val="0"/>
                <w:sz w:val="21"/>
                <w:szCs w:val="21"/>
                <w:highlight w:val="none"/>
                <w:lang w:val="en-US" w:eastAsia="zh-CN"/>
              </w:rPr>
              <w:t>0.005</w:t>
            </w:r>
          </w:p>
          <w:p>
            <w:pPr>
              <w:spacing w:line="300" w:lineRule="exac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w:t>
            </w:r>
            <w:r>
              <w:rPr>
                <w:rFonts w:hint="eastAsia" w:ascii="宋体" w:hAnsi="宋体" w:eastAsia="宋体" w:cs="宋体"/>
                <w:color w:val="000000"/>
                <w:kern w:val="0"/>
                <w:sz w:val="21"/>
                <w:szCs w:val="21"/>
                <w:lang w:val="en-US" w:eastAsia="zh-CN"/>
              </w:rPr>
              <w:t>12</w:t>
            </w:r>
            <w:r>
              <w:rPr>
                <w:rFonts w:hint="eastAsia" w:ascii="宋体" w:hAnsi="宋体" w:eastAsia="宋体" w:cs="宋体"/>
                <w:color w:val="000000"/>
                <w:kern w:val="0"/>
                <w:sz w:val="21"/>
                <w:szCs w:val="21"/>
              </w:rPr>
              <w:t>、</w:t>
            </w:r>
            <w:r>
              <w:rPr>
                <w:rFonts w:hint="eastAsia" w:ascii="宋体" w:hAnsi="宋体" w:eastAsia="宋体" w:cs="宋体"/>
                <w:b w:val="0"/>
                <w:bCs/>
                <w:sz w:val="21"/>
                <w:szCs w:val="21"/>
                <w:lang w:val="en-US" w:eastAsia="zh-CN"/>
              </w:rPr>
              <w:t>燃烧性能符合（GB/T 17591-2006）装饰用织物B1级：损毁长度≤150mm  续燃时间≤5S 阴燃时间≤5S或符合GB 20286-2006 公共场所阻燃制品1级阻燃要求。</w:t>
            </w:r>
          </w:p>
        </w:tc>
        <w:tc>
          <w:tcPr>
            <w:tcW w:w="130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咖色</w:t>
            </w:r>
          </w:p>
          <w:p>
            <w:pPr>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蓝色</w:t>
            </w:r>
          </w:p>
          <w:p>
            <w:pPr>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绿色</w:t>
            </w:r>
          </w:p>
          <w:p>
            <w:pPr>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米色等</w:t>
            </w:r>
          </w:p>
        </w:tc>
        <w:tc>
          <w:tcPr>
            <w:tcW w:w="1077" w:type="dxa"/>
            <w:tcBorders>
              <w:top w:val="single" w:color="auto" w:sz="4" w:space="0"/>
              <w:bottom w:val="single" w:color="auto" w:sz="4" w:space="0"/>
              <w:right w:val="single" w:color="auto" w:sz="4" w:space="0"/>
            </w:tcBorders>
            <w:shd w:val="clear" w:color="auto" w:fill="auto"/>
            <w:vAlign w:val="center"/>
          </w:tcPr>
          <w:p>
            <w:pPr>
              <w:widowControl/>
              <w:spacing w:line="300" w:lineRule="exact"/>
              <w:jc w:val="center"/>
              <w:rPr>
                <w:rFonts w:hint="eastAsia" w:ascii="宋体" w:hAnsi="宋体" w:eastAsia="宋体" w:cs="宋体"/>
                <w:color w:val="000000"/>
                <w:kern w:val="0"/>
                <w:sz w:val="20"/>
                <w:szCs w:val="21"/>
                <w:lang w:val="en-US" w:eastAsia="zh-CN" w:bidi="ar-SA"/>
              </w:rPr>
            </w:pPr>
            <w:r>
              <w:rPr>
                <w:rFonts w:hint="eastAsia" w:ascii="宋体" w:hAnsi="宋体" w:eastAsia="宋体" w:cs="宋体"/>
                <w:color w:val="000000"/>
                <w:kern w:val="0"/>
                <w:sz w:val="20"/>
                <w:szCs w:val="21"/>
              </w:rPr>
              <w:t>米</w:t>
            </w:r>
          </w:p>
        </w:tc>
        <w:tc>
          <w:tcPr>
            <w:tcW w:w="1077" w:type="dxa"/>
            <w:tcBorders>
              <w:top w:val="single" w:color="auto" w:sz="4" w:space="0"/>
              <w:bottom w:val="single" w:color="auto" w:sz="4" w:space="0"/>
              <w:right w:val="single" w:color="auto" w:sz="4" w:space="0"/>
            </w:tcBorders>
            <w:shd w:val="clear" w:color="auto" w:fill="auto"/>
            <w:vAlign w:val="center"/>
          </w:tcPr>
          <w:p>
            <w:pPr>
              <w:jc w:val="center"/>
              <w:rPr>
                <w:rFonts w:asciiTheme="minorEastAsia" w:hAnsiTheme="minorEastAsia" w:eastAsiaTheme="minorEastAsia" w:cstheme="minorBidi"/>
                <w:kern w:val="2"/>
                <w:sz w:val="21"/>
                <w:szCs w:val="22"/>
                <w:lang w:val="en-US" w:eastAsia="zh-CN" w:bidi="ar-SA"/>
              </w:rPr>
            </w:pPr>
            <w:r>
              <w:rPr>
                <w:rFonts w:hint="eastAsia" w:ascii="Times New Roman" w:hAnsi="Times New Roman" w:eastAsia="宋体" w:cs="Times New Roman"/>
                <w:color w:val="000000"/>
                <w:kern w:val="0"/>
                <w:sz w:val="20"/>
                <w:szCs w:val="21"/>
                <w:lang w:val="en-US" w:eastAsia="zh-CN"/>
              </w:rPr>
              <w:t>27</w:t>
            </w:r>
            <w:r>
              <w:rPr>
                <w:rFonts w:hint="eastAsia" w:ascii="Times New Roman" w:hAnsi="Times New Roman" w:eastAsia="宋体" w:cs="Times New Roman"/>
                <w:color w:val="000000"/>
                <w:kern w:val="0"/>
                <w:sz w:val="20"/>
                <w:szCs w:val="21"/>
              </w:rPr>
              <w:t>元/米</w:t>
            </w:r>
          </w:p>
        </w:tc>
        <w:tc>
          <w:tcPr>
            <w:tcW w:w="1077" w:type="dxa"/>
            <w:tcBorders>
              <w:top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Times New Roman"/>
                <w:color w:val="000000"/>
                <w:kern w:val="0"/>
                <w:szCs w:val="21"/>
              </w:rPr>
            </w:pPr>
            <w:r>
              <w:rPr>
                <w:rFonts w:hint="eastAsia" w:ascii="宋体" w:hAnsi="宋体" w:eastAsia="宋体" w:cs="宋体"/>
                <w:i w:val="0"/>
                <w:color w:val="000000"/>
                <w:kern w:val="0"/>
                <w:sz w:val="22"/>
                <w:szCs w:val="22"/>
                <w:u w:val="none"/>
                <w:lang w:val="en-US" w:eastAsia="zh-CN" w:bidi="ar"/>
              </w:rPr>
              <w:t>100</w:t>
            </w:r>
          </w:p>
        </w:tc>
        <w:tc>
          <w:tcPr>
            <w:tcW w:w="2640" w:type="dxa"/>
            <w:tcBorders>
              <w:top w:val="single" w:color="auto" w:sz="4" w:space="0"/>
              <w:bottom w:val="single" w:color="auto" w:sz="4" w:space="0"/>
              <w:right w:val="single" w:color="auto" w:sz="4" w:space="0"/>
            </w:tcBorders>
            <w:shd w:val="clear" w:color="auto" w:fill="auto"/>
          </w:tcPr>
          <w:p>
            <w:pPr>
              <w:widowControl/>
              <w:jc w:val="left"/>
              <w:rPr>
                <w:rFonts w:ascii="Times New Roman" w:hAnsi="Times New Roman" w:eastAsia="宋体" w:cs="Times New Roman"/>
                <w:color w:val="000000"/>
                <w:kern w:val="0"/>
                <w:szCs w:val="21"/>
              </w:rPr>
            </w:pPr>
          </w:p>
          <w:p>
            <w:pPr>
              <w:widowControl/>
              <w:jc w:val="left"/>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lang w:eastAsia="zh-CN"/>
              </w:rPr>
              <w:drawing>
                <wp:inline distT="0" distB="0" distL="114300" distR="114300">
                  <wp:extent cx="1533525" cy="1521460"/>
                  <wp:effectExtent l="0" t="0" r="9525" b="2540"/>
                  <wp:docPr id="2" name="图片 2" descr="普通窗帘"/>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普通窗帘"/>
                          <pic:cNvPicPr>
                            <a:picLocks noChangeAspect="1"/>
                          </pic:cNvPicPr>
                        </pic:nvPicPr>
                        <pic:blipFill>
                          <a:blip r:embed="rId6"/>
                          <a:stretch>
                            <a:fillRect/>
                          </a:stretch>
                        </pic:blipFill>
                        <pic:spPr>
                          <a:xfrm>
                            <a:off x="0" y="0"/>
                            <a:ext cx="1533525" cy="1521460"/>
                          </a:xfrm>
                          <a:prstGeom prst="rect">
                            <a:avLst/>
                          </a:prstGeom>
                        </pic:spPr>
                      </pic:pic>
                    </a:graphicData>
                  </a:graphic>
                </wp:inline>
              </w:drawing>
            </w:r>
          </w:p>
        </w:tc>
      </w:tr>
      <w:tr>
        <w:tblPrEx>
          <w:tblCellMar>
            <w:top w:w="0" w:type="dxa"/>
            <w:left w:w="108" w:type="dxa"/>
            <w:bottom w:w="0" w:type="dxa"/>
            <w:right w:w="108" w:type="dxa"/>
          </w:tblCellMar>
        </w:tblPrEx>
        <w:trPr>
          <w:trHeight w:val="5513" w:hRule="atLeast"/>
          <w:jc w:val="center"/>
        </w:trPr>
        <w:tc>
          <w:tcPr>
            <w:tcW w:w="794"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3</w:t>
            </w:r>
          </w:p>
        </w:tc>
        <w:tc>
          <w:tcPr>
            <w:tcW w:w="1531"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遮光窗帘面料</w:t>
            </w:r>
          </w:p>
        </w:tc>
        <w:tc>
          <w:tcPr>
            <w:tcW w:w="5102" w:type="dxa"/>
            <w:tcBorders>
              <w:top w:val="single" w:color="auto" w:sz="4" w:space="0"/>
              <w:left w:val="nil"/>
              <w:bottom w:val="single" w:color="auto" w:sz="4" w:space="0"/>
              <w:right w:val="single" w:color="auto" w:sz="4" w:space="0"/>
            </w:tcBorders>
            <w:shd w:val="clear" w:color="auto" w:fill="auto"/>
            <w:noWrap/>
            <w:vAlign w:val="center"/>
          </w:tcPr>
          <w:p>
            <w:pPr>
              <w:pStyle w:val="6"/>
              <w:numPr>
                <w:ilvl w:val="0"/>
                <w:numId w:val="1"/>
              </w:numPr>
              <w:autoSpaceDE w:val="0"/>
              <w:autoSpaceDN w:val="0"/>
              <w:spacing w:line="360" w:lineRule="exact"/>
              <w:jc w:val="both"/>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纤维含量（%）：100%聚酯纤维</w:t>
            </w:r>
          </w:p>
          <w:p>
            <w:pPr>
              <w:pStyle w:val="6"/>
              <w:numPr>
                <w:ilvl w:val="0"/>
                <w:numId w:val="1"/>
              </w:numPr>
              <w:autoSpaceDE w:val="0"/>
              <w:autoSpaceDN w:val="0"/>
              <w:spacing w:line="360" w:lineRule="exact"/>
              <w:jc w:val="both"/>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厚度（mm）：≥0.5</w:t>
            </w:r>
          </w:p>
          <w:p>
            <w:pPr>
              <w:pStyle w:val="6"/>
              <w:numPr>
                <w:ilvl w:val="0"/>
                <w:numId w:val="1"/>
              </w:numPr>
              <w:autoSpaceDE w:val="0"/>
              <w:autoSpaceDN w:val="0"/>
              <w:spacing w:line="360" w:lineRule="exact"/>
              <w:jc w:val="both"/>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单位面积质量（g/㎡）：310（±5%）</w:t>
            </w:r>
          </w:p>
          <w:p>
            <w:pPr>
              <w:pStyle w:val="6"/>
              <w:autoSpaceDE w:val="0"/>
              <w:autoSpaceDN w:val="0"/>
              <w:spacing w:line="360" w:lineRule="exact"/>
              <w:jc w:val="both"/>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★4、纱线线密度：经向一股36tex±3%，经向另一股： 35tex±3%，纬向： 17tex±3%；机织物密度（根/10cm）：经向：660±3%，纬向：500±3%；</w:t>
            </w:r>
          </w:p>
          <w:p>
            <w:pPr>
              <w:pStyle w:val="6"/>
              <w:numPr>
                <w:ilvl w:val="0"/>
                <w:numId w:val="0"/>
              </w:numPr>
              <w:autoSpaceDE w:val="0"/>
              <w:autoSpaceDN w:val="0"/>
              <w:spacing w:line="360" w:lineRule="exact"/>
              <w:ind w:leftChars="0"/>
              <w:jc w:val="both"/>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5、防紫外线性能：UPF＞50</w:t>
            </w:r>
          </w:p>
          <w:p>
            <w:pPr>
              <w:pStyle w:val="6"/>
              <w:numPr>
                <w:ilvl w:val="0"/>
                <w:numId w:val="0"/>
              </w:numPr>
              <w:autoSpaceDE w:val="0"/>
              <w:autoSpaceDN w:val="0"/>
              <w:spacing w:line="360" w:lineRule="exact"/>
              <w:ind w:leftChars="0"/>
              <w:jc w:val="both"/>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6、遮光率（%）：≥95</w:t>
            </w:r>
          </w:p>
          <w:p>
            <w:pPr>
              <w:pStyle w:val="6"/>
              <w:numPr>
                <w:ilvl w:val="0"/>
                <w:numId w:val="0"/>
              </w:numPr>
              <w:autoSpaceDE w:val="0"/>
              <w:autoSpaceDN w:val="0"/>
              <w:spacing w:line="360" w:lineRule="exact"/>
              <w:ind w:leftChars="0"/>
              <w:jc w:val="both"/>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7、透气率（mm/s）：≥40</w:t>
            </w:r>
          </w:p>
          <w:p>
            <w:pPr>
              <w:pStyle w:val="6"/>
              <w:autoSpaceDE w:val="0"/>
              <w:autoSpaceDN w:val="0"/>
              <w:spacing w:line="360" w:lineRule="exact"/>
              <w:jc w:val="both"/>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8、断裂强力（N）：经向≥2500，纬向≥1800</w:t>
            </w:r>
          </w:p>
          <w:p>
            <w:pPr>
              <w:pStyle w:val="6"/>
              <w:numPr>
                <w:ilvl w:val="0"/>
                <w:numId w:val="0"/>
              </w:numPr>
              <w:autoSpaceDE w:val="0"/>
              <w:autoSpaceDN w:val="0"/>
              <w:spacing w:line="360" w:lineRule="exact"/>
              <w:jc w:val="both"/>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9、织物悬垂性（%）:a面平均≥50    b面平均≥50  总平均≥50</w:t>
            </w:r>
          </w:p>
          <w:p>
            <w:pPr>
              <w:pStyle w:val="6"/>
              <w:numPr>
                <w:ilvl w:val="0"/>
                <w:numId w:val="0"/>
              </w:numPr>
              <w:autoSpaceDE w:val="0"/>
              <w:autoSpaceDN w:val="0"/>
              <w:spacing w:line="360" w:lineRule="exact"/>
              <w:jc w:val="both"/>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10、顶破强力（kPa）:≥2800</w:t>
            </w:r>
          </w:p>
          <w:p>
            <w:pPr>
              <w:pStyle w:val="6"/>
              <w:numPr>
                <w:ilvl w:val="0"/>
                <w:numId w:val="0"/>
              </w:numPr>
              <w:autoSpaceDE w:val="0"/>
              <w:autoSpaceDN w:val="0"/>
              <w:spacing w:line="360" w:lineRule="exact"/>
              <w:ind w:leftChars="0"/>
              <w:jc w:val="both"/>
              <w:rPr>
                <w:rFonts w:hint="eastAsia" w:ascii="宋体" w:hAnsi="宋体" w:eastAsia="宋体" w:cs="宋体"/>
                <w:b w:val="0"/>
                <w:bCs/>
                <w:sz w:val="21"/>
                <w:szCs w:val="21"/>
                <w:lang w:val="en-US" w:eastAsia="zh-CN"/>
              </w:rPr>
            </w:pPr>
            <w:r>
              <w:rPr>
                <w:rFonts w:hint="eastAsia" w:ascii="宋体" w:hAnsi="宋体" w:eastAsia="宋体" w:cs="宋体"/>
                <w:color w:val="000000"/>
                <w:kern w:val="0"/>
                <w:sz w:val="21"/>
                <w:szCs w:val="21"/>
                <w:lang w:val="en-US" w:eastAsia="zh-CN"/>
              </w:rPr>
              <w:t>11、符合GB 18401-2010（B类）《国家纺织品基本安全技术规范》检测要求（包含但不限于甲醛、PH值、异味、可分解致癌芳香胺染料）</w:t>
            </w:r>
          </w:p>
          <w:p>
            <w:pPr>
              <w:pStyle w:val="6"/>
              <w:numPr>
                <w:ilvl w:val="0"/>
                <w:numId w:val="0"/>
              </w:numPr>
              <w:autoSpaceDE w:val="0"/>
              <w:autoSpaceDN w:val="0"/>
              <w:spacing w:line="360" w:lineRule="exact"/>
              <w:ind w:leftChars="0"/>
              <w:jc w:val="both"/>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12、耐光色牢度（级）:≥5；耐水色牢度（级）:≥4</w:t>
            </w:r>
          </w:p>
          <w:p>
            <w:pPr>
              <w:pStyle w:val="6"/>
              <w:numPr>
                <w:ilvl w:val="0"/>
                <w:numId w:val="0"/>
              </w:numPr>
              <w:autoSpaceDE w:val="0"/>
              <w:autoSpaceDN w:val="0"/>
              <w:spacing w:line="360" w:lineRule="exact"/>
              <w:ind w:leftChars="0"/>
              <w:jc w:val="both"/>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13、水洗尺寸变化率（%）：-3.0～+3.0；</w:t>
            </w:r>
          </w:p>
          <w:p>
            <w:pPr>
              <w:widowControl/>
              <w:spacing w:line="300" w:lineRule="exac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w:t>
            </w:r>
            <w:r>
              <w:rPr>
                <w:rFonts w:hint="eastAsia" w:ascii="宋体" w:hAnsi="宋体" w:eastAsia="宋体" w:cs="宋体"/>
                <w:color w:val="000000"/>
                <w:kern w:val="0"/>
                <w:sz w:val="21"/>
                <w:szCs w:val="21"/>
                <w:lang w:val="en-US" w:eastAsia="zh-CN"/>
              </w:rPr>
              <w:t>4</w:t>
            </w:r>
            <w:r>
              <w:rPr>
                <w:rFonts w:hint="eastAsia" w:ascii="宋体" w:hAnsi="宋体" w:eastAsia="宋体" w:cs="宋体"/>
                <w:color w:val="000000"/>
                <w:kern w:val="0"/>
                <w:sz w:val="21"/>
                <w:szCs w:val="21"/>
              </w:rPr>
              <w:t>、</w:t>
            </w:r>
            <w:r>
              <w:rPr>
                <w:rFonts w:hint="eastAsia" w:ascii="宋体" w:hAnsi="宋体" w:eastAsia="宋体" w:cs="宋体"/>
                <w:b w:val="0"/>
                <w:bCs/>
                <w:sz w:val="21"/>
                <w:szCs w:val="21"/>
                <w:lang w:val="en-US" w:eastAsia="zh-CN"/>
              </w:rPr>
              <w:t>燃烧性能符合（GB/T 17591-2006）装饰用织物B1级：损毁长度≤150mm  续燃时间≤5S 阴燃时间≤5S或符合GB 20286-2006 公共场所阻燃制品1级阻燃要求。</w:t>
            </w:r>
          </w:p>
        </w:tc>
        <w:tc>
          <w:tcPr>
            <w:tcW w:w="130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蓝色</w:t>
            </w:r>
          </w:p>
          <w:p>
            <w:pPr>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淡绿</w:t>
            </w:r>
          </w:p>
          <w:p>
            <w:pPr>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咖色</w:t>
            </w:r>
          </w:p>
          <w:p>
            <w:pPr>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淡粉</w:t>
            </w:r>
          </w:p>
          <w:p>
            <w:pPr>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淡黄色等</w:t>
            </w:r>
          </w:p>
        </w:tc>
        <w:tc>
          <w:tcPr>
            <w:tcW w:w="1077" w:type="dxa"/>
            <w:tcBorders>
              <w:top w:val="single" w:color="auto" w:sz="4" w:space="0"/>
              <w:bottom w:val="single" w:color="auto" w:sz="4" w:space="0"/>
              <w:right w:val="single" w:color="auto" w:sz="4" w:space="0"/>
            </w:tcBorders>
            <w:shd w:val="clear" w:color="auto" w:fill="auto"/>
            <w:vAlign w:val="center"/>
          </w:tcPr>
          <w:p>
            <w:pPr>
              <w:widowControl/>
              <w:spacing w:line="300" w:lineRule="exact"/>
              <w:jc w:val="center"/>
              <w:rPr>
                <w:rFonts w:hint="eastAsia" w:ascii="宋体" w:hAnsi="宋体" w:eastAsia="宋体" w:cs="宋体"/>
                <w:color w:val="000000"/>
                <w:kern w:val="0"/>
                <w:sz w:val="20"/>
                <w:szCs w:val="21"/>
                <w:lang w:val="en-US" w:eastAsia="zh-CN" w:bidi="ar-SA"/>
              </w:rPr>
            </w:pPr>
            <w:r>
              <w:rPr>
                <w:rFonts w:hint="eastAsia" w:ascii="宋体" w:hAnsi="宋体" w:eastAsia="宋体" w:cs="宋体"/>
                <w:color w:val="000000"/>
                <w:kern w:val="0"/>
                <w:sz w:val="20"/>
                <w:szCs w:val="21"/>
              </w:rPr>
              <w:t>米</w:t>
            </w:r>
          </w:p>
        </w:tc>
        <w:tc>
          <w:tcPr>
            <w:tcW w:w="1077" w:type="dxa"/>
            <w:tcBorders>
              <w:top w:val="single" w:color="auto" w:sz="4" w:space="0"/>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Bidi"/>
                <w:kern w:val="2"/>
                <w:sz w:val="21"/>
                <w:szCs w:val="22"/>
                <w:lang w:val="en-US" w:eastAsia="zh-CN" w:bidi="ar-SA"/>
              </w:rPr>
            </w:pPr>
            <w:r>
              <w:rPr>
                <w:rFonts w:hint="eastAsia" w:ascii="Times New Roman" w:hAnsi="Times New Roman" w:eastAsia="宋体" w:cs="Times New Roman"/>
                <w:color w:val="000000"/>
                <w:kern w:val="0"/>
                <w:sz w:val="20"/>
                <w:szCs w:val="21"/>
                <w:lang w:val="en-US" w:eastAsia="zh-CN"/>
              </w:rPr>
              <w:t>51</w:t>
            </w:r>
            <w:r>
              <w:rPr>
                <w:rFonts w:hint="eastAsia" w:ascii="Times New Roman" w:hAnsi="Times New Roman" w:eastAsia="宋体" w:cs="Times New Roman"/>
                <w:color w:val="000000"/>
                <w:kern w:val="0"/>
                <w:sz w:val="20"/>
                <w:szCs w:val="21"/>
              </w:rPr>
              <w:t>元/米</w:t>
            </w:r>
          </w:p>
        </w:tc>
        <w:tc>
          <w:tcPr>
            <w:tcW w:w="1077" w:type="dxa"/>
            <w:tcBorders>
              <w:top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Times New Roman"/>
                <w:color w:val="000000"/>
                <w:kern w:val="0"/>
                <w:sz w:val="20"/>
                <w:szCs w:val="21"/>
              </w:rPr>
            </w:pPr>
            <w:r>
              <w:rPr>
                <w:rFonts w:hint="eastAsia" w:ascii="宋体" w:hAnsi="宋体" w:eastAsia="宋体" w:cs="宋体"/>
                <w:i w:val="0"/>
                <w:color w:val="000000"/>
                <w:kern w:val="0"/>
                <w:sz w:val="22"/>
                <w:szCs w:val="22"/>
                <w:u w:val="none"/>
                <w:lang w:val="en-US" w:eastAsia="zh-CN" w:bidi="ar"/>
              </w:rPr>
              <w:t>600</w:t>
            </w:r>
          </w:p>
        </w:tc>
        <w:tc>
          <w:tcPr>
            <w:tcW w:w="2640" w:type="dxa"/>
            <w:tcBorders>
              <w:top w:val="single" w:color="auto" w:sz="4" w:space="0"/>
              <w:bottom w:val="single" w:color="auto" w:sz="4" w:space="0"/>
              <w:right w:val="single" w:color="auto" w:sz="4" w:space="0"/>
            </w:tcBorders>
            <w:shd w:val="clear" w:color="auto" w:fill="auto"/>
          </w:tcPr>
          <w:p>
            <w:pPr>
              <w:widowControl/>
              <w:jc w:val="center"/>
              <w:rPr>
                <w:rFonts w:hint="eastAsia" w:ascii="Times New Roman" w:hAnsi="Times New Roman" w:eastAsia="宋体" w:cs="Times New Roman"/>
                <w:color w:val="000000"/>
                <w:kern w:val="0"/>
                <w:sz w:val="20"/>
                <w:szCs w:val="21"/>
              </w:rPr>
            </w:pPr>
          </w:p>
          <w:p>
            <w:pPr>
              <w:widowControl/>
              <w:jc w:val="center"/>
              <w:rPr>
                <w:rFonts w:hint="eastAsia" w:ascii="Times New Roman" w:hAnsi="Times New Roman" w:eastAsia="宋体" w:cs="Times New Roman"/>
                <w:color w:val="000000"/>
                <w:kern w:val="0"/>
                <w:sz w:val="20"/>
                <w:szCs w:val="21"/>
              </w:rPr>
            </w:pPr>
          </w:p>
          <w:p>
            <w:pPr>
              <w:widowControl/>
              <w:jc w:val="center"/>
              <w:rPr>
                <w:rFonts w:ascii="Times New Roman" w:hAnsi="Times New Roman" w:eastAsia="宋体" w:cs="Times New Roman"/>
                <w:color w:val="000000"/>
                <w:kern w:val="0"/>
                <w:sz w:val="20"/>
                <w:szCs w:val="21"/>
              </w:rPr>
            </w:pPr>
            <w:r>
              <w:rPr>
                <w:rFonts w:hint="eastAsia" w:ascii="Times New Roman" w:hAnsi="Times New Roman" w:eastAsia="宋体" w:cs="Times New Roman"/>
                <w:color w:val="000000"/>
                <w:kern w:val="0"/>
                <w:sz w:val="20"/>
                <w:szCs w:val="21"/>
                <w:lang w:eastAsia="zh-CN"/>
              </w:rPr>
              <w:drawing>
                <wp:inline distT="0" distB="0" distL="114300" distR="114300">
                  <wp:extent cx="1534795" cy="1489075"/>
                  <wp:effectExtent l="0" t="0" r="8255" b="15875"/>
                  <wp:docPr id="3" name="图片 3" descr="遮光窗帘"/>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遮光窗帘"/>
                          <pic:cNvPicPr>
                            <a:picLocks noChangeAspect="1"/>
                          </pic:cNvPicPr>
                        </pic:nvPicPr>
                        <pic:blipFill>
                          <a:blip r:embed="rId7"/>
                          <a:stretch>
                            <a:fillRect/>
                          </a:stretch>
                        </pic:blipFill>
                        <pic:spPr>
                          <a:xfrm>
                            <a:off x="0" y="0"/>
                            <a:ext cx="1534795" cy="1489075"/>
                          </a:xfrm>
                          <a:prstGeom prst="rect">
                            <a:avLst/>
                          </a:prstGeom>
                        </pic:spPr>
                      </pic:pic>
                    </a:graphicData>
                  </a:graphic>
                </wp:inline>
              </w:drawing>
            </w:r>
          </w:p>
        </w:tc>
      </w:tr>
      <w:tr>
        <w:tblPrEx>
          <w:tblCellMar>
            <w:top w:w="0" w:type="dxa"/>
            <w:left w:w="108" w:type="dxa"/>
            <w:bottom w:w="0" w:type="dxa"/>
            <w:right w:w="108" w:type="dxa"/>
          </w:tblCellMar>
        </w:tblPrEx>
        <w:trPr>
          <w:trHeight w:val="5820" w:hRule="atLeast"/>
          <w:jc w:val="center"/>
        </w:trPr>
        <w:tc>
          <w:tcPr>
            <w:tcW w:w="794"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4</w:t>
            </w:r>
          </w:p>
        </w:tc>
        <w:tc>
          <w:tcPr>
            <w:tcW w:w="153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全遮光</w:t>
            </w:r>
          </w:p>
          <w:p>
            <w:pPr>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窗帘面料</w:t>
            </w:r>
          </w:p>
        </w:tc>
        <w:tc>
          <w:tcPr>
            <w:tcW w:w="5102" w:type="dxa"/>
            <w:tcBorders>
              <w:top w:val="single" w:color="auto" w:sz="4" w:space="0"/>
              <w:left w:val="nil"/>
              <w:bottom w:val="single" w:color="auto" w:sz="4" w:space="0"/>
              <w:right w:val="single" w:color="auto" w:sz="4" w:space="0"/>
            </w:tcBorders>
            <w:shd w:val="clear" w:color="auto" w:fill="auto"/>
            <w:noWrap/>
            <w:vAlign w:val="center"/>
          </w:tcPr>
          <w:p>
            <w:pPr>
              <w:pStyle w:val="6"/>
              <w:numPr>
                <w:ilvl w:val="0"/>
                <w:numId w:val="2"/>
              </w:numPr>
              <w:autoSpaceDE w:val="0"/>
              <w:autoSpaceDN w:val="0"/>
              <w:spacing w:line="360" w:lineRule="exact"/>
              <w:jc w:val="both"/>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成份：100%聚酯纤维</w:t>
            </w:r>
          </w:p>
          <w:p>
            <w:pPr>
              <w:pStyle w:val="6"/>
              <w:numPr>
                <w:ilvl w:val="0"/>
                <w:numId w:val="2"/>
              </w:numPr>
              <w:autoSpaceDE w:val="0"/>
              <w:autoSpaceDN w:val="0"/>
              <w:spacing w:line="360" w:lineRule="exact"/>
              <w:jc w:val="both"/>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克重：410g/㎡</w:t>
            </w:r>
            <w:r>
              <w:rPr>
                <w:rFonts w:hint="eastAsia" w:hAnsi="宋体" w:eastAsia="宋体" w:cs="宋体"/>
                <w:b w:val="0"/>
                <w:bCs/>
                <w:sz w:val="21"/>
                <w:szCs w:val="21"/>
                <w:lang w:val="en-US" w:eastAsia="zh-CN"/>
              </w:rPr>
              <w:t>（</w:t>
            </w:r>
            <w:r>
              <w:rPr>
                <w:rFonts w:hint="eastAsia" w:ascii="宋体" w:hAnsi="宋体" w:eastAsia="宋体" w:cs="宋体"/>
                <w:b w:val="0"/>
                <w:bCs/>
                <w:sz w:val="21"/>
                <w:szCs w:val="21"/>
                <w:lang w:val="en-US" w:eastAsia="zh-CN"/>
              </w:rPr>
              <w:t>±5%</w:t>
            </w:r>
            <w:r>
              <w:rPr>
                <w:rFonts w:hint="eastAsia" w:hAnsi="宋体" w:eastAsia="宋体" w:cs="宋体"/>
                <w:b w:val="0"/>
                <w:bCs/>
                <w:sz w:val="21"/>
                <w:szCs w:val="21"/>
                <w:lang w:val="en-US" w:eastAsia="zh-CN"/>
              </w:rPr>
              <w:t>）</w:t>
            </w:r>
          </w:p>
          <w:p>
            <w:pPr>
              <w:pStyle w:val="6"/>
              <w:numPr>
                <w:ilvl w:val="0"/>
                <w:numId w:val="2"/>
              </w:numPr>
              <w:autoSpaceDE w:val="0"/>
              <w:autoSpaceDN w:val="0"/>
              <w:spacing w:line="360" w:lineRule="exact"/>
              <w:jc w:val="both"/>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厚度≥0.6mm</w:t>
            </w:r>
          </w:p>
          <w:p>
            <w:pPr>
              <w:pStyle w:val="6"/>
              <w:autoSpaceDE w:val="0"/>
              <w:autoSpaceDN w:val="0"/>
              <w:spacing w:line="360" w:lineRule="exact"/>
              <w:jc w:val="both"/>
              <w:rPr>
                <w:rFonts w:hint="eastAsia" w:ascii="宋体" w:hAnsi="宋体" w:eastAsia="宋体" w:cs="宋体"/>
                <w:b w:val="0"/>
                <w:bCs/>
                <w:sz w:val="21"/>
                <w:szCs w:val="21"/>
                <w:lang w:val="en-US" w:eastAsia="zh-CN"/>
              </w:rPr>
            </w:pPr>
            <w:r>
              <w:rPr>
                <w:rFonts w:hint="eastAsia" w:ascii="宋体" w:hAnsi="宋体" w:eastAsia="宋体" w:cs="宋体"/>
                <w:b w:val="0"/>
                <w:bCs/>
                <w:sz w:val="21"/>
                <w:szCs w:val="21"/>
              </w:rPr>
              <w:t>★</w:t>
            </w:r>
            <w:r>
              <w:rPr>
                <w:rFonts w:hint="eastAsia" w:ascii="宋体" w:hAnsi="宋体" w:eastAsia="宋体" w:cs="宋体"/>
                <w:b w:val="0"/>
                <w:bCs/>
                <w:sz w:val="21"/>
                <w:szCs w:val="21"/>
                <w:lang w:val="en-US" w:eastAsia="zh-CN"/>
              </w:rPr>
              <w:t>4、密度：经向1580±3%根/10cm，纬向630±3%根/10cm；线密度：经向9tex±3%,纬向35tex±3%</w:t>
            </w:r>
          </w:p>
          <w:p>
            <w:pPr>
              <w:pStyle w:val="6"/>
              <w:autoSpaceDE w:val="0"/>
              <w:autoSpaceDN w:val="0"/>
              <w:spacing w:line="360" w:lineRule="exact"/>
              <w:jc w:val="both"/>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5、符合GB18401-2010（B类）《国家纺织品基本安全技术规范》全项目标准的检测要求（包含但不限于甲醛、pH值、异味、可分解</w:t>
            </w:r>
            <w:r>
              <w:rPr>
                <w:rFonts w:hint="eastAsia" w:ascii="宋体" w:hAnsi="宋体" w:eastAsia="宋体" w:cs="宋体"/>
                <w:b w:val="0"/>
                <w:bCs/>
                <w:sz w:val="21"/>
                <w:szCs w:val="21"/>
                <w:highlight w:val="none"/>
                <w:lang w:val="en-US" w:eastAsia="zh-CN"/>
              </w:rPr>
              <w:t>致癌芳香胺染料、耐水、干摩擦、汗渍色牢度）；</w:t>
            </w:r>
          </w:p>
          <w:p>
            <w:pPr>
              <w:pStyle w:val="6"/>
              <w:autoSpaceDE w:val="0"/>
              <w:autoSpaceDN w:val="0"/>
              <w:spacing w:line="360" w:lineRule="exact"/>
              <w:jc w:val="both"/>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6、符合GB/T19817-2005《纺织品 装饰用织物》（优等品）全项目标准的检测要求（包含但不限于：外观质量、纤维含量、断裂强力、胀破强力、纱线抗滑移、干水洗尺寸变化率、耐水色牢度、耐光色牢度≥6级、耐干洗色牢度、耐洗色牢度）；</w:t>
            </w:r>
          </w:p>
          <w:p>
            <w:pPr>
              <w:pStyle w:val="6"/>
              <w:numPr>
                <w:ilvl w:val="0"/>
                <w:numId w:val="3"/>
              </w:numPr>
              <w:autoSpaceDE w:val="0"/>
              <w:autoSpaceDN w:val="0"/>
              <w:spacing w:line="360" w:lineRule="exact"/>
              <w:jc w:val="both"/>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遮光率：100%</w:t>
            </w:r>
          </w:p>
          <w:p>
            <w:pPr>
              <w:pStyle w:val="6"/>
              <w:numPr>
                <w:ilvl w:val="0"/>
                <w:numId w:val="3"/>
              </w:numPr>
              <w:autoSpaceDE w:val="0"/>
              <w:autoSpaceDN w:val="0"/>
              <w:spacing w:line="360" w:lineRule="exact"/>
              <w:jc w:val="both"/>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防紫外线性能：UPF＞50，UPFav＞500，T（UVA）AV＜5%，T（UVB）AV＜5%</w:t>
            </w:r>
          </w:p>
          <w:p>
            <w:pPr>
              <w:pStyle w:val="6"/>
              <w:numPr>
                <w:ilvl w:val="0"/>
                <w:numId w:val="3"/>
              </w:numPr>
              <w:autoSpaceDE w:val="0"/>
              <w:autoSpaceDN w:val="0"/>
              <w:spacing w:line="360" w:lineRule="exact"/>
              <w:jc w:val="both"/>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易去污性（级）：初始色差≤2   洗涤后色差≤4</w:t>
            </w:r>
          </w:p>
          <w:p>
            <w:pPr>
              <w:pStyle w:val="6"/>
              <w:autoSpaceDE w:val="0"/>
              <w:autoSpaceDN w:val="0"/>
              <w:spacing w:line="360" w:lineRule="exact"/>
              <w:jc w:val="both"/>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10、重金属（mg/kg）:铅≤0.5，镉≤0.1，砷≤0.2，铜≤1.0，钴≤0.2，镍≤0.2，铬≤0.2，锑≤0.2，六价铬≤0.2，汞≤0.005，富马酸二甲酯未检出；</w:t>
            </w:r>
          </w:p>
          <w:p>
            <w:pPr>
              <w:spacing w:line="300" w:lineRule="exact"/>
              <w:rPr>
                <w:rFonts w:hint="eastAsia" w:ascii="宋体" w:hAnsi="宋体" w:eastAsia="宋体" w:cs="宋体"/>
                <w:color w:val="000000"/>
                <w:kern w:val="0"/>
                <w:sz w:val="21"/>
                <w:szCs w:val="21"/>
              </w:rPr>
            </w:pPr>
            <w:r>
              <w:rPr>
                <w:rFonts w:hint="eastAsia" w:ascii="宋体" w:hAnsi="宋体" w:eastAsia="宋体" w:cs="宋体"/>
                <w:b w:val="0"/>
                <w:bCs/>
                <w:sz w:val="21"/>
                <w:szCs w:val="21"/>
              </w:rPr>
              <w:t>★</w:t>
            </w:r>
            <w:r>
              <w:rPr>
                <w:rFonts w:hint="eastAsia" w:ascii="宋体" w:hAnsi="宋体" w:eastAsia="宋体" w:cs="宋体"/>
                <w:b w:val="0"/>
                <w:bCs/>
                <w:sz w:val="21"/>
                <w:szCs w:val="21"/>
                <w:lang w:val="en-US" w:eastAsia="zh-CN"/>
              </w:rPr>
              <w:t>11、燃烧性能符合（GB/T 17591-2006）装饰用织物B1级：损毁长度≤150mm  续燃时间≤5S 阴燃时间≤5S或符合GB 20286-2006 公共场所阻燃制品1级阻燃要求。</w:t>
            </w:r>
          </w:p>
        </w:tc>
        <w:tc>
          <w:tcPr>
            <w:tcW w:w="130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粉色</w:t>
            </w:r>
          </w:p>
          <w:p>
            <w:pPr>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蓝色</w:t>
            </w:r>
          </w:p>
          <w:p>
            <w:pPr>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黄色</w:t>
            </w:r>
          </w:p>
          <w:p>
            <w:pPr>
              <w:jc w:val="center"/>
              <w:rPr>
                <w:rFonts w:hint="eastAsia" w:ascii="宋体" w:hAnsi="宋体" w:eastAsia="宋体" w:cs="Times New Roman"/>
                <w:color w:val="000000"/>
                <w:kern w:val="0"/>
                <w:sz w:val="20"/>
                <w:szCs w:val="20"/>
              </w:rPr>
            </w:pPr>
            <w:r>
              <w:rPr>
                <w:rFonts w:hint="eastAsia" w:ascii="宋体" w:hAnsi="宋体" w:eastAsia="宋体" w:cs="Times New Roman"/>
                <w:color w:val="000000"/>
                <w:kern w:val="0"/>
                <w:sz w:val="20"/>
                <w:szCs w:val="20"/>
              </w:rPr>
              <w:t>浅灰色</w:t>
            </w:r>
          </w:p>
          <w:p>
            <w:pPr>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绿色等</w:t>
            </w:r>
          </w:p>
        </w:tc>
        <w:tc>
          <w:tcPr>
            <w:tcW w:w="1077" w:type="dxa"/>
            <w:tcBorders>
              <w:top w:val="single" w:color="auto" w:sz="4" w:space="0"/>
              <w:bottom w:val="single" w:color="auto" w:sz="4" w:space="0"/>
              <w:right w:val="single" w:color="auto" w:sz="4" w:space="0"/>
            </w:tcBorders>
            <w:shd w:val="clear" w:color="auto" w:fill="auto"/>
            <w:vAlign w:val="center"/>
          </w:tcPr>
          <w:p>
            <w:pPr>
              <w:widowControl/>
              <w:spacing w:line="300" w:lineRule="exact"/>
              <w:jc w:val="center"/>
              <w:rPr>
                <w:rFonts w:hint="eastAsia" w:ascii="宋体" w:hAnsi="宋体" w:eastAsia="宋体" w:cs="宋体"/>
                <w:color w:val="000000"/>
                <w:kern w:val="0"/>
                <w:sz w:val="20"/>
                <w:szCs w:val="21"/>
                <w:lang w:val="en-US" w:eastAsia="zh-CN" w:bidi="ar-SA"/>
              </w:rPr>
            </w:pPr>
            <w:r>
              <w:rPr>
                <w:rFonts w:hint="eastAsia" w:ascii="宋体" w:hAnsi="宋体" w:eastAsia="宋体" w:cs="宋体"/>
                <w:color w:val="000000"/>
                <w:kern w:val="0"/>
                <w:sz w:val="20"/>
                <w:szCs w:val="21"/>
              </w:rPr>
              <w:t>米</w:t>
            </w:r>
          </w:p>
        </w:tc>
        <w:tc>
          <w:tcPr>
            <w:tcW w:w="1077" w:type="dxa"/>
            <w:tcBorders>
              <w:top w:val="single" w:color="auto" w:sz="4" w:space="0"/>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Bidi"/>
                <w:kern w:val="2"/>
                <w:sz w:val="21"/>
                <w:szCs w:val="22"/>
                <w:lang w:val="en-US" w:eastAsia="zh-CN" w:bidi="ar-SA"/>
              </w:rPr>
            </w:pPr>
            <w:r>
              <w:rPr>
                <w:rFonts w:hint="eastAsia" w:ascii="Times New Roman" w:hAnsi="Times New Roman" w:eastAsia="宋体" w:cs="Times New Roman"/>
                <w:color w:val="000000"/>
                <w:kern w:val="0"/>
                <w:sz w:val="20"/>
                <w:szCs w:val="21"/>
                <w:lang w:val="en-US" w:eastAsia="zh-CN"/>
              </w:rPr>
              <w:t>70</w:t>
            </w:r>
            <w:r>
              <w:rPr>
                <w:rFonts w:hint="eastAsia" w:ascii="Times New Roman" w:hAnsi="Times New Roman" w:eastAsia="宋体" w:cs="Times New Roman"/>
                <w:color w:val="000000"/>
                <w:kern w:val="0"/>
                <w:sz w:val="20"/>
                <w:szCs w:val="21"/>
              </w:rPr>
              <w:t>元/米</w:t>
            </w:r>
          </w:p>
        </w:tc>
        <w:tc>
          <w:tcPr>
            <w:tcW w:w="1077" w:type="dxa"/>
            <w:tcBorders>
              <w:top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Times New Roman"/>
                <w:color w:val="000000"/>
                <w:kern w:val="0"/>
                <w:sz w:val="20"/>
                <w:szCs w:val="21"/>
              </w:rPr>
            </w:pPr>
            <w:r>
              <w:rPr>
                <w:rFonts w:hint="eastAsia" w:ascii="宋体" w:hAnsi="宋体" w:eastAsia="宋体" w:cs="宋体"/>
                <w:i w:val="0"/>
                <w:color w:val="000000"/>
                <w:kern w:val="0"/>
                <w:sz w:val="22"/>
                <w:szCs w:val="22"/>
                <w:u w:val="none"/>
                <w:lang w:val="en-US" w:eastAsia="zh-CN" w:bidi="ar"/>
              </w:rPr>
              <w:t>1500</w:t>
            </w:r>
          </w:p>
        </w:tc>
        <w:tc>
          <w:tcPr>
            <w:tcW w:w="2640" w:type="dxa"/>
            <w:tcBorders>
              <w:top w:val="single" w:color="auto" w:sz="4" w:space="0"/>
              <w:bottom w:val="single" w:color="auto" w:sz="4" w:space="0"/>
              <w:right w:val="single" w:color="auto" w:sz="4" w:space="0"/>
            </w:tcBorders>
            <w:shd w:val="clear" w:color="auto" w:fill="auto"/>
          </w:tcPr>
          <w:p>
            <w:pPr>
              <w:widowControl/>
              <w:jc w:val="left"/>
              <w:rPr>
                <w:rFonts w:ascii="Times New Roman" w:hAnsi="Times New Roman" w:eastAsia="Times New Roman" w:cs="Times New Roman"/>
                <w:color w:val="000000"/>
                <w:kern w:val="0"/>
                <w:sz w:val="20"/>
                <w:szCs w:val="21"/>
              </w:rPr>
            </w:pPr>
          </w:p>
          <w:p>
            <w:pPr>
              <w:rPr>
                <w:rFonts w:hint="eastAsia" w:ascii="Times New Roman" w:hAnsi="Times New Roman" w:eastAsia="宋体" w:cs="Times New Roman"/>
                <w:color w:val="000000"/>
                <w:kern w:val="0"/>
                <w:sz w:val="20"/>
                <w:szCs w:val="21"/>
              </w:rPr>
            </w:pPr>
          </w:p>
          <w:p>
            <w:pP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lang w:eastAsia="zh-CN"/>
              </w:rPr>
              <w:drawing>
                <wp:inline distT="0" distB="0" distL="114300" distR="114300">
                  <wp:extent cx="1533525" cy="1533525"/>
                  <wp:effectExtent l="0" t="0" r="9525" b="9525"/>
                  <wp:docPr id="5" name="图片 5" descr="全遮光窗帘"/>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全遮光窗帘"/>
                          <pic:cNvPicPr>
                            <a:picLocks noChangeAspect="1"/>
                          </pic:cNvPicPr>
                        </pic:nvPicPr>
                        <pic:blipFill>
                          <a:blip r:embed="rId8"/>
                          <a:stretch>
                            <a:fillRect/>
                          </a:stretch>
                        </pic:blipFill>
                        <pic:spPr>
                          <a:xfrm>
                            <a:off x="0" y="0"/>
                            <a:ext cx="1533525" cy="1533525"/>
                          </a:xfrm>
                          <a:prstGeom prst="rect">
                            <a:avLst/>
                          </a:prstGeom>
                        </pic:spPr>
                      </pic:pic>
                    </a:graphicData>
                  </a:graphic>
                </wp:inline>
              </w:drawing>
            </w:r>
          </w:p>
        </w:tc>
      </w:tr>
      <w:tr>
        <w:tblPrEx>
          <w:tblCellMar>
            <w:top w:w="0" w:type="dxa"/>
            <w:left w:w="108" w:type="dxa"/>
            <w:bottom w:w="0" w:type="dxa"/>
            <w:right w:w="108" w:type="dxa"/>
          </w:tblCellMar>
        </w:tblPrEx>
        <w:trPr>
          <w:trHeight w:val="3409" w:hRule="atLeast"/>
          <w:jc w:val="center"/>
        </w:trPr>
        <w:tc>
          <w:tcPr>
            <w:tcW w:w="794"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200" w:firstLineChars="100"/>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5</w:t>
            </w:r>
          </w:p>
        </w:tc>
        <w:tc>
          <w:tcPr>
            <w:tcW w:w="153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窗纱</w:t>
            </w:r>
          </w:p>
        </w:tc>
        <w:tc>
          <w:tcPr>
            <w:tcW w:w="5102"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6"/>
              <w:numPr>
                <w:ilvl w:val="0"/>
                <w:numId w:val="4"/>
              </w:numPr>
              <w:autoSpaceDE w:val="0"/>
              <w:autoSpaceDN w:val="0"/>
              <w:spacing w:line="360" w:lineRule="exact"/>
              <w:jc w:val="both"/>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成份：100%聚酯纤维或棉</w:t>
            </w:r>
          </w:p>
          <w:p>
            <w:pPr>
              <w:pStyle w:val="6"/>
              <w:numPr>
                <w:ilvl w:val="0"/>
                <w:numId w:val="4"/>
              </w:numPr>
              <w:autoSpaceDE w:val="0"/>
              <w:autoSpaceDN w:val="0"/>
              <w:spacing w:line="360" w:lineRule="exact"/>
              <w:jc w:val="both"/>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克重：195g/㎡</w:t>
            </w:r>
            <w:r>
              <w:rPr>
                <w:rFonts w:hint="eastAsia" w:hAnsi="宋体" w:eastAsia="宋体" w:cs="宋体"/>
                <w:b w:val="0"/>
                <w:bCs/>
                <w:sz w:val="21"/>
                <w:szCs w:val="21"/>
                <w:lang w:val="en-US" w:eastAsia="zh-CN"/>
              </w:rPr>
              <w:t>（</w:t>
            </w:r>
            <w:r>
              <w:rPr>
                <w:rFonts w:hint="eastAsia" w:ascii="宋体" w:hAnsi="宋体" w:eastAsia="宋体" w:cs="宋体"/>
                <w:b w:val="0"/>
                <w:bCs/>
                <w:sz w:val="21"/>
                <w:szCs w:val="21"/>
                <w:lang w:val="en-US" w:eastAsia="zh-CN"/>
              </w:rPr>
              <w:t>±5%</w:t>
            </w:r>
            <w:r>
              <w:rPr>
                <w:rFonts w:hint="eastAsia" w:hAnsi="宋体" w:eastAsia="宋体" w:cs="宋体"/>
                <w:b w:val="0"/>
                <w:bCs/>
                <w:sz w:val="21"/>
                <w:szCs w:val="21"/>
                <w:lang w:val="en-US" w:eastAsia="zh-CN"/>
              </w:rPr>
              <w:t>）</w:t>
            </w:r>
          </w:p>
          <w:p>
            <w:pPr>
              <w:pStyle w:val="6"/>
              <w:numPr>
                <w:ilvl w:val="0"/>
                <w:numId w:val="4"/>
              </w:numPr>
              <w:autoSpaceDE w:val="0"/>
              <w:autoSpaceDN w:val="0"/>
              <w:spacing w:line="360" w:lineRule="exact"/>
              <w:jc w:val="both"/>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厚度</w:t>
            </w:r>
            <w:r>
              <w:rPr>
                <w:rFonts w:hint="eastAsia" w:hAnsi="宋体" w:eastAsia="宋体" w:cs="宋体"/>
                <w:b w:val="0"/>
                <w:bCs/>
                <w:sz w:val="21"/>
                <w:szCs w:val="21"/>
                <w:lang w:val="en-US" w:eastAsia="zh-CN"/>
              </w:rPr>
              <w:t>:</w:t>
            </w:r>
            <w:r>
              <w:rPr>
                <w:rFonts w:hint="eastAsia" w:ascii="宋体" w:hAnsi="宋体" w:eastAsia="宋体" w:cs="宋体"/>
                <w:b w:val="0"/>
                <w:bCs/>
                <w:sz w:val="21"/>
                <w:szCs w:val="21"/>
                <w:lang w:val="en-US" w:eastAsia="zh-CN"/>
              </w:rPr>
              <w:t>≥0.35mm</w:t>
            </w:r>
          </w:p>
          <w:p>
            <w:pPr>
              <w:pStyle w:val="6"/>
              <w:autoSpaceDE w:val="0"/>
              <w:autoSpaceDN w:val="0"/>
              <w:spacing w:line="360" w:lineRule="exact"/>
              <w:jc w:val="both"/>
              <w:rPr>
                <w:rFonts w:hint="eastAsia" w:ascii="宋体" w:hAnsi="宋体" w:eastAsia="宋体" w:cs="宋体"/>
                <w:b w:val="0"/>
                <w:bCs/>
                <w:sz w:val="21"/>
                <w:szCs w:val="21"/>
                <w:lang w:val="en-US" w:eastAsia="zh-CN"/>
              </w:rPr>
            </w:pPr>
            <w:r>
              <w:rPr>
                <w:rFonts w:hint="eastAsia" w:ascii="宋体" w:hAnsi="宋体" w:eastAsia="宋体" w:cs="宋体"/>
                <w:b w:val="0"/>
                <w:bCs/>
                <w:sz w:val="21"/>
                <w:szCs w:val="21"/>
              </w:rPr>
              <w:t>★</w:t>
            </w:r>
            <w:r>
              <w:rPr>
                <w:rFonts w:hint="eastAsia" w:ascii="宋体" w:hAnsi="宋体" w:eastAsia="宋体" w:cs="宋体"/>
                <w:b w:val="0"/>
                <w:bCs/>
                <w:sz w:val="21"/>
                <w:szCs w:val="21"/>
                <w:lang w:val="en-US" w:eastAsia="zh-CN"/>
              </w:rPr>
              <w:t>4、密度：经向280±3%根/10cm，纬向230±3%根/10cm；线密度：经向35tex±3%,纬向38tex±3%</w:t>
            </w:r>
          </w:p>
          <w:p>
            <w:pPr>
              <w:pStyle w:val="6"/>
              <w:autoSpaceDE w:val="0"/>
              <w:autoSpaceDN w:val="0"/>
              <w:spacing w:line="360" w:lineRule="exact"/>
              <w:jc w:val="both"/>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5、符合GB18401-2010（B类）《国家纺织品基本安全技术规范》全项目标准的检测要求（包含但不限于甲醛、pH值、异味、可分解致癌芳香胺染料、耐水、干摩擦、汗渍色牢度）；</w:t>
            </w:r>
          </w:p>
          <w:p>
            <w:pPr>
              <w:pStyle w:val="6"/>
              <w:autoSpaceDE w:val="0"/>
              <w:autoSpaceDN w:val="0"/>
              <w:spacing w:line="360" w:lineRule="exact"/>
              <w:jc w:val="both"/>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6、符合GB/T19817-2005《纺织品 装饰用织物》（优等品）全项目标准的检测要求（包含但不限于：外观质量、纤维含量、断裂强力、胀破强力、纱线抗滑移、干水洗尺寸变化率、耐水色牢度、耐光色牢度≥6级、耐干洗色牢度、耐洗色牢度）；</w:t>
            </w:r>
          </w:p>
          <w:p>
            <w:pPr>
              <w:pStyle w:val="6"/>
              <w:autoSpaceDE w:val="0"/>
              <w:autoSpaceDN w:val="0"/>
              <w:spacing w:line="360" w:lineRule="exact"/>
              <w:jc w:val="both"/>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7、重金属（mg/kg）:铅≤0.5，镉≤0.1，砷≤0.2，铜≤1.0，钴≤0.2，镍≤0.2，铬≤0.2，锑≤0.2，六价铬≤0.2，汞≤0.005，富马酸二甲酯未检出；</w:t>
            </w:r>
          </w:p>
          <w:p>
            <w:pPr>
              <w:snapToGrid w:val="0"/>
              <w:spacing w:line="300" w:lineRule="exact"/>
              <w:jc w:val="left"/>
              <w:rPr>
                <w:rFonts w:hint="eastAsia" w:ascii="宋体" w:hAnsi="宋体" w:eastAsia="宋体" w:cs="宋体"/>
                <w:color w:val="000000"/>
                <w:kern w:val="0"/>
                <w:sz w:val="21"/>
                <w:szCs w:val="21"/>
              </w:rPr>
            </w:pPr>
            <w:r>
              <w:rPr>
                <w:rFonts w:hint="eastAsia" w:ascii="宋体" w:hAnsi="宋体" w:eastAsia="宋体" w:cs="宋体"/>
                <w:b w:val="0"/>
                <w:bCs/>
                <w:sz w:val="21"/>
                <w:szCs w:val="21"/>
              </w:rPr>
              <w:t>★</w:t>
            </w:r>
            <w:r>
              <w:rPr>
                <w:rFonts w:hint="eastAsia" w:ascii="宋体" w:hAnsi="宋体" w:eastAsia="宋体" w:cs="宋体"/>
                <w:b w:val="0"/>
                <w:bCs/>
                <w:sz w:val="21"/>
                <w:szCs w:val="21"/>
                <w:lang w:val="en-US" w:eastAsia="zh-CN"/>
              </w:rPr>
              <w:t>8、燃烧性能符合（GB/T 17591-2006）装饰用织物B1级：损毁长度≤150mm  续燃时间≤5S 阴燃时间≤5S或符合GB 8624-2012 燃烧性能B1级阻燃要求。</w:t>
            </w:r>
          </w:p>
        </w:tc>
        <w:tc>
          <w:tcPr>
            <w:tcW w:w="1304"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各种</w:t>
            </w:r>
          </w:p>
          <w:p>
            <w:pPr>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颜色</w:t>
            </w:r>
          </w:p>
        </w:tc>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hint="eastAsia" w:ascii="宋体" w:hAnsi="宋体" w:eastAsia="宋体" w:cs="宋体"/>
                <w:color w:val="000000"/>
                <w:kern w:val="0"/>
                <w:sz w:val="20"/>
                <w:szCs w:val="21"/>
                <w:lang w:val="en-US" w:eastAsia="zh-CN" w:bidi="ar-SA"/>
              </w:rPr>
            </w:pPr>
            <w:r>
              <w:rPr>
                <w:rFonts w:hint="eastAsia" w:ascii="宋体" w:hAnsi="宋体" w:eastAsia="宋体" w:cs="宋体"/>
                <w:color w:val="000000"/>
                <w:kern w:val="0"/>
                <w:sz w:val="20"/>
                <w:szCs w:val="21"/>
              </w:rPr>
              <w:t>米</w:t>
            </w:r>
          </w:p>
        </w:tc>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Bidi"/>
                <w:kern w:val="2"/>
                <w:sz w:val="21"/>
                <w:szCs w:val="22"/>
                <w:lang w:val="en-US" w:eastAsia="zh-CN" w:bidi="ar-SA"/>
              </w:rPr>
            </w:pPr>
            <w:r>
              <w:rPr>
                <w:rFonts w:hint="eastAsia" w:ascii="Times New Roman" w:hAnsi="Times New Roman" w:eastAsia="宋体" w:cs="Times New Roman"/>
                <w:color w:val="000000"/>
                <w:kern w:val="0"/>
                <w:sz w:val="20"/>
                <w:szCs w:val="21"/>
                <w:lang w:val="en-US" w:eastAsia="zh-CN"/>
              </w:rPr>
              <w:t>19</w:t>
            </w:r>
            <w:r>
              <w:rPr>
                <w:rFonts w:hint="eastAsia" w:ascii="Times New Roman" w:hAnsi="Times New Roman" w:eastAsia="宋体" w:cs="Times New Roman"/>
                <w:color w:val="000000"/>
                <w:kern w:val="0"/>
                <w:sz w:val="20"/>
                <w:szCs w:val="21"/>
              </w:rPr>
              <w:t>元/米</w:t>
            </w:r>
          </w:p>
        </w:tc>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Times New Roman"/>
                <w:color w:val="000000"/>
                <w:kern w:val="0"/>
                <w:sz w:val="20"/>
                <w:szCs w:val="21"/>
              </w:rPr>
            </w:pPr>
            <w:r>
              <w:rPr>
                <w:rFonts w:hint="eastAsia" w:ascii="宋体" w:hAnsi="宋体" w:eastAsia="宋体" w:cs="宋体"/>
                <w:i w:val="0"/>
                <w:color w:val="000000"/>
                <w:kern w:val="0"/>
                <w:sz w:val="22"/>
                <w:szCs w:val="22"/>
                <w:u w:val="none"/>
                <w:lang w:val="en-US" w:eastAsia="zh-CN" w:bidi="ar"/>
              </w:rPr>
              <w:t>500</w:t>
            </w:r>
          </w:p>
        </w:tc>
        <w:tc>
          <w:tcPr>
            <w:tcW w:w="2640" w:type="dxa"/>
            <w:tcBorders>
              <w:top w:val="single" w:color="auto" w:sz="4" w:space="0"/>
              <w:left w:val="single" w:color="auto" w:sz="4" w:space="0"/>
              <w:bottom w:val="single" w:color="auto" w:sz="4" w:space="0"/>
              <w:right w:val="single" w:color="auto" w:sz="4" w:space="0"/>
            </w:tcBorders>
            <w:shd w:val="clear" w:color="auto" w:fill="auto"/>
          </w:tcPr>
          <w:p>
            <w:pPr>
              <w:widowControl/>
              <w:jc w:val="left"/>
              <w:rPr>
                <w:rFonts w:hint="eastAsia" w:ascii="Times New Roman" w:hAnsi="Times New Roman" w:eastAsia="宋体" w:cs="Times New Roman"/>
                <w:color w:val="000000"/>
                <w:kern w:val="0"/>
                <w:sz w:val="20"/>
                <w:szCs w:val="21"/>
              </w:rPr>
            </w:pPr>
          </w:p>
          <w:p>
            <w:pPr>
              <w:widowControl/>
              <w:jc w:val="left"/>
              <w:rPr>
                <w:rFonts w:ascii="Times New Roman" w:hAnsi="Times New Roman" w:eastAsia="宋体" w:cs="Times New Roman"/>
                <w:color w:val="000000"/>
                <w:kern w:val="0"/>
                <w:sz w:val="20"/>
                <w:szCs w:val="21"/>
              </w:rPr>
            </w:pPr>
            <w:r>
              <w:rPr>
                <w:rFonts w:hint="eastAsia" w:ascii="Times New Roman" w:hAnsi="Times New Roman" w:eastAsia="宋体" w:cs="Times New Roman"/>
                <w:color w:val="000000"/>
                <w:kern w:val="0"/>
                <w:sz w:val="20"/>
                <w:szCs w:val="21"/>
              </w:rPr>
              <w:drawing>
                <wp:inline distT="0" distB="0" distL="0" distR="0">
                  <wp:extent cx="1350010" cy="1403985"/>
                  <wp:effectExtent l="0" t="0" r="2540" b="5715"/>
                  <wp:docPr id="6" name="图片 41" descr="16083011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41" descr="1608301134.jpg"/>
                          <pic:cNvPicPr>
                            <a:picLocks noChangeAspect="1"/>
                          </pic:cNvPicPr>
                        </pic:nvPicPr>
                        <pic:blipFill>
                          <a:blip r:embed="rId9" cstate="print"/>
                          <a:srcRect l="8613" t="19511" r="-348" b="9443"/>
                          <a:stretch>
                            <a:fillRect/>
                          </a:stretch>
                        </pic:blipFill>
                        <pic:spPr>
                          <a:xfrm>
                            <a:off x="0" y="0"/>
                            <a:ext cx="1350010" cy="1403985"/>
                          </a:xfrm>
                          <a:prstGeom prst="rect">
                            <a:avLst/>
                          </a:prstGeom>
                        </pic:spPr>
                      </pic:pic>
                    </a:graphicData>
                  </a:graphic>
                </wp:inline>
              </w:drawing>
            </w:r>
          </w:p>
        </w:tc>
      </w:tr>
      <w:tr>
        <w:tblPrEx>
          <w:tblCellMar>
            <w:top w:w="0" w:type="dxa"/>
            <w:left w:w="108" w:type="dxa"/>
            <w:bottom w:w="0" w:type="dxa"/>
            <w:right w:w="108" w:type="dxa"/>
          </w:tblCellMar>
        </w:tblPrEx>
        <w:trPr>
          <w:trHeight w:val="3357" w:hRule="atLeast"/>
          <w:jc w:val="center"/>
        </w:trPr>
        <w:tc>
          <w:tcPr>
            <w:tcW w:w="794"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Times New Roman"/>
                <w:color w:val="000000"/>
                <w:kern w:val="0"/>
                <w:szCs w:val="21"/>
              </w:rPr>
            </w:pPr>
            <w:r>
              <w:rPr>
                <w:rFonts w:hint="eastAsia" w:ascii="宋体" w:hAnsi="宋体" w:eastAsia="宋体" w:cs="Times New Roman"/>
                <w:color w:val="000000"/>
                <w:kern w:val="0"/>
                <w:szCs w:val="21"/>
              </w:rPr>
              <w:t>6</w:t>
            </w:r>
          </w:p>
        </w:tc>
        <w:tc>
          <w:tcPr>
            <w:tcW w:w="153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窗帘布带（含挂钩）</w:t>
            </w:r>
          </w:p>
        </w:tc>
        <w:tc>
          <w:tcPr>
            <w:tcW w:w="5102" w:type="dxa"/>
            <w:tcBorders>
              <w:top w:val="single" w:color="auto" w:sz="4" w:space="0"/>
              <w:left w:val="nil"/>
              <w:bottom w:val="single" w:color="auto" w:sz="4" w:space="0"/>
              <w:right w:val="single" w:color="auto" w:sz="4" w:space="0"/>
            </w:tcBorders>
            <w:shd w:val="clear" w:color="auto" w:fill="auto"/>
            <w:noWrap/>
            <w:vAlign w:val="center"/>
          </w:tcPr>
          <w:p>
            <w:pPr>
              <w:spacing w:line="300" w:lineRule="exact"/>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rPr>
              <w:t>1、</w:t>
            </w:r>
            <w:r>
              <w:rPr>
                <w:rFonts w:hint="eastAsia" w:ascii="宋体" w:hAnsi="宋体" w:eastAsia="宋体" w:cs="宋体"/>
                <w:color w:val="000000"/>
                <w:kern w:val="0"/>
                <w:szCs w:val="21"/>
                <w:lang w:val="en-US" w:eastAsia="zh-CN"/>
              </w:rPr>
              <w:t>符合GB/T19817-2005（优等品）全项目检测标准要求。</w:t>
            </w:r>
          </w:p>
          <w:p>
            <w:pPr>
              <w:spacing w:line="300" w:lineRule="exact"/>
              <w:rPr>
                <w:rFonts w:hint="eastAsia" w:ascii="宋体" w:hAnsi="宋体" w:eastAsia="宋体" w:cs="宋体"/>
                <w:color w:val="000000"/>
                <w:kern w:val="0"/>
                <w:szCs w:val="21"/>
              </w:rPr>
            </w:pPr>
            <w:r>
              <w:rPr>
                <w:rFonts w:hint="eastAsia" w:ascii="宋体" w:hAnsi="宋体" w:eastAsia="宋体" w:cs="宋体"/>
                <w:color w:val="000000"/>
                <w:kern w:val="0"/>
                <w:szCs w:val="21"/>
              </w:rPr>
              <w:t>2、克重（g/㎡）：</w:t>
            </w:r>
            <w:r>
              <w:rPr>
                <w:rFonts w:hint="eastAsia" w:ascii="宋体" w:hAnsi="宋体" w:eastAsia="宋体" w:cs="宋体"/>
                <w:color w:val="000000"/>
                <w:kern w:val="0"/>
                <w:szCs w:val="21"/>
                <w:lang w:val="en-US" w:eastAsia="zh-CN"/>
              </w:rPr>
              <w:t>400</w:t>
            </w:r>
            <w:r>
              <w:rPr>
                <w:rFonts w:hint="eastAsia" w:ascii="宋体" w:hAnsi="宋体" w:eastAsia="宋体" w:cs="宋体"/>
                <w:color w:val="000000"/>
                <w:kern w:val="0"/>
                <w:szCs w:val="21"/>
              </w:rPr>
              <w:t>（±5）</w:t>
            </w:r>
          </w:p>
          <w:p>
            <w:pPr>
              <w:spacing w:line="300" w:lineRule="exact"/>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3、密度（根/10cm）：经向≥1500，纬向≥600</w:t>
            </w:r>
          </w:p>
          <w:p>
            <w:pPr>
              <w:spacing w:line="300" w:lineRule="exac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rPr>
              <w:t>4</w:t>
            </w:r>
            <w:r>
              <w:rPr>
                <w:rFonts w:hint="eastAsia" w:ascii="宋体" w:hAnsi="宋体" w:eastAsia="宋体" w:cs="宋体"/>
                <w:color w:val="000000"/>
                <w:kern w:val="0"/>
                <w:sz w:val="21"/>
                <w:szCs w:val="21"/>
              </w:rPr>
              <w:t>、甲醛含量</w:t>
            </w:r>
            <w:r>
              <w:rPr>
                <w:rFonts w:hint="eastAsia" w:ascii="宋体" w:hAnsi="宋体" w:eastAsia="宋体" w:cs="宋体"/>
                <w:color w:val="000000"/>
                <w:kern w:val="0"/>
                <w:sz w:val="21"/>
                <w:szCs w:val="21"/>
                <w:lang w:eastAsia="zh-CN"/>
              </w:rPr>
              <w:t>（</w:t>
            </w:r>
            <w:r>
              <w:rPr>
                <w:rFonts w:hint="eastAsia" w:ascii="宋体" w:hAnsi="宋体" w:eastAsia="宋体" w:cs="宋体"/>
                <w:color w:val="000000"/>
                <w:kern w:val="0"/>
                <w:sz w:val="21"/>
                <w:szCs w:val="21"/>
              </w:rPr>
              <w:t>mg/kg</w:t>
            </w:r>
            <w:r>
              <w:rPr>
                <w:rFonts w:hint="eastAsia" w:ascii="宋体" w:hAnsi="宋体" w:eastAsia="宋体" w:cs="宋体"/>
                <w:color w:val="000000"/>
                <w:kern w:val="0"/>
                <w:sz w:val="21"/>
                <w:szCs w:val="21"/>
                <w:lang w:eastAsia="zh-CN"/>
              </w:rPr>
              <w:t>）</w:t>
            </w:r>
            <w:r>
              <w:rPr>
                <w:rFonts w:hint="eastAsia" w:ascii="宋体" w:hAnsi="宋体" w:eastAsia="宋体" w:cs="宋体"/>
                <w:color w:val="000000"/>
                <w:kern w:val="0"/>
                <w:sz w:val="21"/>
                <w:szCs w:val="21"/>
              </w:rPr>
              <w:t>：≤300</w:t>
            </w:r>
          </w:p>
          <w:p>
            <w:pPr>
              <w:spacing w:line="300" w:lineRule="exac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rPr>
              <w:t>5</w:t>
            </w:r>
            <w:r>
              <w:rPr>
                <w:rFonts w:hint="eastAsia" w:ascii="宋体" w:hAnsi="宋体" w:eastAsia="宋体" w:cs="宋体"/>
                <w:color w:val="000000"/>
                <w:kern w:val="0"/>
                <w:sz w:val="21"/>
                <w:szCs w:val="21"/>
              </w:rPr>
              <w:t>、氧指数氧指数</w:t>
            </w:r>
            <w:r>
              <w:rPr>
                <w:rFonts w:hint="eastAsia" w:ascii="宋体" w:hAnsi="宋体" w:eastAsia="宋体" w:cs="宋体"/>
                <w:color w:val="000000"/>
                <w:kern w:val="0"/>
                <w:sz w:val="21"/>
                <w:szCs w:val="21"/>
                <w:lang w:eastAsia="zh-CN"/>
              </w:rPr>
              <w:t>（</w:t>
            </w:r>
            <w:r>
              <w:rPr>
                <w:rFonts w:hint="eastAsia" w:ascii="宋体" w:hAnsi="宋体" w:eastAsia="宋体" w:cs="宋体"/>
                <w:color w:val="000000"/>
                <w:kern w:val="0"/>
                <w:sz w:val="21"/>
                <w:szCs w:val="21"/>
              </w:rPr>
              <w:t>%</w:t>
            </w:r>
            <w:r>
              <w:rPr>
                <w:rFonts w:hint="eastAsia" w:ascii="宋体" w:hAnsi="宋体" w:eastAsia="宋体" w:cs="宋体"/>
                <w:color w:val="000000"/>
                <w:kern w:val="0"/>
                <w:sz w:val="21"/>
                <w:szCs w:val="21"/>
                <w:lang w:eastAsia="zh-CN"/>
              </w:rPr>
              <w:t>）：</w:t>
            </w:r>
            <w:r>
              <w:rPr>
                <w:rFonts w:hint="eastAsia" w:ascii="宋体" w:hAnsi="宋体" w:eastAsia="宋体" w:cs="宋体"/>
                <w:color w:val="000000"/>
                <w:kern w:val="0"/>
                <w:sz w:val="21"/>
                <w:szCs w:val="21"/>
              </w:rPr>
              <w:t>≥32</w:t>
            </w:r>
          </w:p>
          <w:p>
            <w:pPr>
              <w:spacing w:line="300" w:lineRule="exac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rPr>
              <w:t>6</w:t>
            </w:r>
            <w:r>
              <w:rPr>
                <w:rFonts w:hint="eastAsia" w:ascii="宋体" w:hAnsi="宋体" w:eastAsia="宋体" w:cs="宋体"/>
                <w:color w:val="000000"/>
                <w:kern w:val="0"/>
                <w:sz w:val="21"/>
                <w:szCs w:val="21"/>
              </w:rPr>
              <w:t>、烟密度等级（SDR）</w:t>
            </w:r>
            <w:r>
              <w:rPr>
                <w:rFonts w:hint="eastAsia" w:ascii="宋体" w:hAnsi="宋体" w:eastAsia="宋体" w:cs="宋体"/>
                <w:color w:val="000000"/>
                <w:kern w:val="0"/>
                <w:sz w:val="21"/>
                <w:szCs w:val="21"/>
                <w:lang w:eastAsia="zh-CN"/>
              </w:rPr>
              <w:t>：</w:t>
            </w:r>
            <w:r>
              <w:rPr>
                <w:rFonts w:hint="eastAsia" w:ascii="宋体" w:hAnsi="宋体" w:eastAsia="宋体" w:cs="宋体"/>
                <w:color w:val="000000"/>
                <w:kern w:val="0"/>
                <w:sz w:val="21"/>
                <w:szCs w:val="21"/>
              </w:rPr>
              <w:t>≤15</w:t>
            </w:r>
            <w:bookmarkStart w:id="0" w:name="_GoBack"/>
            <w:bookmarkEnd w:id="0"/>
          </w:p>
          <w:p>
            <w:pPr>
              <w:spacing w:line="300" w:lineRule="exac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w:t>
            </w:r>
            <w:r>
              <w:rPr>
                <w:rFonts w:hint="eastAsia" w:ascii="宋体" w:hAnsi="宋体" w:eastAsia="宋体" w:cs="宋体"/>
                <w:color w:val="000000"/>
                <w:kern w:val="0"/>
                <w:sz w:val="21"/>
                <w:szCs w:val="21"/>
                <w:lang w:val="en-US" w:eastAsia="zh-CN"/>
              </w:rPr>
              <w:t>7</w:t>
            </w:r>
            <w:r>
              <w:rPr>
                <w:rFonts w:hint="eastAsia" w:ascii="宋体" w:hAnsi="宋体" w:eastAsia="宋体" w:cs="宋体"/>
                <w:color w:val="000000"/>
                <w:kern w:val="0"/>
                <w:sz w:val="21"/>
                <w:szCs w:val="21"/>
              </w:rPr>
              <w:t>、</w:t>
            </w:r>
            <w:r>
              <w:rPr>
                <w:rFonts w:hint="eastAsia" w:ascii="宋体" w:hAnsi="宋体" w:eastAsia="宋体" w:cs="宋体"/>
                <w:b w:val="0"/>
                <w:bCs/>
                <w:sz w:val="21"/>
                <w:szCs w:val="21"/>
                <w:lang w:val="en-US" w:eastAsia="zh-CN"/>
              </w:rPr>
              <w:t>燃烧性能符合（GB/T 17591-2006）装饰用织物B1级：损毁长度≤150mm  续燃时间≤5S 阴燃时间≤5S或符合GB 8624-2012 燃烧性能B1级阻燃要求。</w:t>
            </w:r>
          </w:p>
          <w:p>
            <w:pPr>
              <w:spacing w:line="300" w:lineRule="exac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rPr>
              <w:t>8</w:t>
            </w:r>
            <w:r>
              <w:rPr>
                <w:rFonts w:hint="eastAsia" w:ascii="宋体" w:hAnsi="宋体" w:eastAsia="宋体" w:cs="宋体"/>
                <w:color w:val="000000"/>
                <w:kern w:val="0"/>
                <w:sz w:val="21"/>
                <w:szCs w:val="21"/>
              </w:rPr>
              <w:t>、S形金属挂钩外观：光洁、干净、抗拉抗压强度大。性能：在长时间使用下不易腐蚀，耐老化，不宜生锈。</w:t>
            </w:r>
          </w:p>
        </w:tc>
        <w:tc>
          <w:tcPr>
            <w:tcW w:w="1304"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白色</w:t>
            </w:r>
          </w:p>
        </w:tc>
        <w:tc>
          <w:tcPr>
            <w:tcW w:w="1077" w:type="dxa"/>
            <w:tcBorders>
              <w:top w:val="single" w:color="auto" w:sz="4" w:space="0"/>
              <w:bottom w:val="single" w:color="auto" w:sz="4" w:space="0"/>
              <w:right w:val="single" w:color="auto" w:sz="4" w:space="0"/>
            </w:tcBorders>
            <w:shd w:val="clear" w:color="auto" w:fill="auto"/>
            <w:vAlign w:val="center"/>
          </w:tcPr>
          <w:p>
            <w:pPr>
              <w:widowControl/>
              <w:spacing w:line="300" w:lineRule="exact"/>
              <w:jc w:val="center"/>
              <w:rPr>
                <w:rFonts w:hint="eastAsia" w:ascii="宋体" w:hAnsi="宋体" w:eastAsia="宋体" w:cs="宋体"/>
                <w:color w:val="000000"/>
                <w:kern w:val="0"/>
                <w:sz w:val="20"/>
                <w:szCs w:val="21"/>
                <w:lang w:val="en-US" w:eastAsia="zh-CN" w:bidi="ar-SA"/>
              </w:rPr>
            </w:pPr>
            <w:r>
              <w:rPr>
                <w:rFonts w:hint="eastAsia" w:ascii="宋体" w:hAnsi="宋体" w:eastAsia="宋体" w:cs="宋体"/>
                <w:color w:val="000000"/>
                <w:kern w:val="0"/>
                <w:sz w:val="20"/>
                <w:szCs w:val="21"/>
              </w:rPr>
              <w:t>米</w:t>
            </w:r>
          </w:p>
        </w:tc>
        <w:tc>
          <w:tcPr>
            <w:tcW w:w="1077" w:type="dxa"/>
            <w:tcBorders>
              <w:top w:val="single" w:color="auto" w:sz="4" w:space="0"/>
              <w:bottom w:val="single" w:color="auto" w:sz="4" w:space="0"/>
              <w:right w:val="single" w:color="auto" w:sz="4" w:space="0"/>
            </w:tcBorders>
            <w:shd w:val="clear" w:color="auto" w:fill="auto"/>
            <w:vAlign w:val="center"/>
          </w:tcPr>
          <w:p>
            <w:pPr>
              <w:jc w:val="center"/>
              <w:rPr>
                <w:rFonts w:asciiTheme="minorEastAsia" w:hAnsiTheme="minorEastAsia" w:eastAsiaTheme="minorEastAsia" w:cstheme="minorBidi"/>
                <w:kern w:val="2"/>
                <w:sz w:val="21"/>
                <w:szCs w:val="22"/>
                <w:lang w:val="en-US" w:eastAsia="zh-CN" w:bidi="ar-SA"/>
              </w:rPr>
            </w:pPr>
            <w:r>
              <w:rPr>
                <w:rFonts w:hint="eastAsia" w:ascii="Times New Roman" w:hAnsi="Times New Roman" w:eastAsia="宋体" w:cs="Times New Roman"/>
                <w:color w:val="000000"/>
                <w:kern w:val="0"/>
                <w:sz w:val="20"/>
                <w:szCs w:val="21"/>
                <w:lang w:val="en-US" w:eastAsia="zh-CN"/>
              </w:rPr>
              <w:t>12</w:t>
            </w:r>
            <w:r>
              <w:rPr>
                <w:rFonts w:hint="eastAsia" w:ascii="Times New Roman" w:hAnsi="Times New Roman" w:eastAsia="宋体" w:cs="Times New Roman"/>
                <w:color w:val="000000"/>
                <w:kern w:val="0"/>
                <w:sz w:val="20"/>
                <w:szCs w:val="21"/>
              </w:rPr>
              <w:t>元/米</w:t>
            </w:r>
          </w:p>
        </w:tc>
        <w:tc>
          <w:tcPr>
            <w:tcW w:w="1077" w:type="dxa"/>
            <w:tcBorders>
              <w:top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Times New Roman"/>
                <w:color w:val="000000"/>
                <w:kern w:val="0"/>
                <w:szCs w:val="21"/>
              </w:rPr>
            </w:pPr>
            <w:r>
              <w:rPr>
                <w:rFonts w:hint="eastAsia" w:ascii="宋体" w:hAnsi="宋体" w:eastAsia="宋体" w:cs="宋体"/>
                <w:i w:val="0"/>
                <w:color w:val="000000"/>
                <w:kern w:val="0"/>
                <w:sz w:val="22"/>
                <w:szCs w:val="22"/>
                <w:u w:val="none"/>
                <w:lang w:val="en-US" w:eastAsia="zh-CN" w:bidi="ar"/>
              </w:rPr>
              <w:t>2200</w:t>
            </w:r>
          </w:p>
        </w:tc>
        <w:tc>
          <w:tcPr>
            <w:tcW w:w="2640" w:type="dxa"/>
            <w:tcBorders>
              <w:top w:val="single" w:color="auto" w:sz="4" w:space="0"/>
              <w:bottom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cs="Times New Roman"/>
                <w:color w:val="000000"/>
                <w:kern w:val="0"/>
                <w:sz w:val="20"/>
                <w:szCs w:val="21"/>
              </w:rPr>
            </w:pPr>
            <w:r>
              <w:rPr>
                <w:rFonts w:ascii="Times New Roman" w:hAnsi="Times New Roman" w:eastAsia="宋体" w:cs="Times New Roman"/>
                <w:color w:val="000000"/>
                <w:kern w:val="0"/>
                <w:szCs w:val="21"/>
              </w:rPr>
              <w:drawing>
                <wp:inline distT="0" distB="0" distL="114300" distR="114300">
                  <wp:extent cx="861695" cy="685165"/>
                  <wp:effectExtent l="0" t="0" r="14605" b="635"/>
                  <wp:docPr id="132" name="图片 27" descr="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 name="图片 27" descr="35.jpg"/>
                          <pic:cNvPicPr>
                            <a:picLocks noChangeAspect="1"/>
                          </pic:cNvPicPr>
                        </pic:nvPicPr>
                        <pic:blipFill>
                          <a:blip r:embed="rId10">
                            <a:extLst>
                              <a:ext uri="{28A0092B-C50C-407E-A947-70E740481C1C}">
                                <a14:useLocalDpi xmlns:a14="http://schemas.microsoft.com/office/drawing/2010/main" val="0"/>
                              </a:ext>
                            </a:extLst>
                          </a:blip>
                          <a:srcRect l="-1958" t="22047" r="-3461" b="25197"/>
                          <a:stretch>
                            <a:fillRect/>
                          </a:stretch>
                        </pic:blipFill>
                        <pic:spPr>
                          <a:xfrm>
                            <a:off x="0" y="0"/>
                            <a:ext cx="861695" cy="685165"/>
                          </a:xfrm>
                          <a:prstGeom prst="rect">
                            <a:avLst/>
                          </a:prstGeom>
                        </pic:spPr>
                      </pic:pic>
                    </a:graphicData>
                  </a:graphic>
                </wp:inline>
              </w:drawing>
            </w:r>
            <w:r>
              <w:rPr>
                <w:rFonts w:ascii="Times New Roman" w:hAnsi="Times New Roman" w:eastAsia="Times New Roman" w:cs="Times New Roman"/>
                <w:color w:val="000000"/>
                <w:kern w:val="0"/>
                <w:sz w:val="20"/>
                <w:szCs w:val="21"/>
              </w:rPr>
              <w:drawing>
                <wp:inline distT="0" distB="0" distL="114300" distR="114300">
                  <wp:extent cx="998855" cy="749935"/>
                  <wp:effectExtent l="0" t="0" r="10795" b="12065"/>
                  <wp:docPr id="131"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 name="图片 22"/>
                          <pic:cNvPicPr>
                            <a:picLocks noChangeAspect="1"/>
                          </pic:cNvPicPr>
                        </pic:nvPicPr>
                        <pic:blipFill>
                          <a:blip r:embed="rId11" cstate="print">
                            <a:extLst>
                              <a:ext uri="{28A0092B-C50C-407E-A947-70E740481C1C}">
                                <a14:useLocalDpi xmlns:a14="http://schemas.microsoft.com/office/drawing/2010/main" val="0"/>
                              </a:ext>
                            </a:extLst>
                          </a:blip>
                          <a:srcRect t="6626" r="5505" b="7830"/>
                          <a:stretch>
                            <a:fillRect/>
                          </a:stretch>
                        </pic:blipFill>
                        <pic:spPr>
                          <a:xfrm>
                            <a:off x="0" y="0"/>
                            <a:ext cx="998855" cy="749935"/>
                          </a:xfrm>
                          <a:prstGeom prst="rect">
                            <a:avLst/>
                          </a:prstGeom>
                        </pic:spPr>
                      </pic:pic>
                    </a:graphicData>
                  </a:graphic>
                </wp:inline>
              </w:drawing>
            </w:r>
          </w:p>
        </w:tc>
      </w:tr>
      <w:tr>
        <w:tblPrEx>
          <w:tblCellMar>
            <w:top w:w="0" w:type="dxa"/>
            <w:left w:w="108" w:type="dxa"/>
            <w:bottom w:w="0" w:type="dxa"/>
            <w:right w:w="108" w:type="dxa"/>
          </w:tblCellMar>
        </w:tblPrEx>
        <w:trPr>
          <w:trHeight w:val="90" w:hRule="atLeast"/>
          <w:jc w:val="center"/>
        </w:trPr>
        <w:tc>
          <w:tcPr>
            <w:tcW w:w="794" w:type="dxa"/>
            <w:tcBorders>
              <w:top w:val="single" w:color="auto" w:sz="4" w:space="0"/>
              <w:left w:val="single" w:color="auto" w:sz="4" w:space="0"/>
              <w:right w:val="single" w:color="auto" w:sz="4" w:space="0"/>
            </w:tcBorders>
            <w:shd w:val="clear" w:color="auto" w:fill="auto"/>
            <w:noWrap/>
            <w:vAlign w:val="center"/>
          </w:tcPr>
          <w:p>
            <w:pPr>
              <w:jc w:val="center"/>
              <w:rPr>
                <w:rFonts w:ascii="宋体" w:hAnsi="宋体" w:eastAsia="宋体" w:cs="Times New Roman"/>
                <w:color w:val="000000"/>
                <w:kern w:val="0"/>
                <w:szCs w:val="21"/>
              </w:rPr>
            </w:pPr>
            <w:r>
              <w:rPr>
                <w:rFonts w:hint="eastAsia" w:ascii="宋体" w:hAnsi="宋体" w:eastAsia="宋体" w:cs="Times New Roman"/>
                <w:color w:val="000000"/>
                <w:kern w:val="0"/>
                <w:szCs w:val="21"/>
              </w:rPr>
              <w:t>7</w:t>
            </w:r>
          </w:p>
        </w:tc>
        <w:tc>
          <w:tcPr>
            <w:tcW w:w="153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罗马杆轨道</w:t>
            </w:r>
          </w:p>
          <w:p>
            <w:pPr>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（含纳米圈等配件）</w:t>
            </w:r>
          </w:p>
        </w:tc>
        <w:tc>
          <w:tcPr>
            <w:tcW w:w="51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numPr>
                <w:ilvl w:val="0"/>
                <w:numId w:val="0"/>
              </w:numPr>
              <w:spacing w:line="300" w:lineRule="exact"/>
              <w:jc w:val="both"/>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1、铝合金型材：执行标准GB/T 5237.5-2017，牌号6063 T5</w:t>
            </w:r>
          </w:p>
          <w:p>
            <w:pPr>
              <w:widowControl w:val="0"/>
              <w:numPr>
                <w:ilvl w:val="0"/>
                <w:numId w:val="0"/>
              </w:numPr>
              <w:spacing w:line="300" w:lineRule="exact"/>
              <w:jc w:val="both"/>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2、壁厚（mm）：≥2.0</w:t>
            </w:r>
          </w:p>
          <w:p>
            <w:pPr>
              <w:widowControl w:val="0"/>
              <w:spacing w:line="300" w:lineRule="exact"/>
              <w:jc w:val="both"/>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rPr>
              <w:t>3、</w:t>
            </w:r>
            <w:r>
              <w:rPr>
                <w:rFonts w:hint="eastAsia" w:ascii="宋体" w:hAnsi="宋体" w:eastAsia="宋体" w:cs="宋体"/>
                <w:color w:val="000000"/>
                <w:kern w:val="2"/>
                <w:sz w:val="21"/>
                <w:szCs w:val="21"/>
                <w:lang w:val="en-US" w:eastAsia="zh-CN" w:bidi="ar-SA"/>
              </w:rPr>
              <w:t>延伸强度R</w:t>
            </w:r>
            <w:r>
              <w:rPr>
                <w:rFonts w:hint="eastAsia" w:ascii="宋体" w:hAnsi="宋体" w:eastAsia="宋体" w:cs="宋体"/>
                <w:color w:val="000000"/>
                <w:kern w:val="2"/>
                <w:sz w:val="21"/>
                <w:szCs w:val="21"/>
                <w:vertAlign w:val="subscript"/>
                <w:lang w:val="en-US" w:eastAsia="zh-CN" w:bidi="ar-SA"/>
              </w:rPr>
              <w:t>eL</w:t>
            </w:r>
            <w:r>
              <w:rPr>
                <w:rFonts w:hint="eastAsia" w:ascii="宋体" w:hAnsi="宋体" w:eastAsia="宋体" w:cs="宋体"/>
                <w:color w:val="000000"/>
                <w:kern w:val="2"/>
                <w:sz w:val="21"/>
                <w:szCs w:val="21"/>
                <w:lang w:val="en-US" w:eastAsia="zh-CN" w:bidi="ar-SA"/>
              </w:rPr>
              <w:t>(Mpa)：≥200</w:t>
            </w:r>
          </w:p>
          <w:p>
            <w:pPr>
              <w:widowControl w:val="0"/>
              <w:spacing w:line="300" w:lineRule="exact"/>
              <w:jc w:val="both"/>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4、抗拉强度 Rm(Mpa)：≥200</w:t>
            </w:r>
          </w:p>
          <w:p>
            <w:pPr>
              <w:widowControl w:val="0"/>
              <w:spacing w:line="300" w:lineRule="exact"/>
              <w:jc w:val="both"/>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5、断后伸长率A（%）：≥15</w:t>
            </w:r>
          </w:p>
        </w:tc>
        <w:tc>
          <w:tcPr>
            <w:tcW w:w="1304"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各种</w:t>
            </w:r>
          </w:p>
          <w:p>
            <w:pPr>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颜色</w:t>
            </w:r>
          </w:p>
        </w:tc>
        <w:tc>
          <w:tcPr>
            <w:tcW w:w="1077" w:type="dxa"/>
            <w:tcBorders>
              <w:top w:val="single" w:color="auto" w:sz="4" w:space="0"/>
              <w:bottom w:val="single" w:color="auto" w:sz="4" w:space="0"/>
              <w:right w:val="single" w:color="auto" w:sz="4" w:space="0"/>
            </w:tcBorders>
            <w:shd w:val="clear" w:color="auto" w:fill="auto"/>
            <w:vAlign w:val="center"/>
          </w:tcPr>
          <w:p>
            <w:pPr>
              <w:widowControl/>
              <w:spacing w:line="300" w:lineRule="exact"/>
              <w:jc w:val="center"/>
              <w:rPr>
                <w:rFonts w:hint="eastAsia" w:ascii="宋体" w:hAnsi="宋体" w:eastAsia="宋体" w:cs="宋体"/>
                <w:color w:val="000000"/>
                <w:kern w:val="0"/>
                <w:sz w:val="20"/>
                <w:szCs w:val="21"/>
                <w:lang w:val="en-US" w:eastAsia="zh-CN" w:bidi="ar-SA"/>
              </w:rPr>
            </w:pPr>
            <w:r>
              <w:rPr>
                <w:rFonts w:hint="eastAsia" w:ascii="宋体" w:hAnsi="宋体" w:eastAsia="宋体" w:cs="宋体"/>
                <w:color w:val="000000"/>
                <w:kern w:val="0"/>
                <w:sz w:val="20"/>
                <w:szCs w:val="21"/>
              </w:rPr>
              <w:t>米</w:t>
            </w:r>
          </w:p>
        </w:tc>
        <w:tc>
          <w:tcPr>
            <w:tcW w:w="1077" w:type="dxa"/>
            <w:tcBorders>
              <w:top w:val="single" w:color="auto" w:sz="4" w:space="0"/>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Bidi"/>
                <w:kern w:val="2"/>
                <w:sz w:val="21"/>
                <w:szCs w:val="22"/>
                <w:lang w:val="en-US" w:eastAsia="zh-CN" w:bidi="ar-SA"/>
              </w:rPr>
            </w:pPr>
            <w:r>
              <w:rPr>
                <w:rFonts w:hint="eastAsia" w:ascii="Times New Roman" w:hAnsi="Times New Roman" w:eastAsia="宋体" w:cs="Times New Roman"/>
                <w:color w:val="000000"/>
                <w:kern w:val="0"/>
                <w:sz w:val="20"/>
                <w:szCs w:val="21"/>
                <w:lang w:val="en-US" w:eastAsia="zh-CN"/>
              </w:rPr>
              <w:t>21</w:t>
            </w:r>
            <w:r>
              <w:rPr>
                <w:rFonts w:hint="eastAsia" w:ascii="Times New Roman" w:hAnsi="Times New Roman" w:eastAsia="宋体" w:cs="Times New Roman"/>
                <w:color w:val="000000"/>
                <w:kern w:val="0"/>
                <w:sz w:val="20"/>
                <w:szCs w:val="21"/>
              </w:rPr>
              <w:t>元/米</w:t>
            </w:r>
          </w:p>
        </w:tc>
        <w:tc>
          <w:tcPr>
            <w:tcW w:w="1077" w:type="dxa"/>
            <w:tcBorders>
              <w:top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Times New Roman"/>
                <w:color w:val="000000"/>
                <w:kern w:val="0"/>
                <w:sz w:val="20"/>
                <w:szCs w:val="21"/>
              </w:rPr>
            </w:pPr>
            <w:r>
              <w:rPr>
                <w:rFonts w:hint="eastAsia" w:ascii="宋体" w:hAnsi="宋体" w:eastAsia="宋体" w:cs="宋体"/>
                <w:i w:val="0"/>
                <w:color w:val="000000"/>
                <w:kern w:val="0"/>
                <w:sz w:val="22"/>
                <w:szCs w:val="22"/>
                <w:u w:val="none"/>
                <w:lang w:val="en-US" w:eastAsia="zh-CN" w:bidi="ar"/>
              </w:rPr>
              <w:t>20</w:t>
            </w:r>
          </w:p>
        </w:tc>
        <w:tc>
          <w:tcPr>
            <w:tcW w:w="2640" w:type="dxa"/>
            <w:tcBorders>
              <w:top w:val="single" w:color="auto" w:sz="4" w:space="0"/>
              <w:bottom w:val="single" w:color="auto" w:sz="4" w:space="0"/>
              <w:right w:val="single" w:color="auto" w:sz="4" w:space="0"/>
            </w:tcBorders>
            <w:shd w:val="clear" w:color="auto" w:fill="auto"/>
          </w:tcPr>
          <w:p>
            <w:pPr>
              <w:widowControl/>
              <w:jc w:val="left"/>
              <w:rPr>
                <w:rFonts w:ascii="Times New Roman" w:hAnsi="Times New Roman" w:eastAsia="宋体" w:cs="Times New Roman"/>
                <w:color w:val="000000"/>
                <w:kern w:val="0"/>
                <w:sz w:val="20"/>
                <w:szCs w:val="21"/>
              </w:rPr>
            </w:pPr>
            <w:r>
              <w:rPr>
                <w:rFonts w:ascii="Times New Roman" w:hAnsi="Times New Roman" w:eastAsia="宋体" w:cs="Times New Roman"/>
                <w:color w:val="000000"/>
                <w:kern w:val="0"/>
                <w:sz w:val="20"/>
                <w:szCs w:val="21"/>
              </w:rPr>
              <w:drawing>
                <wp:inline distT="0" distB="0" distL="0" distR="0">
                  <wp:extent cx="1296035" cy="650875"/>
                  <wp:effectExtent l="0" t="0" r="18415" b="15875"/>
                  <wp:docPr id="8" name="图片 20" descr="85178206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0" descr="851782067.jpg"/>
                          <pic:cNvPicPr>
                            <a:picLocks noChangeAspect="1"/>
                          </pic:cNvPicPr>
                        </pic:nvPicPr>
                        <pic:blipFill>
                          <a:blip r:embed="rId12" cstate="print"/>
                          <a:srcRect l="14466" t="49690" r="5587" b="20760"/>
                          <a:stretch>
                            <a:fillRect/>
                          </a:stretch>
                        </pic:blipFill>
                        <pic:spPr>
                          <a:xfrm>
                            <a:off x="0" y="0"/>
                            <a:ext cx="1296035" cy="650875"/>
                          </a:xfrm>
                          <a:prstGeom prst="rect">
                            <a:avLst/>
                          </a:prstGeom>
                        </pic:spPr>
                      </pic:pic>
                    </a:graphicData>
                  </a:graphic>
                </wp:inline>
              </w:drawing>
            </w:r>
          </w:p>
          <w:p>
            <w:pPr>
              <w:widowControl/>
              <w:jc w:val="left"/>
              <w:rPr>
                <w:rFonts w:ascii="Times New Roman" w:hAnsi="Times New Roman" w:eastAsia="宋体" w:cs="Times New Roman"/>
                <w:color w:val="000000"/>
                <w:kern w:val="0"/>
                <w:sz w:val="20"/>
                <w:szCs w:val="21"/>
              </w:rPr>
            </w:pPr>
            <w:r>
              <w:rPr>
                <w:rFonts w:hint="eastAsia" w:ascii="Times New Roman" w:hAnsi="Times New Roman" w:eastAsia="宋体" w:cs="Times New Roman"/>
                <w:color w:val="000000"/>
                <w:kern w:val="0"/>
                <w:sz w:val="20"/>
                <w:szCs w:val="21"/>
              </w:rPr>
              <w:drawing>
                <wp:inline distT="0" distB="0" distL="0" distR="0">
                  <wp:extent cx="1259840" cy="795655"/>
                  <wp:effectExtent l="0" t="0" r="16510" b="4445"/>
                  <wp:docPr id="31" name="图片 43" descr="49065748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43" descr="490657482.jpg"/>
                          <pic:cNvPicPr>
                            <a:picLocks noChangeAspect="1"/>
                          </pic:cNvPicPr>
                        </pic:nvPicPr>
                        <pic:blipFill>
                          <a:blip r:embed="rId13" cstate="print"/>
                          <a:srcRect l="249" t="34905" r="3436" b="26394"/>
                          <a:stretch>
                            <a:fillRect/>
                          </a:stretch>
                        </pic:blipFill>
                        <pic:spPr>
                          <a:xfrm>
                            <a:off x="0" y="0"/>
                            <a:ext cx="1259840" cy="795655"/>
                          </a:xfrm>
                          <a:prstGeom prst="rect">
                            <a:avLst/>
                          </a:prstGeom>
                        </pic:spPr>
                      </pic:pic>
                    </a:graphicData>
                  </a:graphic>
                </wp:inline>
              </w:drawing>
            </w:r>
          </w:p>
        </w:tc>
      </w:tr>
      <w:tr>
        <w:tblPrEx>
          <w:tblCellMar>
            <w:top w:w="0" w:type="dxa"/>
            <w:left w:w="108" w:type="dxa"/>
            <w:bottom w:w="0" w:type="dxa"/>
            <w:right w:w="108" w:type="dxa"/>
          </w:tblCellMar>
        </w:tblPrEx>
        <w:trPr>
          <w:trHeight w:val="3065"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000000"/>
                <w:kern w:val="0"/>
                <w:szCs w:val="21"/>
              </w:rPr>
            </w:pPr>
            <w:r>
              <w:rPr>
                <w:rFonts w:hint="eastAsia" w:ascii="宋体" w:hAnsi="宋体" w:eastAsia="宋体" w:cs="Times New Roman"/>
                <w:color w:val="000000"/>
                <w:kern w:val="0"/>
                <w:szCs w:val="21"/>
              </w:rPr>
              <w:t>8</w:t>
            </w:r>
          </w:p>
        </w:tc>
        <w:tc>
          <w:tcPr>
            <w:tcW w:w="153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铝合金</w:t>
            </w:r>
          </w:p>
          <w:p>
            <w:pPr>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滑轨</w:t>
            </w:r>
          </w:p>
          <w:p>
            <w:pPr>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（含配件）</w:t>
            </w:r>
          </w:p>
        </w:tc>
        <w:tc>
          <w:tcPr>
            <w:tcW w:w="5102" w:type="dxa"/>
            <w:tcBorders>
              <w:top w:val="single" w:color="auto" w:sz="4" w:space="0"/>
              <w:left w:val="nil"/>
              <w:bottom w:val="single" w:color="auto" w:sz="4" w:space="0"/>
              <w:right w:val="single" w:color="auto" w:sz="4" w:space="0"/>
            </w:tcBorders>
            <w:shd w:val="clear" w:color="auto" w:fill="auto"/>
            <w:noWrap/>
            <w:vAlign w:val="center"/>
          </w:tcPr>
          <w:p>
            <w:pPr>
              <w:widowControl w:val="0"/>
              <w:numPr>
                <w:ilvl w:val="0"/>
                <w:numId w:val="0"/>
              </w:numPr>
              <w:spacing w:line="300" w:lineRule="exact"/>
              <w:jc w:val="both"/>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w:t>
            </w:r>
            <w:r>
              <w:rPr>
                <w:rFonts w:hint="eastAsia" w:ascii="宋体" w:hAnsi="宋体" w:eastAsia="宋体" w:cs="宋体"/>
                <w:color w:val="000000"/>
                <w:kern w:val="2"/>
                <w:sz w:val="21"/>
                <w:szCs w:val="21"/>
                <w:lang w:val="en-US" w:eastAsia="zh-CN" w:bidi="ar-SA"/>
              </w:rPr>
              <w:t>铝合金型材：执行标准GB/T 5237.5-2017，牌号6063 T5</w:t>
            </w:r>
          </w:p>
          <w:p>
            <w:pPr>
              <w:spacing w:line="300" w:lineRule="exac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2、壁厚（mm）：</w:t>
            </w:r>
            <w:r>
              <w:rPr>
                <w:rFonts w:hint="eastAsia" w:ascii="宋体" w:hAnsi="宋体" w:eastAsia="宋体" w:cs="宋体"/>
                <w:color w:val="000000"/>
                <w:kern w:val="2"/>
                <w:sz w:val="21"/>
                <w:szCs w:val="21"/>
                <w:lang w:val="en-US" w:eastAsia="zh-CN" w:bidi="ar-SA"/>
              </w:rPr>
              <w:t>≥</w:t>
            </w:r>
            <w:r>
              <w:rPr>
                <w:rFonts w:hint="eastAsia" w:ascii="宋体" w:hAnsi="宋体" w:eastAsia="宋体" w:cs="宋体"/>
                <w:color w:val="000000"/>
                <w:kern w:val="0"/>
                <w:sz w:val="21"/>
                <w:szCs w:val="21"/>
              </w:rPr>
              <w:t>1.3</w:t>
            </w:r>
          </w:p>
          <w:p>
            <w:pPr>
              <w:spacing w:line="300" w:lineRule="exac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3、宽（mm）</w:t>
            </w:r>
            <w:r>
              <w:rPr>
                <w:rFonts w:hint="eastAsia" w:ascii="宋体" w:hAnsi="宋体" w:eastAsia="宋体" w:cs="宋体"/>
                <w:color w:val="000000"/>
                <w:kern w:val="0"/>
                <w:sz w:val="21"/>
                <w:szCs w:val="21"/>
                <w:lang w:eastAsia="zh-CN"/>
              </w:rPr>
              <w:t>：</w:t>
            </w:r>
            <w:r>
              <w:rPr>
                <w:rFonts w:hint="eastAsia" w:ascii="宋体" w:hAnsi="宋体" w:eastAsia="宋体" w:cs="宋体"/>
                <w:color w:val="000000"/>
                <w:kern w:val="2"/>
                <w:sz w:val="21"/>
                <w:szCs w:val="21"/>
                <w:lang w:val="en-US" w:eastAsia="zh-CN" w:bidi="ar-SA"/>
              </w:rPr>
              <w:t>≥</w:t>
            </w:r>
            <w:r>
              <w:rPr>
                <w:rFonts w:hint="eastAsia" w:ascii="宋体" w:hAnsi="宋体" w:eastAsia="宋体" w:cs="宋体"/>
                <w:color w:val="000000"/>
                <w:kern w:val="0"/>
                <w:sz w:val="21"/>
                <w:szCs w:val="21"/>
              </w:rPr>
              <w:t>27.85</w:t>
            </w:r>
          </w:p>
          <w:p>
            <w:pPr>
              <w:spacing w:line="300" w:lineRule="exac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4、高（mm）</w:t>
            </w:r>
            <w:r>
              <w:rPr>
                <w:rFonts w:hint="eastAsia" w:ascii="宋体" w:hAnsi="宋体" w:eastAsia="宋体" w:cs="宋体"/>
                <w:color w:val="000000"/>
                <w:kern w:val="0"/>
                <w:sz w:val="21"/>
                <w:szCs w:val="21"/>
                <w:lang w:eastAsia="zh-CN"/>
              </w:rPr>
              <w:t>：</w:t>
            </w:r>
            <w:r>
              <w:rPr>
                <w:rFonts w:hint="eastAsia" w:ascii="宋体" w:hAnsi="宋体" w:eastAsia="宋体" w:cs="宋体"/>
                <w:color w:val="000000"/>
                <w:kern w:val="2"/>
                <w:sz w:val="21"/>
                <w:szCs w:val="21"/>
                <w:lang w:val="en-US" w:eastAsia="zh-CN" w:bidi="ar-SA"/>
              </w:rPr>
              <w:t>≥</w:t>
            </w:r>
            <w:r>
              <w:rPr>
                <w:rFonts w:hint="eastAsia" w:ascii="宋体" w:hAnsi="宋体" w:eastAsia="宋体" w:cs="宋体"/>
                <w:color w:val="000000"/>
                <w:kern w:val="0"/>
                <w:sz w:val="21"/>
                <w:szCs w:val="21"/>
              </w:rPr>
              <w:t>22.75</w:t>
            </w:r>
          </w:p>
          <w:p>
            <w:pPr>
              <w:spacing w:line="300" w:lineRule="exac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5、1米重量（kg/m）：</w:t>
            </w:r>
            <w:r>
              <w:rPr>
                <w:rFonts w:hint="eastAsia" w:ascii="宋体" w:hAnsi="宋体" w:eastAsia="宋体" w:cs="宋体"/>
                <w:color w:val="000000"/>
                <w:kern w:val="2"/>
                <w:sz w:val="21"/>
                <w:szCs w:val="21"/>
                <w:lang w:val="en-US" w:eastAsia="zh-CN" w:bidi="ar-SA"/>
              </w:rPr>
              <w:t>≥</w:t>
            </w:r>
            <w:r>
              <w:rPr>
                <w:rFonts w:hint="eastAsia" w:ascii="宋体" w:hAnsi="宋体" w:eastAsia="宋体" w:cs="宋体"/>
                <w:color w:val="000000"/>
                <w:kern w:val="0"/>
                <w:sz w:val="21"/>
                <w:szCs w:val="21"/>
              </w:rPr>
              <w:t>0.475</w:t>
            </w:r>
          </w:p>
          <w:p>
            <w:pPr>
              <w:spacing w:line="300" w:lineRule="exac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6、镀层厚度（um）：</w:t>
            </w:r>
            <w:r>
              <w:rPr>
                <w:rFonts w:hint="eastAsia" w:ascii="宋体" w:hAnsi="宋体" w:eastAsia="宋体" w:cs="宋体"/>
                <w:color w:val="000000"/>
                <w:kern w:val="2"/>
                <w:sz w:val="21"/>
                <w:szCs w:val="21"/>
                <w:lang w:val="en-US" w:eastAsia="zh-CN" w:bidi="ar-SA"/>
              </w:rPr>
              <w:t>≥</w:t>
            </w:r>
            <w:r>
              <w:rPr>
                <w:rFonts w:hint="eastAsia" w:ascii="宋体" w:hAnsi="宋体" w:eastAsia="宋体" w:cs="宋体"/>
                <w:color w:val="000000"/>
                <w:kern w:val="0"/>
                <w:sz w:val="21"/>
                <w:szCs w:val="21"/>
              </w:rPr>
              <w:t>11.95</w:t>
            </w:r>
          </w:p>
          <w:p>
            <w:pPr>
              <w:spacing w:line="300" w:lineRule="exac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7、滑轮：采用原生树脂（POM）,环扣为不锈钢</w:t>
            </w:r>
          </w:p>
        </w:tc>
        <w:tc>
          <w:tcPr>
            <w:tcW w:w="130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白色</w:t>
            </w:r>
          </w:p>
        </w:tc>
        <w:tc>
          <w:tcPr>
            <w:tcW w:w="1077" w:type="dxa"/>
            <w:tcBorders>
              <w:top w:val="single" w:color="auto" w:sz="4" w:space="0"/>
              <w:bottom w:val="single" w:color="auto" w:sz="4" w:space="0"/>
              <w:right w:val="single" w:color="auto" w:sz="4" w:space="0"/>
            </w:tcBorders>
            <w:shd w:val="clear" w:color="auto" w:fill="auto"/>
            <w:vAlign w:val="center"/>
          </w:tcPr>
          <w:p>
            <w:pPr>
              <w:widowControl/>
              <w:spacing w:line="300" w:lineRule="exact"/>
              <w:jc w:val="center"/>
              <w:rPr>
                <w:rFonts w:hint="eastAsia" w:ascii="宋体" w:hAnsi="宋体" w:eastAsia="宋体" w:cs="宋体"/>
                <w:color w:val="000000"/>
                <w:kern w:val="0"/>
                <w:sz w:val="20"/>
                <w:szCs w:val="21"/>
                <w:lang w:val="en-US" w:eastAsia="zh-CN" w:bidi="ar-SA"/>
              </w:rPr>
            </w:pPr>
            <w:r>
              <w:rPr>
                <w:rFonts w:hint="eastAsia" w:ascii="宋体" w:hAnsi="宋体" w:eastAsia="宋体" w:cs="宋体"/>
                <w:color w:val="000000"/>
                <w:kern w:val="0"/>
                <w:sz w:val="20"/>
                <w:szCs w:val="21"/>
              </w:rPr>
              <w:t>米</w:t>
            </w:r>
          </w:p>
        </w:tc>
        <w:tc>
          <w:tcPr>
            <w:tcW w:w="1077" w:type="dxa"/>
            <w:tcBorders>
              <w:top w:val="single" w:color="auto" w:sz="4" w:space="0"/>
              <w:bottom w:val="single" w:color="auto" w:sz="4" w:space="0"/>
              <w:right w:val="single" w:color="auto" w:sz="4" w:space="0"/>
            </w:tcBorders>
            <w:shd w:val="clear" w:color="auto" w:fill="auto"/>
            <w:vAlign w:val="center"/>
          </w:tcPr>
          <w:p>
            <w:pPr>
              <w:jc w:val="center"/>
              <w:rPr>
                <w:rFonts w:asciiTheme="minorEastAsia" w:hAnsiTheme="minorEastAsia" w:eastAsiaTheme="minorEastAsia" w:cstheme="minorBidi"/>
                <w:kern w:val="2"/>
                <w:sz w:val="21"/>
                <w:szCs w:val="22"/>
                <w:lang w:val="en-US" w:eastAsia="zh-CN" w:bidi="ar-SA"/>
              </w:rPr>
            </w:pPr>
            <w:r>
              <w:rPr>
                <w:rFonts w:hint="eastAsia" w:ascii="Times New Roman" w:hAnsi="Times New Roman" w:eastAsia="宋体" w:cs="Times New Roman"/>
                <w:color w:val="000000"/>
                <w:kern w:val="0"/>
                <w:sz w:val="20"/>
                <w:szCs w:val="21"/>
                <w:lang w:val="en-US" w:eastAsia="zh-CN"/>
              </w:rPr>
              <w:t>33</w:t>
            </w:r>
            <w:r>
              <w:rPr>
                <w:rFonts w:hint="eastAsia" w:ascii="Times New Roman" w:hAnsi="Times New Roman" w:eastAsia="宋体" w:cs="Times New Roman"/>
                <w:color w:val="000000"/>
                <w:kern w:val="0"/>
                <w:sz w:val="20"/>
                <w:szCs w:val="21"/>
              </w:rPr>
              <w:t>元/米</w:t>
            </w:r>
          </w:p>
        </w:tc>
        <w:tc>
          <w:tcPr>
            <w:tcW w:w="1077" w:type="dxa"/>
            <w:tcBorders>
              <w:top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Times New Roman"/>
                <w:color w:val="000000"/>
                <w:kern w:val="0"/>
                <w:sz w:val="20"/>
                <w:szCs w:val="21"/>
              </w:rPr>
            </w:pPr>
            <w:r>
              <w:rPr>
                <w:rFonts w:hint="eastAsia" w:ascii="宋体" w:hAnsi="宋体" w:eastAsia="宋体" w:cs="宋体"/>
                <w:i w:val="0"/>
                <w:color w:val="000000"/>
                <w:kern w:val="0"/>
                <w:sz w:val="22"/>
                <w:szCs w:val="22"/>
                <w:u w:val="none"/>
                <w:lang w:val="en-US" w:eastAsia="zh-CN" w:bidi="ar"/>
              </w:rPr>
              <w:t>1200</w:t>
            </w:r>
          </w:p>
        </w:tc>
        <w:tc>
          <w:tcPr>
            <w:tcW w:w="2640" w:type="dxa"/>
            <w:tcBorders>
              <w:top w:val="single" w:color="auto" w:sz="4" w:space="0"/>
              <w:bottom w:val="single" w:color="auto" w:sz="4" w:space="0"/>
              <w:right w:val="single" w:color="auto" w:sz="4" w:space="0"/>
            </w:tcBorders>
            <w:shd w:val="clear" w:color="auto" w:fill="auto"/>
          </w:tcPr>
          <w:p>
            <w:pPr>
              <w:jc w:val="both"/>
              <w:rPr>
                <w:rFonts w:ascii="Times New Roman" w:hAnsi="Times New Roman" w:eastAsia="Times New Roman" w:cs="Times New Roman"/>
                <w:color w:val="000000"/>
                <w:kern w:val="0"/>
                <w:sz w:val="20"/>
                <w:szCs w:val="21"/>
              </w:rPr>
            </w:pPr>
            <w:r>
              <w:rPr>
                <w:rFonts w:ascii="Times New Roman" w:hAnsi="Times New Roman" w:eastAsia="宋体" w:cs="Times New Roman"/>
                <w:color w:val="000000"/>
                <w:kern w:val="0"/>
                <w:sz w:val="20"/>
                <w:szCs w:val="21"/>
              </w:rPr>
              <w:drawing>
                <wp:inline distT="0" distB="0" distL="0" distR="0">
                  <wp:extent cx="1541780" cy="289560"/>
                  <wp:effectExtent l="0" t="0" r="1270" b="15240"/>
                  <wp:docPr id="26" name="图片 22" descr="6885767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2" descr="68857679.jpg"/>
                          <pic:cNvPicPr>
                            <a:picLocks noChangeAspect="1"/>
                          </pic:cNvPicPr>
                        </pic:nvPicPr>
                        <pic:blipFill>
                          <a:blip r:embed="rId14" cstate="print"/>
                          <a:srcRect l="1458" t="46318" r="9523" b="39626"/>
                          <a:stretch>
                            <a:fillRect/>
                          </a:stretch>
                        </pic:blipFill>
                        <pic:spPr>
                          <a:xfrm>
                            <a:off x="0" y="0"/>
                            <a:ext cx="1541780" cy="289560"/>
                          </a:xfrm>
                          <a:prstGeom prst="rect">
                            <a:avLst/>
                          </a:prstGeom>
                        </pic:spPr>
                      </pic:pic>
                    </a:graphicData>
                  </a:graphic>
                </wp:inline>
              </w:drawing>
            </w:r>
          </w:p>
          <w:p>
            <w:pPr>
              <w:rPr>
                <w:rFonts w:ascii="Times New Roman" w:hAnsi="Times New Roman" w:eastAsia="Times New Roman" w:cs="Times New Roman"/>
                <w:color w:val="000000"/>
                <w:kern w:val="0"/>
                <w:sz w:val="20"/>
                <w:szCs w:val="21"/>
              </w:rPr>
            </w:pPr>
          </w:p>
          <w:p>
            <w:pPr>
              <w:rPr>
                <w:rFonts w:ascii="Times New Roman" w:hAnsi="Times New Roman" w:eastAsia="Times New Roman" w:cs="Times New Roman"/>
                <w:color w:val="000000"/>
                <w:kern w:val="0"/>
                <w:sz w:val="20"/>
                <w:szCs w:val="21"/>
              </w:rPr>
            </w:pPr>
            <w:r>
              <w:rPr>
                <w:rFonts w:ascii="Times New Roman" w:hAnsi="Times New Roman" w:eastAsia="Times New Roman" w:cs="Times New Roman"/>
                <w:color w:val="000000"/>
                <w:kern w:val="0"/>
                <w:sz w:val="20"/>
                <w:szCs w:val="21"/>
              </w:rPr>
              <w:drawing>
                <wp:anchor distT="0" distB="0" distL="114300" distR="114300" simplePos="0" relativeHeight="251665408" behindDoc="0" locked="0" layoutInCell="1" allowOverlap="1">
                  <wp:simplePos x="0" y="0"/>
                  <wp:positionH relativeFrom="column">
                    <wp:posOffset>8255</wp:posOffset>
                  </wp:positionH>
                  <wp:positionV relativeFrom="paragraph">
                    <wp:posOffset>45085</wp:posOffset>
                  </wp:positionV>
                  <wp:extent cx="1403985" cy="751840"/>
                  <wp:effectExtent l="0" t="0" r="5715" b="10160"/>
                  <wp:wrapNone/>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pic:cNvPicPr>
                            <a:picLocks noChangeAspect="1"/>
                          </pic:cNvPicPr>
                        </pic:nvPicPr>
                        <pic:blipFill>
                          <a:blip r:embed="rId15" cstate="print">
                            <a:extLst>
                              <a:ext uri="{28A0092B-C50C-407E-A947-70E740481C1C}">
                                <a14:useLocalDpi xmlns:a14="http://schemas.microsoft.com/office/drawing/2010/main" val="0"/>
                              </a:ext>
                            </a:extLst>
                          </a:blip>
                          <a:srcRect l="-1042" t="8354" r="-4"/>
                          <a:stretch>
                            <a:fillRect/>
                          </a:stretch>
                        </pic:blipFill>
                        <pic:spPr>
                          <a:xfrm>
                            <a:off x="0" y="0"/>
                            <a:ext cx="1403985" cy="751840"/>
                          </a:xfrm>
                          <a:prstGeom prst="rect">
                            <a:avLst/>
                          </a:prstGeom>
                        </pic:spPr>
                      </pic:pic>
                    </a:graphicData>
                  </a:graphic>
                </wp:anchor>
              </w:drawing>
            </w:r>
          </w:p>
          <w:p>
            <w:pPr>
              <w:rPr>
                <w:rFonts w:ascii="Times New Roman" w:hAnsi="Times New Roman" w:eastAsia="Times New Roman" w:cs="Times New Roman"/>
                <w:color w:val="000000"/>
                <w:kern w:val="0"/>
                <w:sz w:val="20"/>
                <w:szCs w:val="21"/>
              </w:rPr>
            </w:pPr>
          </w:p>
          <w:p>
            <w:pPr>
              <w:rPr>
                <w:rFonts w:ascii="Times New Roman" w:hAnsi="Times New Roman" w:eastAsia="宋体" w:cs="Times New Roman"/>
                <w:color w:val="000000"/>
                <w:kern w:val="0"/>
                <w:sz w:val="20"/>
                <w:szCs w:val="21"/>
              </w:rPr>
            </w:pPr>
          </w:p>
        </w:tc>
      </w:tr>
      <w:tr>
        <w:tblPrEx>
          <w:tblCellMar>
            <w:top w:w="0" w:type="dxa"/>
            <w:left w:w="108" w:type="dxa"/>
            <w:bottom w:w="0" w:type="dxa"/>
            <w:right w:w="108" w:type="dxa"/>
          </w:tblCellMar>
        </w:tblPrEx>
        <w:trPr>
          <w:trHeight w:val="101" w:hRule="atLeast"/>
          <w:jc w:val="center"/>
        </w:trPr>
        <w:tc>
          <w:tcPr>
            <w:tcW w:w="794" w:type="dxa"/>
            <w:vMerge w:val="restart"/>
            <w:tcBorders>
              <w:top w:val="single" w:color="auto" w:sz="4" w:space="0"/>
              <w:left w:val="single" w:color="auto" w:sz="4" w:space="0"/>
              <w:bottom w:val="single" w:color="auto" w:sz="4" w:space="0"/>
              <w:right w:val="single" w:color="auto" w:sz="4" w:space="0"/>
            </w:tcBorders>
            <w:vAlign w:val="center"/>
          </w:tcPr>
          <w:p>
            <w:pPr>
              <w:ind w:firstLine="210" w:firstLineChars="100"/>
              <w:rPr>
                <w:rFonts w:ascii="宋体" w:hAnsi="宋体" w:eastAsia="宋体" w:cs="Times New Roman"/>
                <w:color w:val="000000"/>
                <w:kern w:val="0"/>
                <w:szCs w:val="21"/>
              </w:rPr>
            </w:pPr>
            <w:r>
              <w:rPr>
                <w:rFonts w:hint="eastAsia" w:ascii="宋体" w:hAnsi="宋体" w:eastAsia="宋体" w:cs="Times New Roman"/>
                <w:color w:val="000000"/>
                <w:kern w:val="0"/>
                <w:szCs w:val="21"/>
              </w:rPr>
              <w:t>9</w:t>
            </w:r>
          </w:p>
        </w:tc>
        <w:tc>
          <w:tcPr>
            <w:tcW w:w="1531"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卷帘材质</w:t>
            </w:r>
          </w:p>
          <w:p>
            <w:pPr>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(含以下卷帘配件）</w:t>
            </w:r>
          </w:p>
        </w:tc>
        <w:tc>
          <w:tcPr>
            <w:tcW w:w="5102"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6"/>
              <w:numPr>
                <w:ilvl w:val="0"/>
                <w:numId w:val="5"/>
              </w:numPr>
              <w:autoSpaceDE w:val="0"/>
              <w:autoSpaceDN w:val="0"/>
              <w:spacing w:line="360" w:lineRule="exact"/>
              <w:jc w:val="both"/>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材质：芯纱100%聚酯纤维</w:t>
            </w:r>
          </w:p>
          <w:p>
            <w:pPr>
              <w:pStyle w:val="6"/>
              <w:numPr>
                <w:ilvl w:val="0"/>
                <w:numId w:val="5"/>
              </w:numPr>
              <w:autoSpaceDE w:val="0"/>
              <w:autoSpaceDN w:val="0"/>
              <w:spacing w:line="360" w:lineRule="exact"/>
              <w:jc w:val="both"/>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重量：420g/㎡</w:t>
            </w:r>
            <w:r>
              <w:rPr>
                <w:rFonts w:hint="eastAsia" w:hAnsi="宋体" w:eastAsia="宋体" w:cs="宋体"/>
                <w:b w:val="0"/>
                <w:bCs/>
                <w:sz w:val="21"/>
                <w:szCs w:val="21"/>
                <w:lang w:val="en-US" w:eastAsia="zh-CN"/>
              </w:rPr>
              <w:t>（</w:t>
            </w:r>
            <w:r>
              <w:rPr>
                <w:rFonts w:hint="eastAsia" w:ascii="宋体" w:hAnsi="宋体" w:eastAsia="宋体" w:cs="宋体"/>
                <w:b w:val="0"/>
                <w:bCs/>
                <w:sz w:val="21"/>
                <w:szCs w:val="21"/>
                <w:lang w:val="en-US" w:eastAsia="zh-CN"/>
              </w:rPr>
              <w:t>±5%</w:t>
            </w:r>
            <w:r>
              <w:rPr>
                <w:rFonts w:hint="eastAsia" w:hAnsi="宋体" w:eastAsia="宋体" w:cs="宋体"/>
                <w:b w:val="0"/>
                <w:bCs/>
                <w:sz w:val="21"/>
                <w:szCs w:val="21"/>
                <w:lang w:val="en-US" w:eastAsia="zh-CN"/>
              </w:rPr>
              <w:t>）</w:t>
            </w:r>
          </w:p>
          <w:p>
            <w:pPr>
              <w:pStyle w:val="6"/>
              <w:numPr>
                <w:ilvl w:val="0"/>
                <w:numId w:val="5"/>
              </w:numPr>
              <w:autoSpaceDE w:val="0"/>
              <w:autoSpaceDN w:val="0"/>
              <w:spacing w:line="360" w:lineRule="exact"/>
              <w:ind w:left="0" w:leftChars="0" w:firstLine="0" w:firstLineChars="0"/>
              <w:jc w:val="both"/>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遮光率：≥90%</w:t>
            </w:r>
          </w:p>
          <w:p>
            <w:pPr>
              <w:pStyle w:val="6"/>
              <w:numPr>
                <w:ilvl w:val="0"/>
                <w:numId w:val="5"/>
              </w:numPr>
              <w:autoSpaceDE w:val="0"/>
              <w:autoSpaceDN w:val="0"/>
              <w:spacing w:line="360" w:lineRule="exact"/>
              <w:ind w:left="0" w:leftChars="0" w:firstLine="0" w:firstLineChars="0"/>
              <w:jc w:val="both"/>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总光通量透射比：≥15%</w:t>
            </w:r>
          </w:p>
          <w:p>
            <w:pPr>
              <w:pStyle w:val="6"/>
              <w:numPr>
                <w:ilvl w:val="0"/>
                <w:numId w:val="5"/>
              </w:numPr>
              <w:autoSpaceDE w:val="0"/>
              <w:autoSpaceDN w:val="0"/>
              <w:spacing w:line="360" w:lineRule="exact"/>
              <w:ind w:left="0" w:leftChars="0" w:firstLine="0" w:firstLineChars="0"/>
              <w:jc w:val="both"/>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透气性：≥1000mm/s</w:t>
            </w:r>
          </w:p>
          <w:p>
            <w:pPr>
              <w:pStyle w:val="6"/>
              <w:numPr>
                <w:ilvl w:val="0"/>
                <w:numId w:val="5"/>
              </w:numPr>
              <w:autoSpaceDE w:val="0"/>
              <w:autoSpaceDN w:val="0"/>
              <w:spacing w:line="360" w:lineRule="exact"/>
              <w:ind w:left="0" w:leftChars="0" w:firstLine="0" w:firstLineChars="0"/>
              <w:jc w:val="both"/>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 xml:space="preserve">防紫外线性能：UPF≥50，UPFav≥500，T（UVA）AV≤5%，T（UVB）AV≤5% </w:t>
            </w:r>
          </w:p>
          <w:p>
            <w:pPr>
              <w:pStyle w:val="6"/>
              <w:autoSpaceDE w:val="0"/>
              <w:autoSpaceDN w:val="0"/>
              <w:spacing w:line="360" w:lineRule="exact"/>
              <w:jc w:val="both"/>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7、耐光色牢度：≥6级，耐水斑、酸斑、碱斑、有机溶剂色牢度≥4级</w:t>
            </w:r>
          </w:p>
          <w:p>
            <w:pPr>
              <w:pStyle w:val="6"/>
              <w:autoSpaceDE w:val="0"/>
              <w:autoSpaceDN w:val="0"/>
              <w:spacing w:line="360" w:lineRule="exact"/>
              <w:jc w:val="both"/>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8、安全类别：符合GB 18401-2010（B类或以上）《国家纺织产品基本安全技术规范》全项目检测标准要求</w:t>
            </w:r>
          </w:p>
          <w:p>
            <w:pPr>
              <w:pStyle w:val="6"/>
              <w:autoSpaceDE w:val="0"/>
              <w:autoSpaceDN w:val="0"/>
              <w:spacing w:line="360" w:lineRule="exact"/>
              <w:jc w:val="both"/>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9、物理性能：符合GB/T19817-2005《纺织品 装饰用织物》（优等品）全项目标准的检测要求；</w:t>
            </w:r>
          </w:p>
          <w:p>
            <w:pPr>
              <w:pStyle w:val="6"/>
              <w:autoSpaceDE w:val="0"/>
              <w:autoSpaceDN w:val="0"/>
              <w:spacing w:line="360" w:lineRule="exact"/>
              <w:jc w:val="both"/>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10、重金属（mg/kg）符合最低限值要求:铅≤0.5，镉≤0.1，砷≤0.2，铜≤1.0，钴≤1.0，镍≤1.0，铬≤1.0，锑≤1.0，六价铬≤0.5，汞≤0.02，富马酸二甲酯未检出。</w:t>
            </w:r>
          </w:p>
          <w:p>
            <w:pPr>
              <w:pStyle w:val="6"/>
              <w:autoSpaceDE w:val="0"/>
              <w:autoSpaceDN w:val="0"/>
              <w:spacing w:line="360" w:lineRule="exact"/>
              <w:jc w:val="both"/>
              <w:rPr>
                <w:rFonts w:hint="eastAsia" w:ascii="宋体" w:hAnsi="宋体" w:eastAsia="宋体" w:cs="宋体"/>
                <w:b w:val="0"/>
                <w:bCs/>
                <w:sz w:val="21"/>
                <w:szCs w:val="21"/>
                <w:lang w:val="en-US" w:eastAsia="zh-CN"/>
              </w:rPr>
            </w:pPr>
            <w:r>
              <w:rPr>
                <w:rFonts w:hint="eastAsia" w:ascii="宋体" w:hAnsi="宋体" w:eastAsia="宋体" w:cs="宋体"/>
                <w:b w:val="0"/>
                <w:bCs/>
                <w:sz w:val="21"/>
                <w:szCs w:val="21"/>
              </w:rPr>
              <w:t>★</w:t>
            </w:r>
            <w:r>
              <w:rPr>
                <w:rFonts w:hint="eastAsia" w:ascii="宋体" w:hAnsi="宋体" w:eastAsia="宋体" w:cs="宋体"/>
                <w:b w:val="0"/>
                <w:bCs/>
                <w:sz w:val="21"/>
                <w:szCs w:val="21"/>
                <w:lang w:val="en-US" w:eastAsia="zh-CN"/>
              </w:rPr>
              <w:t>11、阻燃：燃烧性能、氧指数、烟密度等级、产烟毒性项目水洗＞100次后符合GB 20286-2006（阻燃1级）检测标准要求。</w:t>
            </w:r>
          </w:p>
          <w:p>
            <w:pPr>
              <w:spacing w:line="300" w:lineRule="exact"/>
              <w:rPr>
                <w:rFonts w:hint="eastAsia" w:ascii="宋体" w:hAnsi="宋体" w:eastAsia="宋体" w:cs="宋体"/>
                <w:color w:val="000000"/>
                <w:kern w:val="0"/>
                <w:sz w:val="21"/>
                <w:szCs w:val="21"/>
              </w:rPr>
            </w:pPr>
            <w:r>
              <w:rPr>
                <w:rFonts w:hint="eastAsia" w:ascii="宋体" w:hAnsi="宋体" w:eastAsia="宋体" w:cs="宋体"/>
                <w:b w:val="0"/>
                <w:bCs/>
                <w:kern w:val="2"/>
                <w:sz w:val="21"/>
                <w:szCs w:val="21"/>
                <w:lang w:val="en-US" w:eastAsia="zh-CN" w:bidi="ar-SA"/>
              </w:rPr>
              <w:t>12、抗菌效果抑菌率（洗涤30次后振荡法）：金黄色葡萄球菌（ATCC6538）≥70%、大肠杆菌（ATCC25922）≥70%、白色念珠菌（ATCC10231）≥70%、肺炎克雷白氏菌（ATCC4352）≥70%、铜绿假单胞菌（ATCC15442）≥70%；长霉等级≤2级；抗甲流病毒（A/PR/8/34H1N1）活性值Mv[lg(TCID50/mL)]≥1.2</w:t>
            </w:r>
          </w:p>
        </w:tc>
        <w:tc>
          <w:tcPr>
            <w:tcW w:w="130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各种</w:t>
            </w:r>
          </w:p>
          <w:p>
            <w:pPr>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颜色</w:t>
            </w:r>
          </w:p>
        </w:tc>
        <w:tc>
          <w:tcPr>
            <w:tcW w:w="10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hint="eastAsia" w:ascii="宋体" w:hAnsi="宋体" w:eastAsia="宋体" w:cs="宋体"/>
                <w:color w:val="000000"/>
                <w:kern w:val="0"/>
                <w:sz w:val="20"/>
                <w:szCs w:val="21"/>
                <w:lang w:val="en-US" w:eastAsia="zh-CN" w:bidi="ar-SA"/>
              </w:rPr>
            </w:pPr>
            <w:r>
              <w:rPr>
                <w:rFonts w:hint="eastAsia" w:ascii="宋体" w:hAnsi="宋体" w:eastAsia="宋体" w:cs="宋体"/>
                <w:color w:val="000000"/>
                <w:kern w:val="0"/>
                <w:sz w:val="20"/>
                <w:szCs w:val="21"/>
              </w:rPr>
              <w:t>米</w:t>
            </w:r>
          </w:p>
        </w:tc>
        <w:tc>
          <w:tcPr>
            <w:tcW w:w="10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 w:val="20"/>
                <w:szCs w:val="21"/>
                <w:lang w:val="en-US" w:eastAsia="zh-CN"/>
              </w:rPr>
              <w:t>90</w:t>
            </w:r>
            <w:r>
              <w:rPr>
                <w:rFonts w:hint="eastAsia" w:ascii="Times New Roman" w:hAnsi="Times New Roman" w:eastAsia="宋体" w:cs="Times New Roman"/>
                <w:color w:val="000000"/>
                <w:kern w:val="0"/>
                <w:sz w:val="20"/>
                <w:szCs w:val="21"/>
              </w:rPr>
              <w:t>元/平方（包括上轨、下轨、卷帘制头等配件）</w:t>
            </w:r>
          </w:p>
        </w:tc>
        <w:tc>
          <w:tcPr>
            <w:tcW w:w="1077" w:type="dxa"/>
            <w:vMerge w:val="restart"/>
            <w:tcBorders>
              <w:top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Times New Roman"/>
                <w:color w:val="000000"/>
                <w:kern w:val="0"/>
                <w:szCs w:val="21"/>
              </w:rPr>
            </w:pPr>
            <w:r>
              <w:rPr>
                <w:rFonts w:hint="eastAsia" w:ascii="宋体" w:hAnsi="宋体" w:eastAsia="宋体" w:cs="宋体"/>
                <w:i w:val="0"/>
                <w:color w:val="000000"/>
                <w:kern w:val="0"/>
                <w:sz w:val="22"/>
                <w:szCs w:val="22"/>
                <w:u w:val="none"/>
                <w:lang w:val="en-US" w:eastAsia="zh-CN" w:bidi="ar"/>
              </w:rPr>
              <w:t>200</w:t>
            </w:r>
          </w:p>
        </w:tc>
        <w:tc>
          <w:tcPr>
            <w:tcW w:w="2640" w:type="dxa"/>
            <w:tcBorders>
              <w:top w:val="single" w:color="auto" w:sz="4" w:space="0"/>
              <w:bottom w:val="single" w:color="auto" w:sz="4" w:space="0"/>
              <w:right w:val="single" w:color="auto" w:sz="4" w:space="0"/>
            </w:tcBorders>
            <w:shd w:val="clear" w:color="auto" w:fill="auto"/>
          </w:tcPr>
          <w:p>
            <w:pPr>
              <w:widowControl/>
              <w:jc w:val="left"/>
              <w:rPr>
                <w:rFonts w:ascii="Times New Roman" w:hAnsi="Times New Roman" w:eastAsia="宋体" w:cs="Times New Roman"/>
                <w:color w:val="000000"/>
                <w:kern w:val="0"/>
                <w:szCs w:val="21"/>
              </w:rPr>
            </w:pPr>
          </w:p>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drawing>
                <wp:inline distT="0" distB="0" distL="114300" distR="114300">
                  <wp:extent cx="1296035" cy="1327785"/>
                  <wp:effectExtent l="0" t="0" r="18415" b="5715"/>
                  <wp:docPr id="1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5"/>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0" y="0"/>
                            <a:ext cx="1296035" cy="1327785"/>
                          </a:xfrm>
                          <a:prstGeom prst="rect">
                            <a:avLst/>
                          </a:prstGeom>
                        </pic:spPr>
                      </pic:pic>
                    </a:graphicData>
                  </a:graphic>
                </wp:inline>
              </w:drawing>
            </w:r>
          </w:p>
          <w:p>
            <w:pPr>
              <w:widowControl/>
              <w:jc w:val="left"/>
              <w:rPr>
                <w:rFonts w:ascii="Times New Roman" w:hAnsi="Times New Roman" w:eastAsia="宋体" w:cs="Times New Roman"/>
                <w:color w:val="000000"/>
                <w:kern w:val="0"/>
                <w:szCs w:val="21"/>
              </w:rPr>
            </w:pPr>
          </w:p>
          <w:p>
            <w:pPr>
              <w:widowControl/>
              <w:jc w:val="left"/>
              <w:rPr>
                <w:rFonts w:ascii="Times New Roman" w:hAnsi="Times New Roman" w:eastAsia="Times New Roman" w:cs="Times New Roman"/>
                <w:color w:val="000000"/>
                <w:kern w:val="0"/>
                <w:sz w:val="20"/>
                <w:szCs w:val="21"/>
              </w:rPr>
            </w:pPr>
            <w:r>
              <w:rPr>
                <w:rFonts w:ascii="Times New Roman" w:hAnsi="Times New Roman" w:eastAsia="宋体" w:cs="Times New Roman"/>
                <w:color w:val="000000"/>
                <w:kern w:val="0"/>
                <w:szCs w:val="21"/>
              </w:rPr>
              <w:drawing>
                <wp:inline distT="0" distB="0" distL="0" distR="0">
                  <wp:extent cx="1259840" cy="1226820"/>
                  <wp:effectExtent l="0" t="0" r="16510" b="11430"/>
                  <wp:docPr id="1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
                          <pic:cNvPicPr>
                            <a:picLocks noChangeAspect="1"/>
                          </pic:cNvPicPr>
                        </pic:nvPicPr>
                        <pic:blipFill>
                          <a:blip r:embed="rId17" cstate="print"/>
                          <a:srcRect r="-446" b="-36"/>
                          <a:stretch>
                            <a:fillRect/>
                          </a:stretch>
                        </pic:blipFill>
                        <pic:spPr>
                          <a:xfrm>
                            <a:off x="0" y="0"/>
                            <a:ext cx="1259840" cy="1226820"/>
                          </a:xfrm>
                          <a:prstGeom prst="rect">
                            <a:avLst/>
                          </a:prstGeom>
                        </pic:spPr>
                      </pic:pic>
                    </a:graphicData>
                  </a:graphic>
                </wp:inline>
              </w:drawing>
            </w:r>
          </w:p>
        </w:tc>
      </w:tr>
      <w:tr>
        <w:tblPrEx>
          <w:tblCellMar>
            <w:top w:w="0" w:type="dxa"/>
            <w:left w:w="108" w:type="dxa"/>
            <w:bottom w:w="0" w:type="dxa"/>
            <w:right w:w="108" w:type="dxa"/>
          </w:tblCellMar>
        </w:tblPrEx>
        <w:trPr>
          <w:trHeight w:val="1670" w:hRule="atLeast"/>
          <w:jc w:val="center"/>
        </w:trPr>
        <w:tc>
          <w:tcPr>
            <w:tcW w:w="794" w:type="dxa"/>
            <w:vMerge w:val="continue"/>
            <w:tcBorders>
              <w:top w:val="single" w:color="auto" w:sz="4" w:space="0"/>
              <w:left w:val="single" w:color="auto" w:sz="4" w:space="0"/>
              <w:bottom w:val="single" w:color="auto" w:sz="4" w:space="0"/>
              <w:right w:val="single" w:color="auto" w:sz="4" w:space="0"/>
            </w:tcBorders>
            <w:vAlign w:val="center"/>
          </w:tcPr>
          <w:p>
            <w:pPr>
              <w:jc w:val="both"/>
              <w:rPr>
                <w:rFonts w:ascii="宋体" w:hAnsi="宋体" w:eastAsia="宋体" w:cs="Times New Roman"/>
                <w:color w:val="000000"/>
                <w:kern w:val="0"/>
                <w:szCs w:val="21"/>
              </w:rPr>
            </w:pPr>
          </w:p>
        </w:tc>
        <w:tc>
          <w:tcPr>
            <w:tcW w:w="1531"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color w:val="000000"/>
                <w:kern w:val="0"/>
                <w:sz w:val="20"/>
                <w:szCs w:val="20"/>
              </w:rPr>
            </w:pPr>
          </w:p>
        </w:tc>
        <w:tc>
          <w:tcPr>
            <w:tcW w:w="51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pacing w:line="300" w:lineRule="exact"/>
              <w:ind w:firstLine="0" w:firstLineChars="0"/>
              <w:jc w:val="both"/>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配件下轨：</w:t>
            </w:r>
          </w:p>
          <w:p>
            <w:pPr>
              <w:numPr>
                <w:ilvl w:val="0"/>
                <w:numId w:val="6"/>
              </w:numPr>
              <w:spacing w:line="300" w:lineRule="exact"/>
              <w:rPr>
                <w:rFonts w:ascii="宋体" w:hAnsi="宋体" w:eastAsia="宋体" w:cs="宋体"/>
                <w:color w:val="000000"/>
                <w:szCs w:val="21"/>
              </w:rPr>
            </w:pPr>
            <w:r>
              <w:rPr>
                <w:rFonts w:hint="eastAsia" w:ascii="宋体" w:hAnsi="宋体" w:eastAsia="宋体" w:cs="宋体"/>
                <w:color w:val="000000"/>
                <w:szCs w:val="21"/>
                <w:lang w:val="en-US" w:eastAsia="zh-CN"/>
              </w:rPr>
              <w:t>凹槽处</w:t>
            </w:r>
            <w:r>
              <w:rPr>
                <w:rFonts w:hint="eastAsia" w:ascii="宋体" w:hAnsi="宋体" w:eastAsia="宋体" w:cs="宋体"/>
                <w:color w:val="000000"/>
                <w:szCs w:val="21"/>
              </w:rPr>
              <w:t>壁厚（mm）：≥</w:t>
            </w:r>
            <w:r>
              <w:rPr>
                <w:rFonts w:hint="eastAsia" w:ascii="宋体" w:hAnsi="宋体" w:eastAsia="宋体" w:cs="宋体"/>
                <w:color w:val="000000"/>
                <w:szCs w:val="21"/>
                <w:lang w:val="en-US" w:eastAsia="zh-CN"/>
              </w:rPr>
              <w:t>3</w:t>
            </w:r>
          </w:p>
          <w:p>
            <w:pPr>
              <w:numPr>
                <w:ilvl w:val="0"/>
                <w:numId w:val="6"/>
              </w:numPr>
              <w:spacing w:line="300" w:lineRule="exact"/>
              <w:rPr>
                <w:rFonts w:ascii="宋体" w:hAnsi="宋体" w:eastAsia="宋体" w:cs="宋体"/>
                <w:color w:val="000000"/>
                <w:szCs w:val="21"/>
              </w:rPr>
            </w:pPr>
            <w:r>
              <w:rPr>
                <w:rFonts w:hint="eastAsia" w:ascii="宋体" w:hAnsi="宋体" w:eastAsia="宋体" w:cs="宋体"/>
                <w:color w:val="000000"/>
                <w:szCs w:val="21"/>
              </w:rPr>
              <w:t>高度（mm）：</w:t>
            </w:r>
            <w:r>
              <w:rPr>
                <w:rFonts w:hint="eastAsia" w:ascii="宋体" w:hAnsi="宋体" w:eastAsia="宋体" w:cs="宋体"/>
                <w:color w:val="000000"/>
                <w:szCs w:val="21"/>
                <w:lang w:val="en-US" w:eastAsia="zh-CN"/>
              </w:rPr>
              <w:t>≤10</w:t>
            </w:r>
          </w:p>
          <w:p>
            <w:pPr>
              <w:numPr>
                <w:ilvl w:val="0"/>
                <w:numId w:val="6"/>
              </w:numPr>
              <w:spacing w:line="300" w:lineRule="exact"/>
              <w:rPr>
                <w:rFonts w:hint="eastAsia"/>
                <w:lang w:val="en-US" w:eastAsia="zh-CN"/>
              </w:rPr>
            </w:pPr>
            <w:r>
              <w:rPr>
                <w:rFonts w:hint="eastAsia" w:ascii="宋体" w:hAnsi="宋体" w:eastAsia="宋体" w:cs="宋体"/>
                <w:color w:val="000000"/>
                <w:szCs w:val="21"/>
              </w:rPr>
              <w:t>宽度（mm）：≥</w:t>
            </w:r>
            <w:r>
              <w:rPr>
                <w:rFonts w:hint="eastAsia" w:ascii="宋体" w:hAnsi="宋体" w:eastAsia="宋体" w:cs="宋体"/>
                <w:color w:val="000000"/>
                <w:szCs w:val="21"/>
                <w:lang w:val="en-US" w:eastAsia="zh-CN"/>
              </w:rPr>
              <w:t>45</w:t>
            </w:r>
          </w:p>
          <w:p>
            <w:pPr>
              <w:widowControl w:val="0"/>
              <w:numPr>
                <w:ilvl w:val="0"/>
                <w:numId w:val="6"/>
              </w:numPr>
              <w:spacing w:line="300" w:lineRule="exact"/>
              <w:ind w:left="360" w:hanging="360" w:firstLineChars="0"/>
              <w:jc w:val="both"/>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结构：卷帘下杆底部内置消音保护软长。</w:t>
            </w:r>
          </w:p>
        </w:tc>
        <w:tc>
          <w:tcPr>
            <w:tcW w:w="130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各种</w:t>
            </w:r>
          </w:p>
          <w:p>
            <w:pPr>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颜色</w:t>
            </w:r>
          </w:p>
        </w:tc>
        <w:tc>
          <w:tcPr>
            <w:tcW w:w="10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hint="eastAsia" w:ascii="宋体" w:hAnsi="宋体" w:eastAsia="宋体" w:cs="宋体"/>
                <w:color w:val="000000"/>
                <w:kern w:val="0"/>
                <w:sz w:val="20"/>
                <w:szCs w:val="21"/>
                <w:lang w:val="en-US" w:eastAsia="zh-CN" w:bidi="ar-SA"/>
              </w:rPr>
            </w:pPr>
          </w:p>
        </w:tc>
        <w:tc>
          <w:tcPr>
            <w:tcW w:w="10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ascii="Times New Roman" w:hAnsi="Times New Roman" w:eastAsia="宋体" w:cs="Times New Roman"/>
                <w:color w:val="000000"/>
                <w:kern w:val="0"/>
                <w:szCs w:val="21"/>
              </w:rPr>
            </w:pPr>
          </w:p>
        </w:tc>
        <w:tc>
          <w:tcPr>
            <w:tcW w:w="10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Times New Roman"/>
                <w:color w:val="000000"/>
                <w:kern w:val="0"/>
                <w:szCs w:val="21"/>
              </w:rPr>
            </w:pPr>
          </w:p>
        </w:tc>
        <w:tc>
          <w:tcPr>
            <w:tcW w:w="2640" w:type="dxa"/>
            <w:tcBorders>
              <w:top w:val="single" w:color="auto" w:sz="4" w:space="0"/>
              <w:left w:val="single" w:color="auto" w:sz="4" w:space="0"/>
              <w:bottom w:val="single" w:color="auto" w:sz="4" w:space="0"/>
              <w:right w:val="single" w:color="auto" w:sz="4" w:space="0"/>
            </w:tcBorders>
            <w:shd w:val="clear" w:color="auto" w:fill="auto"/>
          </w:tcPr>
          <w:p>
            <w:pPr>
              <w:widowControl/>
              <w:jc w:val="left"/>
              <w:rPr>
                <w:rFonts w:ascii="Times New Roman" w:hAnsi="Times New Roman" w:eastAsia="宋体" w:cs="Times New Roman"/>
                <w:color w:val="000000"/>
                <w:kern w:val="0"/>
                <w:szCs w:val="21"/>
              </w:rPr>
            </w:pPr>
          </w:p>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drawing>
                <wp:inline distT="0" distB="0" distL="0" distR="0">
                  <wp:extent cx="1440180" cy="653415"/>
                  <wp:effectExtent l="0" t="0" r="0" b="13335"/>
                  <wp:docPr id="10"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32"/>
                          <pic:cNvPicPr>
                            <a:picLocks noChangeAspect="1"/>
                          </pic:cNvPicPr>
                        </pic:nvPicPr>
                        <pic:blipFill>
                          <a:blip r:embed="rId18"/>
                          <a:srcRect r="-4371"/>
                          <a:stretch>
                            <a:fillRect/>
                          </a:stretch>
                        </pic:blipFill>
                        <pic:spPr>
                          <a:xfrm>
                            <a:off x="0" y="0"/>
                            <a:ext cx="1440180" cy="653415"/>
                          </a:xfrm>
                          <a:prstGeom prst="rect">
                            <a:avLst/>
                          </a:prstGeom>
                        </pic:spPr>
                      </pic:pic>
                    </a:graphicData>
                  </a:graphic>
                </wp:inline>
              </w:drawing>
            </w:r>
            <w:r>
              <w:rPr>
                <w:rFonts w:ascii="Times New Roman" w:hAnsi="Times New Roman" w:eastAsia="宋体" w:cs="Times New Roman"/>
                <w:color w:val="000000"/>
                <w:kern w:val="0"/>
                <w:szCs w:val="21"/>
              </w:rPr>
              <w:drawing>
                <wp:anchor distT="0" distB="0" distL="114300" distR="114300" simplePos="0" relativeHeight="251668480" behindDoc="0" locked="0" layoutInCell="1" allowOverlap="1">
                  <wp:simplePos x="0" y="0"/>
                  <wp:positionH relativeFrom="column">
                    <wp:posOffset>8084820</wp:posOffset>
                  </wp:positionH>
                  <wp:positionV relativeFrom="paragraph">
                    <wp:posOffset>4844415</wp:posOffset>
                  </wp:positionV>
                  <wp:extent cx="1586230" cy="700405"/>
                  <wp:effectExtent l="0" t="0" r="13970" b="4445"/>
                  <wp:wrapNone/>
                  <wp:docPr id="12" name="图片 31"/>
                  <wp:cNvGraphicFramePr/>
                  <a:graphic xmlns:a="http://schemas.openxmlformats.org/drawingml/2006/main">
                    <a:graphicData uri="http://schemas.openxmlformats.org/drawingml/2006/picture">
                      <pic:pic xmlns:pic="http://schemas.openxmlformats.org/drawingml/2006/picture">
                        <pic:nvPicPr>
                          <pic:cNvPr id="12" name="图片 31"/>
                          <pic:cNvPicPr>
                            <a:picLocks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1586230" cy="700405"/>
                          </a:xfrm>
                          <a:prstGeom prst="rect">
                            <a:avLst/>
                          </a:prstGeom>
                          <a:noFill/>
                          <a:ln>
                            <a:noFill/>
                          </a:ln>
                        </pic:spPr>
                      </pic:pic>
                    </a:graphicData>
                  </a:graphic>
                </wp:anchor>
              </w:drawing>
            </w:r>
            <w:r>
              <w:rPr>
                <w:rFonts w:ascii="Times New Roman" w:hAnsi="Times New Roman" w:eastAsia="宋体" w:cs="Times New Roman"/>
                <w:color w:val="000000"/>
                <w:kern w:val="0"/>
                <w:szCs w:val="21"/>
              </w:rPr>
              <w:drawing>
                <wp:anchor distT="0" distB="0" distL="114300" distR="114300" simplePos="0" relativeHeight="251667456" behindDoc="0" locked="0" layoutInCell="1" allowOverlap="1">
                  <wp:simplePos x="0" y="0"/>
                  <wp:positionH relativeFrom="column">
                    <wp:posOffset>8084820</wp:posOffset>
                  </wp:positionH>
                  <wp:positionV relativeFrom="paragraph">
                    <wp:posOffset>4844415</wp:posOffset>
                  </wp:positionV>
                  <wp:extent cx="1586230" cy="700405"/>
                  <wp:effectExtent l="0" t="0" r="13970" b="4445"/>
                  <wp:wrapNone/>
                  <wp:docPr id="14" name="图片 30"/>
                  <wp:cNvGraphicFramePr/>
                  <a:graphic xmlns:a="http://schemas.openxmlformats.org/drawingml/2006/main">
                    <a:graphicData uri="http://schemas.openxmlformats.org/drawingml/2006/picture">
                      <pic:pic xmlns:pic="http://schemas.openxmlformats.org/drawingml/2006/picture">
                        <pic:nvPicPr>
                          <pic:cNvPr id="14" name="图片 30"/>
                          <pic:cNvPicPr>
                            <a:picLocks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1586230" cy="700405"/>
                          </a:xfrm>
                          <a:prstGeom prst="rect">
                            <a:avLst/>
                          </a:prstGeom>
                          <a:noFill/>
                          <a:ln>
                            <a:noFill/>
                          </a:ln>
                        </pic:spPr>
                      </pic:pic>
                    </a:graphicData>
                  </a:graphic>
                </wp:anchor>
              </w:drawing>
            </w:r>
          </w:p>
        </w:tc>
      </w:tr>
      <w:tr>
        <w:tblPrEx>
          <w:tblCellMar>
            <w:top w:w="0" w:type="dxa"/>
            <w:left w:w="108" w:type="dxa"/>
            <w:bottom w:w="0" w:type="dxa"/>
            <w:right w:w="108" w:type="dxa"/>
          </w:tblCellMar>
        </w:tblPrEx>
        <w:trPr>
          <w:trHeight w:val="2073" w:hRule="atLeast"/>
          <w:jc w:val="center"/>
        </w:trPr>
        <w:tc>
          <w:tcPr>
            <w:tcW w:w="794"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000000"/>
                <w:kern w:val="0"/>
                <w:szCs w:val="21"/>
              </w:rPr>
            </w:pPr>
          </w:p>
        </w:tc>
        <w:tc>
          <w:tcPr>
            <w:tcW w:w="1531"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color w:val="000000"/>
                <w:kern w:val="0"/>
                <w:sz w:val="20"/>
                <w:szCs w:val="20"/>
              </w:rPr>
            </w:pPr>
          </w:p>
        </w:tc>
        <w:tc>
          <w:tcPr>
            <w:tcW w:w="51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pacing w:line="300" w:lineRule="exact"/>
              <w:ind w:firstLine="0" w:firstLineChars="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配件上轨：执行标准GB/T 5237.2-2017，牌号6063 T5</w:t>
            </w:r>
          </w:p>
          <w:p>
            <w:pPr>
              <w:widowControl w:val="0"/>
              <w:numPr>
                <w:ilvl w:val="0"/>
                <w:numId w:val="0"/>
              </w:numPr>
              <w:spacing w:line="300" w:lineRule="exact"/>
              <w:ind w:leftChars="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1、壁厚（mm）：≥1.55</w:t>
            </w:r>
          </w:p>
          <w:p>
            <w:pPr>
              <w:widowControl w:val="0"/>
              <w:numPr>
                <w:ilvl w:val="0"/>
                <w:numId w:val="0"/>
              </w:numPr>
              <w:spacing w:line="300" w:lineRule="exact"/>
              <w:ind w:leftChars="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2、外径（mm）:≥40</w:t>
            </w:r>
          </w:p>
          <w:p>
            <w:pPr>
              <w:widowControl w:val="0"/>
              <w:numPr>
                <w:ilvl w:val="0"/>
                <w:numId w:val="0"/>
              </w:numPr>
              <w:spacing w:line="300" w:lineRule="exact"/>
              <w:ind w:leftChars="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3、内径（mm）：≥37.5</w:t>
            </w:r>
          </w:p>
          <w:p>
            <w:pPr>
              <w:widowControl w:val="0"/>
              <w:numPr>
                <w:ilvl w:val="0"/>
                <w:numId w:val="0"/>
              </w:numPr>
              <w:spacing w:line="300" w:lineRule="exact"/>
              <w:ind w:leftChars="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4、1米重量（kg/m）：≥0.55</w:t>
            </w:r>
          </w:p>
          <w:p>
            <w:pPr>
              <w:numPr>
                <w:ilvl w:val="0"/>
                <w:numId w:val="6"/>
              </w:numPr>
              <w:spacing w:line="300" w:lineRule="exact"/>
              <w:ind w:left="360" w:leftChars="0" w:hanging="360" w:firstLineChars="0"/>
              <w:rPr>
                <w:rFonts w:hint="eastAsia" w:ascii="宋体" w:hAnsi="宋体" w:eastAsia="宋体" w:cs="宋体"/>
                <w:sz w:val="21"/>
                <w:szCs w:val="21"/>
              </w:rPr>
            </w:pPr>
            <w:r>
              <w:rPr>
                <w:rFonts w:hint="eastAsia" w:ascii="宋体" w:hAnsi="宋体" w:eastAsia="宋体" w:cs="宋体"/>
                <w:sz w:val="21"/>
                <w:szCs w:val="21"/>
              </w:rPr>
              <w:t>硅≤0.45  锰≤0.03   镁≤0.62</w:t>
            </w:r>
          </w:p>
          <w:p>
            <w:pPr>
              <w:pStyle w:val="2"/>
              <w:numPr>
                <w:ilvl w:val="0"/>
                <w:numId w:val="6"/>
              </w:numPr>
              <w:ind w:left="360" w:leftChars="0" w:hanging="360" w:firstLineChars="0"/>
              <w:rPr>
                <w:rFonts w:hint="eastAsia" w:ascii="宋体" w:hAnsi="宋体" w:eastAsia="宋体" w:cs="宋体"/>
                <w:sz w:val="21"/>
                <w:szCs w:val="21"/>
              </w:rPr>
            </w:pPr>
            <w:r>
              <w:rPr>
                <w:rFonts w:hint="eastAsia" w:ascii="宋体" w:hAnsi="宋体" w:eastAsia="宋体" w:cs="宋体"/>
                <w:sz w:val="21"/>
                <w:szCs w:val="21"/>
                <w:lang w:eastAsia="zh-CN"/>
              </w:rPr>
              <w:t>化学成分符合</w:t>
            </w:r>
            <w:r>
              <w:rPr>
                <w:rFonts w:hint="eastAsia" w:ascii="宋体" w:hAnsi="宋体" w:eastAsia="宋体" w:cs="宋体"/>
                <w:sz w:val="21"/>
                <w:szCs w:val="21"/>
                <w:lang w:val="en-US" w:eastAsia="zh-CN"/>
              </w:rPr>
              <w:t>GB/T 5237.1-2017标准</w:t>
            </w:r>
          </w:p>
        </w:tc>
        <w:tc>
          <w:tcPr>
            <w:tcW w:w="130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铝合金</w:t>
            </w:r>
          </w:p>
        </w:tc>
        <w:tc>
          <w:tcPr>
            <w:tcW w:w="10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ascii="Times New Roman" w:hAnsi="Times New Roman" w:eastAsia="宋体" w:cs="Times New Roman"/>
                <w:color w:val="000000"/>
                <w:kern w:val="0"/>
                <w:szCs w:val="21"/>
              </w:rPr>
            </w:pPr>
          </w:p>
        </w:tc>
        <w:tc>
          <w:tcPr>
            <w:tcW w:w="10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ascii="Times New Roman" w:hAnsi="Times New Roman" w:eastAsia="宋体" w:cs="Times New Roman"/>
                <w:color w:val="000000"/>
                <w:kern w:val="0"/>
                <w:szCs w:val="21"/>
              </w:rPr>
            </w:pPr>
          </w:p>
        </w:tc>
        <w:tc>
          <w:tcPr>
            <w:tcW w:w="10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Times New Roman"/>
                <w:color w:val="000000"/>
                <w:kern w:val="0"/>
                <w:szCs w:val="21"/>
              </w:rPr>
            </w:pPr>
          </w:p>
        </w:tc>
        <w:tc>
          <w:tcPr>
            <w:tcW w:w="2640" w:type="dxa"/>
            <w:tcBorders>
              <w:top w:val="single" w:color="auto" w:sz="4" w:space="0"/>
              <w:left w:val="single" w:color="auto" w:sz="4" w:space="0"/>
              <w:bottom w:val="single" w:color="auto" w:sz="4" w:space="0"/>
              <w:right w:val="single" w:color="auto" w:sz="4" w:space="0"/>
            </w:tcBorders>
            <w:shd w:val="clear" w:color="auto" w:fill="auto"/>
          </w:tcPr>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drawing>
                <wp:anchor distT="0" distB="0" distL="114300" distR="114300" simplePos="0" relativeHeight="251666432" behindDoc="0" locked="0" layoutInCell="1" allowOverlap="1">
                  <wp:simplePos x="0" y="0"/>
                  <wp:positionH relativeFrom="column">
                    <wp:posOffset>-40640</wp:posOffset>
                  </wp:positionH>
                  <wp:positionV relativeFrom="paragraph">
                    <wp:posOffset>162560</wp:posOffset>
                  </wp:positionV>
                  <wp:extent cx="1548130" cy="714375"/>
                  <wp:effectExtent l="0" t="0" r="13970" b="9525"/>
                  <wp:wrapNone/>
                  <wp:docPr id="15" name="图片 3"/>
                  <wp:cNvGraphicFramePr/>
                  <a:graphic xmlns:a="http://schemas.openxmlformats.org/drawingml/2006/main">
                    <a:graphicData uri="http://schemas.openxmlformats.org/drawingml/2006/picture">
                      <pic:pic xmlns:pic="http://schemas.openxmlformats.org/drawingml/2006/picture">
                        <pic:nvPicPr>
                          <pic:cNvPr id="15" name="图片 3"/>
                          <pic:cNvPicPr/>
                        </pic:nvPicPr>
                        <pic:blipFill>
                          <a:blip r:embed="rId20"/>
                          <a:srcRect t="8000" r="-706"/>
                          <a:stretch>
                            <a:fillRect/>
                          </a:stretch>
                        </pic:blipFill>
                        <pic:spPr>
                          <a:xfrm>
                            <a:off x="0" y="0"/>
                            <a:ext cx="1548000" cy="714375"/>
                          </a:xfrm>
                          <a:prstGeom prst="rect">
                            <a:avLst/>
                          </a:prstGeom>
                          <a:noFill/>
                          <a:ln>
                            <a:noFill/>
                          </a:ln>
                        </pic:spPr>
                      </pic:pic>
                    </a:graphicData>
                  </a:graphic>
                </wp:anchor>
              </w:drawing>
            </w:r>
          </w:p>
        </w:tc>
      </w:tr>
      <w:tr>
        <w:tblPrEx>
          <w:tblCellMar>
            <w:top w:w="0" w:type="dxa"/>
            <w:left w:w="108" w:type="dxa"/>
            <w:bottom w:w="0" w:type="dxa"/>
            <w:right w:w="108" w:type="dxa"/>
          </w:tblCellMar>
        </w:tblPrEx>
        <w:trPr>
          <w:trHeight w:val="2828" w:hRule="atLeast"/>
          <w:jc w:val="center"/>
        </w:trPr>
        <w:tc>
          <w:tcPr>
            <w:tcW w:w="794"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000000"/>
                <w:kern w:val="0"/>
                <w:szCs w:val="21"/>
              </w:rPr>
            </w:pPr>
          </w:p>
        </w:tc>
        <w:tc>
          <w:tcPr>
            <w:tcW w:w="1531"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color w:val="000000"/>
                <w:kern w:val="0"/>
                <w:sz w:val="20"/>
                <w:szCs w:val="20"/>
              </w:rPr>
            </w:pPr>
          </w:p>
        </w:tc>
        <w:tc>
          <w:tcPr>
            <w:tcW w:w="51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pacing w:line="300" w:lineRule="exact"/>
              <w:ind w:firstLine="0" w:firstLineChars="0"/>
              <w:jc w:val="both"/>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配件制头：</w:t>
            </w:r>
          </w:p>
          <w:p>
            <w:pPr>
              <w:widowControl w:val="0"/>
              <w:numPr>
                <w:ilvl w:val="0"/>
                <w:numId w:val="0"/>
              </w:numPr>
              <w:spacing w:line="300" w:lineRule="exact"/>
              <w:ind w:leftChars="0"/>
              <w:jc w:val="both"/>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1、厚度（mm）：</w:t>
            </w:r>
            <w:r>
              <w:rPr>
                <w:rFonts w:hint="eastAsia" w:ascii="宋体" w:hAnsi="宋体" w:eastAsia="宋体" w:cs="宋体"/>
                <w:sz w:val="21"/>
                <w:szCs w:val="21"/>
                <w:lang w:val="en-US" w:eastAsia="zh-CN"/>
              </w:rPr>
              <w:t>≥</w:t>
            </w:r>
            <w:r>
              <w:rPr>
                <w:rFonts w:hint="eastAsia" w:ascii="宋体" w:hAnsi="宋体" w:eastAsia="宋体" w:cs="宋体"/>
                <w:color w:val="000000"/>
                <w:kern w:val="2"/>
                <w:sz w:val="21"/>
                <w:szCs w:val="21"/>
                <w:lang w:val="en-US" w:eastAsia="zh-CN" w:bidi="ar-SA"/>
              </w:rPr>
              <w:t>1.9</w:t>
            </w:r>
          </w:p>
          <w:p>
            <w:pPr>
              <w:widowControl w:val="0"/>
              <w:numPr>
                <w:ilvl w:val="0"/>
                <w:numId w:val="0"/>
              </w:numPr>
              <w:spacing w:line="300" w:lineRule="exact"/>
              <w:ind w:leftChars="0"/>
              <w:jc w:val="both"/>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2、宽度（mm）：</w:t>
            </w:r>
            <w:r>
              <w:rPr>
                <w:rFonts w:hint="eastAsia" w:ascii="宋体" w:hAnsi="宋体" w:eastAsia="宋体" w:cs="宋体"/>
                <w:sz w:val="21"/>
                <w:szCs w:val="21"/>
                <w:lang w:val="en-US" w:eastAsia="zh-CN"/>
              </w:rPr>
              <w:t>≥</w:t>
            </w:r>
            <w:r>
              <w:rPr>
                <w:rFonts w:hint="eastAsia" w:ascii="宋体" w:hAnsi="宋体" w:eastAsia="宋体" w:cs="宋体"/>
                <w:color w:val="000000"/>
                <w:kern w:val="2"/>
                <w:sz w:val="21"/>
                <w:szCs w:val="21"/>
                <w:lang w:val="en-US" w:eastAsia="zh-CN" w:bidi="ar-SA"/>
              </w:rPr>
              <w:t>59.5</w:t>
            </w:r>
          </w:p>
          <w:p>
            <w:pPr>
              <w:widowControl w:val="0"/>
              <w:numPr>
                <w:ilvl w:val="0"/>
                <w:numId w:val="0"/>
              </w:numPr>
              <w:spacing w:line="300" w:lineRule="exact"/>
              <w:ind w:leftChars="0"/>
              <w:jc w:val="both"/>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3、高度（mm）：</w:t>
            </w:r>
            <w:r>
              <w:rPr>
                <w:rFonts w:hint="eastAsia" w:ascii="宋体" w:hAnsi="宋体" w:eastAsia="宋体" w:cs="宋体"/>
                <w:sz w:val="21"/>
                <w:szCs w:val="21"/>
                <w:lang w:val="en-US" w:eastAsia="zh-CN"/>
              </w:rPr>
              <w:t>≥</w:t>
            </w:r>
            <w:r>
              <w:rPr>
                <w:rFonts w:hint="eastAsia" w:ascii="宋体" w:hAnsi="宋体" w:eastAsia="宋体" w:cs="宋体"/>
                <w:color w:val="000000"/>
                <w:kern w:val="2"/>
                <w:sz w:val="21"/>
                <w:szCs w:val="21"/>
                <w:lang w:val="en-US" w:eastAsia="zh-CN" w:bidi="ar-SA"/>
              </w:rPr>
              <w:t>80</w:t>
            </w:r>
          </w:p>
          <w:p>
            <w:pPr>
              <w:spacing w:line="300" w:lineRule="exac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卷管制头</w:t>
            </w:r>
          </w:p>
          <w:p>
            <w:pPr>
              <w:widowControl w:val="0"/>
              <w:numPr>
                <w:ilvl w:val="0"/>
                <w:numId w:val="0"/>
              </w:numPr>
              <w:spacing w:line="300" w:lineRule="exact"/>
              <w:ind w:leftChars="0"/>
              <w:jc w:val="both"/>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1、直径（mm）：</w:t>
            </w:r>
            <w:r>
              <w:rPr>
                <w:rFonts w:hint="eastAsia" w:ascii="宋体" w:hAnsi="宋体" w:eastAsia="宋体" w:cs="宋体"/>
                <w:sz w:val="21"/>
                <w:szCs w:val="21"/>
                <w:lang w:val="en-US" w:eastAsia="zh-CN"/>
              </w:rPr>
              <w:t>≥</w:t>
            </w:r>
            <w:r>
              <w:rPr>
                <w:rFonts w:hint="eastAsia" w:ascii="宋体" w:hAnsi="宋体" w:eastAsia="宋体" w:cs="宋体"/>
                <w:color w:val="000000"/>
                <w:kern w:val="2"/>
                <w:sz w:val="21"/>
                <w:szCs w:val="21"/>
                <w:lang w:val="en-US" w:eastAsia="zh-CN" w:bidi="ar-SA"/>
              </w:rPr>
              <w:t>41.5</w:t>
            </w:r>
          </w:p>
          <w:p>
            <w:pPr>
              <w:widowControl w:val="0"/>
              <w:numPr>
                <w:ilvl w:val="0"/>
                <w:numId w:val="0"/>
              </w:numPr>
              <w:spacing w:line="300" w:lineRule="exact"/>
              <w:ind w:leftChars="0"/>
              <w:jc w:val="both"/>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2、宽度（mm）：</w:t>
            </w:r>
            <w:r>
              <w:rPr>
                <w:rFonts w:hint="eastAsia" w:ascii="宋体" w:hAnsi="宋体" w:eastAsia="宋体" w:cs="宋体"/>
                <w:sz w:val="21"/>
                <w:szCs w:val="21"/>
                <w:lang w:val="en-US" w:eastAsia="zh-CN"/>
              </w:rPr>
              <w:t>≥</w:t>
            </w:r>
            <w:r>
              <w:rPr>
                <w:rFonts w:hint="eastAsia" w:ascii="宋体" w:hAnsi="宋体" w:eastAsia="宋体" w:cs="宋体"/>
                <w:color w:val="000000"/>
                <w:kern w:val="2"/>
                <w:sz w:val="21"/>
                <w:szCs w:val="21"/>
                <w:lang w:val="en-US" w:eastAsia="zh-CN" w:bidi="ar-SA"/>
              </w:rPr>
              <w:t>69.5</w:t>
            </w:r>
          </w:p>
          <w:p>
            <w:pPr>
              <w:spacing w:line="300" w:lineRule="exac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rPr>
              <w:t>3、</w:t>
            </w:r>
            <w:r>
              <w:rPr>
                <w:rFonts w:hint="eastAsia" w:ascii="宋体" w:hAnsi="宋体" w:eastAsia="宋体" w:cs="宋体"/>
                <w:color w:val="000000"/>
                <w:kern w:val="0"/>
                <w:sz w:val="21"/>
                <w:szCs w:val="21"/>
              </w:rPr>
              <w:t>珠子直径（mm）</w:t>
            </w:r>
            <w:r>
              <w:rPr>
                <w:rFonts w:hint="eastAsia" w:ascii="宋体" w:hAnsi="宋体" w:eastAsia="宋体" w:cs="宋体"/>
                <w:color w:val="000000"/>
                <w:kern w:val="0"/>
                <w:sz w:val="21"/>
                <w:szCs w:val="21"/>
                <w:lang w:eastAsia="zh-CN"/>
              </w:rPr>
              <w:t>：</w:t>
            </w:r>
            <w:r>
              <w:rPr>
                <w:rFonts w:hint="eastAsia" w:ascii="宋体" w:hAnsi="宋体" w:eastAsia="宋体" w:cs="宋体"/>
                <w:sz w:val="21"/>
                <w:szCs w:val="21"/>
                <w:lang w:val="en-US" w:eastAsia="zh-CN"/>
              </w:rPr>
              <w:t>≥</w:t>
            </w:r>
            <w:r>
              <w:rPr>
                <w:rFonts w:hint="eastAsia" w:ascii="宋体" w:hAnsi="宋体" w:eastAsia="宋体" w:cs="宋体"/>
                <w:color w:val="000000"/>
                <w:kern w:val="0"/>
                <w:sz w:val="21"/>
                <w:szCs w:val="21"/>
              </w:rPr>
              <w:t>4.3</w:t>
            </w:r>
          </w:p>
          <w:p>
            <w:pPr>
              <w:spacing w:line="300" w:lineRule="exac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rPr>
              <w:t>4、</w:t>
            </w:r>
            <w:r>
              <w:rPr>
                <w:rFonts w:hint="eastAsia" w:ascii="宋体" w:hAnsi="宋体" w:eastAsia="宋体" w:cs="宋体"/>
                <w:color w:val="000000"/>
                <w:kern w:val="0"/>
                <w:sz w:val="21"/>
                <w:szCs w:val="21"/>
              </w:rPr>
              <w:t>线径（mm）</w:t>
            </w:r>
            <w:r>
              <w:rPr>
                <w:rFonts w:hint="eastAsia" w:ascii="宋体" w:hAnsi="宋体" w:eastAsia="宋体" w:cs="宋体"/>
                <w:color w:val="000000"/>
                <w:kern w:val="0"/>
                <w:sz w:val="21"/>
                <w:szCs w:val="21"/>
                <w:lang w:eastAsia="zh-CN"/>
              </w:rPr>
              <w:t>：</w:t>
            </w:r>
            <w:r>
              <w:rPr>
                <w:rFonts w:hint="eastAsia" w:ascii="宋体" w:hAnsi="宋体" w:eastAsia="宋体" w:cs="宋体"/>
                <w:sz w:val="21"/>
                <w:szCs w:val="21"/>
                <w:lang w:val="en-US" w:eastAsia="zh-CN"/>
              </w:rPr>
              <w:t>≥</w:t>
            </w:r>
            <w:r>
              <w:rPr>
                <w:rFonts w:hint="eastAsia" w:ascii="宋体" w:hAnsi="宋体" w:eastAsia="宋体" w:cs="宋体"/>
                <w:color w:val="000000"/>
                <w:kern w:val="0"/>
                <w:sz w:val="21"/>
                <w:szCs w:val="21"/>
              </w:rPr>
              <w:t>1.0</w:t>
            </w:r>
          </w:p>
        </w:tc>
        <w:tc>
          <w:tcPr>
            <w:tcW w:w="130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白色</w:t>
            </w:r>
          </w:p>
          <w:p>
            <w:pPr>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灰色等</w:t>
            </w:r>
          </w:p>
        </w:tc>
        <w:tc>
          <w:tcPr>
            <w:tcW w:w="10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ascii="Times New Roman" w:hAnsi="Times New Roman" w:eastAsia="宋体" w:cs="Times New Roman"/>
                <w:color w:val="000000"/>
                <w:kern w:val="0"/>
                <w:szCs w:val="21"/>
              </w:rPr>
            </w:pPr>
          </w:p>
        </w:tc>
        <w:tc>
          <w:tcPr>
            <w:tcW w:w="10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ascii="Times New Roman" w:hAnsi="Times New Roman" w:eastAsia="宋体" w:cs="Times New Roman"/>
                <w:color w:val="000000"/>
                <w:kern w:val="0"/>
                <w:szCs w:val="21"/>
              </w:rPr>
            </w:pPr>
          </w:p>
        </w:tc>
        <w:tc>
          <w:tcPr>
            <w:tcW w:w="10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Times New Roman"/>
                <w:color w:val="000000"/>
                <w:kern w:val="0"/>
                <w:szCs w:val="21"/>
              </w:rPr>
            </w:pPr>
          </w:p>
        </w:tc>
        <w:tc>
          <w:tcPr>
            <w:tcW w:w="2640" w:type="dxa"/>
            <w:tcBorders>
              <w:top w:val="single" w:color="auto" w:sz="4" w:space="0"/>
              <w:left w:val="single" w:color="auto" w:sz="4" w:space="0"/>
              <w:bottom w:val="single" w:color="auto" w:sz="4" w:space="0"/>
              <w:right w:val="single" w:color="auto" w:sz="4" w:space="0"/>
            </w:tcBorders>
            <w:shd w:val="clear" w:color="auto" w:fill="auto"/>
          </w:tcPr>
          <w:p>
            <w:pPr>
              <w:widowControl/>
              <w:jc w:val="left"/>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lang w:eastAsia="zh-CN"/>
              </w:rPr>
              <w:drawing>
                <wp:inline distT="0" distB="0" distL="114300" distR="114300">
                  <wp:extent cx="1531620" cy="1413510"/>
                  <wp:effectExtent l="0" t="0" r="11430" b="15240"/>
                  <wp:docPr id="7" name="图片 7" descr="制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制头"/>
                          <pic:cNvPicPr>
                            <a:picLocks noChangeAspect="1"/>
                          </pic:cNvPicPr>
                        </pic:nvPicPr>
                        <pic:blipFill>
                          <a:blip r:embed="rId21"/>
                          <a:stretch>
                            <a:fillRect/>
                          </a:stretch>
                        </pic:blipFill>
                        <pic:spPr>
                          <a:xfrm>
                            <a:off x="0" y="0"/>
                            <a:ext cx="1531620" cy="1413510"/>
                          </a:xfrm>
                          <a:prstGeom prst="rect">
                            <a:avLst/>
                          </a:prstGeom>
                        </pic:spPr>
                      </pic:pic>
                    </a:graphicData>
                  </a:graphic>
                </wp:inline>
              </w:drawing>
            </w:r>
          </w:p>
        </w:tc>
      </w:tr>
      <w:tr>
        <w:tblPrEx>
          <w:tblCellMar>
            <w:top w:w="0" w:type="dxa"/>
            <w:left w:w="108" w:type="dxa"/>
            <w:bottom w:w="0" w:type="dxa"/>
            <w:right w:w="108" w:type="dxa"/>
          </w:tblCellMar>
        </w:tblPrEx>
        <w:trPr>
          <w:trHeight w:val="567" w:hRule="atLeast"/>
          <w:jc w:val="center"/>
        </w:trPr>
        <w:tc>
          <w:tcPr>
            <w:tcW w:w="14602" w:type="dxa"/>
            <w:gridSpan w:val="8"/>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Times New Roman"/>
                <w:color w:val="000000"/>
                <w:kern w:val="0"/>
                <w:sz w:val="20"/>
                <w:szCs w:val="21"/>
                <w:highlight w:val="none"/>
                <w:lang w:eastAsia="zh-CN"/>
              </w:rPr>
            </w:pPr>
            <w:r>
              <w:rPr>
                <w:rFonts w:hint="eastAsia" w:ascii="宋体" w:hAnsi="宋体" w:eastAsia="宋体" w:cs="Times New Roman"/>
                <w:color w:val="000000"/>
                <w:kern w:val="0"/>
                <w:sz w:val="20"/>
                <w:szCs w:val="21"/>
                <w:highlight w:val="none"/>
                <w:lang w:eastAsia="zh-CN"/>
              </w:rPr>
              <w:t>注：乙方应在合同期内提供全院窗帘免费维修服务，维修所需配件（包含安装螺丝、轨道滑轮、挂钩等，不含更换轨道）由乙方免费提供</w:t>
            </w:r>
          </w:p>
        </w:tc>
      </w:tr>
    </w:tbl>
    <w:p>
      <w:pPr>
        <w:pStyle w:val="9"/>
        <w:numPr>
          <w:ilvl w:val="0"/>
          <w:numId w:val="0"/>
        </w:numPr>
        <w:rPr>
          <w:rFonts w:hint="eastAsia"/>
          <w:highlight w:val="none"/>
          <w:lang w:val="en-US" w:eastAsia="zh-CN"/>
        </w:rPr>
        <w:sectPr>
          <w:footerReference r:id="rId3" w:type="default"/>
          <w:pgSz w:w="16838" w:h="11906" w:orient="landscape"/>
          <w:pgMar w:top="1036" w:right="1440" w:bottom="790" w:left="1440" w:header="851" w:footer="772" w:gutter="0"/>
          <w:pgNumType w:fmt="decimal"/>
          <w:cols w:space="425" w:num="1"/>
          <w:docGrid w:type="lines" w:linePitch="312" w:charSpace="0"/>
        </w:sectPr>
      </w:pPr>
      <w:r>
        <w:rPr>
          <w:rFonts w:hint="eastAsia"/>
          <w:highlight w:val="none"/>
          <w:lang w:val="zh-CN"/>
        </w:rPr>
        <w:t>说明：技术指标参数要求表中</w:t>
      </w:r>
      <w:r>
        <w:rPr>
          <w:rFonts w:hint="eastAsia"/>
          <w:highlight w:val="none"/>
          <w:lang w:val="en-US" w:eastAsia="zh-CN"/>
        </w:rPr>
        <w:t>1至5项窗帘面料样品需参照库房样品提供，每项样品提供5至10个不同颜色的面料，规格尺寸：A5纸大小。</w:t>
      </w:r>
    </w:p>
    <w:p>
      <w:pPr>
        <w:keepNext w:val="0"/>
        <w:keepLines w:val="0"/>
        <w:pageBreakBefore w:val="0"/>
        <w:widowControl w:val="0"/>
        <w:kinsoku/>
        <w:wordWrap/>
        <w:overflowPunct/>
        <w:topLinePunct w:val="0"/>
        <w:autoSpaceDE/>
        <w:autoSpaceDN/>
        <w:bidi w:val="0"/>
        <w:adjustRightInd/>
        <w:spacing w:line="579" w:lineRule="exact"/>
        <w:ind w:firstLine="640" w:firstLineChars="200"/>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二、商务要求</w:t>
      </w:r>
    </w:p>
    <w:p>
      <w:pPr>
        <w:keepNext w:val="0"/>
        <w:keepLines w:val="0"/>
        <w:pageBreakBefore w:val="0"/>
        <w:widowControl w:val="0"/>
        <w:kinsoku/>
        <w:wordWrap/>
        <w:overflowPunct/>
        <w:topLinePunct w:val="0"/>
        <w:autoSpaceDE/>
        <w:autoSpaceDN/>
        <w:bidi w:val="0"/>
        <w:adjustRightInd/>
        <w:spacing w:line="579" w:lineRule="exact"/>
        <w:ind w:firstLine="640" w:firstLineChars="200"/>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（一）交货时间、地点与方式</w:t>
      </w:r>
    </w:p>
    <w:p>
      <w:pPr>
        <w:keepNext w:val="0"/>
        <w:keepLines w:val="0"/>
        <w:pageBreakBefore w:val="0"/>
        <w:widowControl w:val="0"/>
        <w:kinsoku/>
        <w:wordWrap/>
        <w:overflowPunct/>
        <w:topLinePunct w:val="0"/>
        <w:autoSpaceDE/>
        <w:autoSpaceDN/>
        <w:bidi w:val="0"/>
        <w:adjustRightInd/>
        <w:spacing w:line="579" w:lineRule="exact"/>
        <w:ind w:firstLine="640" w:firstLineChars="200"/>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交货时间：中标人应在采购合同生效，采购人需求科室下达订单后</w:t>
      </w:r>
      <w:r>
        <w:rPr>
          <w:rFonts w:hint="eastAsia" w:ascii="仿宋_GB2312" w:hAnsi="仿宋_GB2312" w:eastAsia="仿宋_GB2312" w:cs="仿宋_GB2312"/>
          <w:kern w:val="0"/>
          <w:sz w:val="32"/>
          <w:szCs w:val="32"/>
          <w:lang w:val="en-US" w:eastAsia="zh-CN"/>
        </w:rPr>
        <w:t>10</w:t>
      </w:r>
      <w:r>
        <w:rPr>
          <w:rFonts w:hint="eastAsia" w:ascii="仿宋_GB2312" w:hAnsi="仿宋_GB2312" w:eastAsia="仿宋_GB2312" w:cs="仿宋_GB2312"/>
          <w:kern w:val="0"/>
          <w:sz w:val="32"/>
          <w:szCs w:val="32"/>
          <w:lang w:val="zh-CN"/>
        </w:rPr>
        <w:t>个日历日内交货并完成安装调试。</w:t>
      </w:r>
    </w:p>
    <w:p>
      <w:pPr>
        <w:keepNext w:val="0"/>
        <w:keepLines w:val="0"/>
        <w:pageBreakBefore w:val="0"/>
        <w:widowControl w:val="0"/>
        <w:kinsoku/>
        <w:wordWrap/>
        <w:overflowPunct/>
        <w:topLinePunct w:val="0"/>
        <w:autoSpaceDE/>
        <w:autoSpaceDN/>
        <w:bidi w:val="0"/>
        <w:adjustRightInd/>
        <w:spacing w:line="579" w:lineRule="exact"/>
        <w:ind w:firstLine="640" w:firstLineChars="200"/>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highlight w:val="none"/>
          <w:lang w:val="zh-CN"/>
        </w:rPr>
        <w:t>交货地点：重庆市（采购人指定地点）。</w:t>
      </w:r>
    </w:p>
    <w:p>
      <w:pPr>
        <w:keepNext w:val="0"/>
        <w:keepLines w:val="0"/>
        <w:pageBreakBefore w:val="0"/>
        <w:widowControl w:val="0"/>
        <w:kinsoku/>
        <w:wordWrap/>
        <w:overflowPunct/>
        <w:topLinePunct w:val="0"/>
        <w:autoSpaceDE/>
        <w:autoSpaceDN/>
        <w:bidi w:val="0"/>
        <w:adjustRightInd/>
        <w:spacing w:line="579" w:lineRule="exact"/>
        <w:ind w:firstLine="640" w:firstLineChars="200"/>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交货方式：中标人自行送达招标人指定地点并安装调试到位。</w:t>
      </w:r>
    </w:p>
    <w:p>
      <w:pPr>
        <w:pStyle w:val="5"/>
        <w:keepNext w:val="0"/>
        <w:keepLines w:val="0"/>
        <w:pageBreakBefore w:val="0"/>
        <w:widowControl w:val="0"/>
        <w:numPr>
          <w:ilvl w:val="0"/>
          <w:numId w:val="7"/>
        </w:numPr>
        <w:kinsoku/>
        <w:wordWrap/>
        <w:overflowPunct/>
        <w:topLinePunct w:val="0"/>
        <w:autoSpaceDE/>
        <w:autoSpaceDN/>
        <w:bidi w:val="0"/>
        <w:adjustRightInd/>
        <w:spacing w:line="579" w:lineRule="exact"/>
        <w:ind w:firstLine="640" w:firstLineChars="200"/>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付款方式</w:t>
      </w:r>
    </w:p>
    <w:p>
      <w:pPr>
        <w:keepNext w:val="0"/>
        <w:keepLines w:val="0"/>
        <w:pageBreakBefore w:val="0"/>
        <w:widowControl w:val="0"/>
        <w:kinsoku/>
        <w:wordWrap/>
        <w:overflowPunct/>
        <w:topLinePunct w:val="0"/>
        <w:autoSpaceDE/>
        <w:autoSpaceDN/>
        <w:bidi w:val="0"/>
        <w:adjustRightInd/>
        <w:spacing w:beforeLines="0" w:afterLines="0" w:line="579" w:lineRule="exact"/>
        <w:ind w:firstLine="640" w:firstLineChars="200"/>
        <w:textAlignment w:val="auto"/>
        <w:rPr>
          <w:rFonts w:hint="eastAsia" w:ascii="仿宋_GB2312" w:hAnsi="仿宋_GB2312" w:eastAsia="仿宋_GB2312" w:cs="仿宋_GB2312"/>
          <w:color w:val="0070C0"/>
          <w:sz w:val="32"/>
          <w:szCs w:val="32"/>
        </w:rPr>
      </w:pPr>
      <w:r>
        <w:rPr>
          <w:rFonts w:hint="eastAsia" w:ascii="仿宋_GB2312" w:hAnsi="仿宋_GB2312" w:eastAsia="仿宋_GB2312" w:cs="仿宋_GB2312"/>
          <w:color w:val="auto"/>
          <w:sz w:val="32"/>
          <w:szCs w:val="32"/>
        </w:rPr>
        <w:t>1.合同签订前中标人向采购人缴纳</w:t>
      </w:r>
      <w:r>
        <w:rPr>
          <w:rFonts w:hint="eastAsia" w:ascii="仿宋_GB2312" w:hAnsi="仿宋_GB2312" w:eastAsia="仿宋_GB2312" w:cs="仿宋_GB2312"/>
          <w:color w:val="auto"/>
          <w:sz w:val="32"/>
          <w:szCs w:val="32"/>
          <w:lang w:val="en-US" w:eastAsia="zh-CN"/>
        </w:rPr>
        <w:t>26</w:t>
      </w:r>
      <w:r>
        <w:rPr>
          <w:rFonts w:hint="eastAsia" w:ascii="仿宋_GB2312" w:hAnsi="仿宋_GB2312" w:eastAsia="仿宋_GB2312" w:cs="仿宋_GB2312"/>
          <w:color w:val="auto"/>
          <w:sz w:val="32"/>
          <w:szCs w:val="32"/>
        </w:rPr>
        <w:t>000.00元（大写：</w:t>
      </w:r>
      <w:r>
        <w:rPr>
          <w:rFonts w:hint="eastAsia" w:ascii="仿宋_GB2312" w:hAnsi="仿宋_GB2312" w:eastAsia="仿宋_GB2312" w:cs="仿宋_GB2312"/>
          <w:color w:val="auto"/>
          <w:sz w:val="32"/>
          <w:szCs w:val="32"/>
          <w:lang w:eastAsia="zh-CN"/>
        </w:rPr>
        <w:t>贰</w:t>
      </w:r>
      <w:r>
        <w:rPr>
          <w:rFonts w:hint="eastAsia" w:ascii="仿宋_GB2312" w:hAnsi="仿宋_GB2312" w:eastAsia="仿宋_GB2312" w:cs="仿宋_GB2312"/>
          <w:color w:val="auto"/>
          <w:sz w:val="32"/>
          <w:szCs w:val="32"/>
        </w:rPr>
        <w:t>万</w:t>
      </w:r>
      <w:r>
        <w:rPr>
          <w:rFonts w:hint="eastAsia" w:ascii="仿宋_GB2312" w:hAnsi="仿宋_GB2312" w:eastAsia="仿宋_GB2312" w:cs="仿宋_GB2312"/>
          <w:color w:val="auto"/>
          <w:sz w:val="32"/>
          <w:szCs w:val="32"/>
          <w:lang w:eastAsia="zh-CN"/>
        </w:rPr>
        <w:t>陆仟</w:t>
      </w:r>
      <w:r>
        <w:rPr>
          <w:rFonts w:hint="eastAsia" w:ascii="仿宋_GB2312" w:hAnsi="仿宋_GB2312" w:eastAsia="仿宋_GB2312" w:cs="仿宋_GB2312"/>
          <w:color w:val="auto"/>
          <w:sz w:val="32"/>
          <w:szCs w:val="32"/>
        </w:rPr>
        <w:t>元整）作为履约保证金。</w:t>
      </w:r>
    </w:p>
    <w:p>
      <w:pPr>
        <w:keepNext w:val="0"/>
        <w:keepLines w:val="0"/>
        <w:pageBreakBefore w:val="0"/>
        <w:widowControl w:val="0"/>
        <w:kinsoku/>
        <w:wordWrap/>
        <w:overflowPunct/>
        <w:topLinePunct w:val="0"/>
        <w:autoSpaceDE/>
        <w:autoSpaceDN/>
        <w:bidi w:val="0"/>
        <w:adjustRightInd/>
        <w:spacing w:beforeLines="0" w:afterLines="0" w:line="579"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2.中标人按需求科室的实际订购数量制作，需求科室验收合格后签字确认，根据实际制作数量中标人提供正规发票结算，经采购方主管部门审核完成后，以银行转账的方式进行支付。</w:t>
      </w:r>
    </w:p>
    <w:p>
      <w:pPr>
        <w:keepNext w:val="0"/>
        <w:keepLines w:val="0"/>
        <w:pageBreakBefore w:val="0"/>
        <w:widowControl w:val="0"/>
        <w:kinsoku/>
        <w:wordWrap/>
        <w:overflowPunct/>
        <w:topLinePunct w:val="0"/>
        <w:autoSpaceDE/>
        <w:autoSpaceDN/>
        <w:bidi w:val="0"/>
        <w:adjustRightInd/>
        <w:spacing w:beforeLines="0" w:afterLines="0" w:line="579"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.履约保证金在最后一批货物质保期结束后无息退还。</w:t>
      </w:r>
    </w:p>
    <w:p>
      <w:pPr>
        <w:keepNext w:val="0"/>
        <w:keepLines w:val="0"/>
        <w:pageBreakBefore w:val="0"/>
        <w:widowControl w:val="0"/>
        <w:kinsoku/>
        <w:wordWrap/>
        <w:overflowPunct/>
        <w:topLinePunct w:val="0"/>
        <w:autoSpaceDE/>
        <w:autoSpaceDN/>
        <w:bidi w:val="0"/>
        <w:adjustRightInd/>
        <w:spacing w:beforeLines="0" w:afterLines="0" w:line="579"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.采购方支付合同期内的金额以实际制作数量乘以相应的</w:t>
      </w:r>
      <w:r>
        <w:rPr>
          <w:rFonts w:hint="eastAsia" w:ascii="仿宋_GB2312" w:hAnsi="仿宋_GB2312" w:eastAsia="仿宋_GB2312" w:cs="仿宋_GB2312"/>
          <w:color w:val="auto"/>
          <w:sz w:val="32"/>
          <w:szCs w:val="32"/>
          <w:lang w:eastAsia="zh-CN"/>
        </w:rPr>
        <w:t>合同价</w:t>
      </w:r>
      <w:r>
        <w:rPr>
          <w:rFonts w:hint="eastAsia" w:ascii="仿宋_GB2312" w:hAnsi="仿宋_GB2312" w:eastAsia="仿宋_GB2312" w:cs="仿宋_GB2312"/>
          <w:color w:val="auto"/>
          <w:sz w:val="32"/>
          <w:szCs w:val="32"/>
        </w:rPr>
        <w:t>为准。</w:t>
      </w:r>
    </w:p>
    <w:p>
      <w:pPr>
        <w:keepNext w:val="0"/>
        <w:keepLines w:val="0"/>
        <w:pageBreakBefore w:val="0"/>
        <w:widowControl w:val="0"/>
        <w:kinsoku/>
        <w:wordWrap/>
        <w:overflowPunct/>
        <w:topLinePunct w:val="0"/>
        <w:autoSpaceDE/>
        <w:autoSpaceDN/>
        <w:bidi w:val="0"/>
        <w:adjustRightInd/>
        <w:spacing w:beforeLines="0" w:afterLines="0" w:line="579"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.本次报价须为人民币报价，包含：产品价、运输费（含装卸费）、保险费、税费等送货到采购人指定地点并完成安装、调试、验收的所有费用</w:t>
      </w:r>
      <w:r>
        <w:rPr>
          <w:rFonts w:hint="eastAsia" w:ascii="仿宋_GB2312" w:hAnsi="仿宋_GB2312" w:eastAsia="仿宋_GB2312" w:cs="仿宋_GB2312"/>
          <w:color w:val="auto"/>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val="0"/>
        <w:spacing w:beforeLines="0" w:afterLines="0" w:line="579"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（三）验收条件</w:t>
      </w:r>
    </w:p>
    <w:p>
      <w:pPr>
        <w:keepNext w:val="0"/>
        <w:keepLines w:val="0"/>
        <w:pageBreakBefore w:val="0"/>
        <w:widowControl w:val="0"/>
        <w:kinsoku/>
        <w:wordWrap/>
        <w:overflowPunct/>
        <w:topLinePunct w:val="0"/>
        <w:autoSpaceDE/>
        <w:autoSpaceDN/>
        <w:bidi w:val="0"/>
        <w:adjustRightInd/>
        <w:snapToGrid w:val="0"/>
        <w:spacing w:beforeLines="0" w:afterLines="0" w:line="579" w:lineRule="exact"/>
        <w:ind w:firstLine="640" w:firstLineChars="200"/>
        <w:jc w:val="left"/>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color w:val="auto"/>
          <w:sz w:val="32"/>
          <w:szCs w:val="32"/>
          <w:lang w:val="en-US" w:eastAsia="zh-CN"/>
        </w:rPr>
        <w:t>1.乙方</w:t>
      </w:r>
      <w:r>
        <w:rPr>
          <w:rFonts w:hint="eastAsia" w:ascii="仿宋_GB2312" w:hAnsi="仿宋_GB2312" w:eastAsia="仿宋_GB2312" w:cs="仿宋_GB2312"/>
          <w:color w:val="auto"/>
          <w:sz w:val="32"/>
          <w:szCs w:val="32"/>
        </w:rPr>
        <w:t>中标人必须具有完整配送及售后服务体系，满足科室需求及时供货，中标人必须保证一次性通过使用单位验收使用合格，若验收不合格的，使用单位有权要求换货或退货，产生的费用由中标人全额承担。</w:t>
      </w:r>
    </w:p>
    <w:p>
      <w:pPr>
        <w:keepNext w:val="0"/>
        <w:keepLines w:val="0"/>
        <w:pageBreakBefore w:val="0"/>
        <w:widowControl w:val="0"/>
        <w:numPr>
          <w:ilvl w:val="0"/>
          <w:numId w:val="0"/>
        </w:numPr>
        <w:kinsoku/>
        <w:wordWrap/>
        <w:overflowPunct/>
        <w:topLinePunct w:val="0"/>
        <w:autoSpaceDE/>
        <w:autoSpaceDN/>
        <w:bidi w:val="0"/>
        <w:adjustRightInd/>
        <w:snapToGrid w:val="0"/>
        <w:spacing w:beforeLines="0" w:afterLines="0" w:line="579"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lang w:val="en-US" w:eastAsia="zh-CN"/>
        </w:rPr>
        <w:t>2.产品安装后，乙方向甲方提供安装调试报告，以及按厂方标准进行的各项数据检测。甲方组织需求科室经办人、业务管理科室人员进行验收，并签写验收报告。</w:t>
      </w:r>
    </w:p>
    <w:p>
      <w:pPr>
        <w:keepNext w:val="0"/>
        <w:keepLines w:val="0"/>
        <w:pageBreakBefore w:val="0"/>
        <w:widowControl w:val="0"/>
        <w:numPr>
          <w:ilvl w:val="0"/>
          <w:numId w:val="0"/>
        </w:numPr>
        <w:kinsoku/>
        <w:wordWrap/>
        <w:overflowPunct/>
        <w:topLinePunct w:val="0"/>
        <w:autoSpaceDE/>
        <w:autoSpaceDN/>
        <w:bidi w:val="0"/>
        <w:adjustRightInd/>
        <w:snapToGrid w:val="0"/>
        <w:spacing w:beforeLines="0" w:afterLines="0" w:line="579"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验收内容以招标文件为基础，若投标书与招标书不一致而未被发现，验收时按招标文件（包含谈判中确认文件相关要求）规定执行。供货商提供的产品未达到招标文件规定要求，且对申请科室造成损失的，由供应商承担一切责任，并赔偿所造成的损失。</w:t>
      </w:r>
    </w:p>
    <w:p>
      <w:pPr>
        <w:pStyle w:val="5"/>
        <w:keepNext w:val="0"/>
        <w:keepLines w:val="0"/>
        <w:pageBreakBefore w:val="0"/>
        <w:widowControl w:val="0"/>
        <w:kinsoku/>
        <w:wordWrap/>
        <w:overflowPunct/>
        <w:topLinePunct w:val="0"/>
        <w:autoSpaceDE/>
        <w:autoSpaceDN/>
        <w:bidi w:val="0"/>
        <w:adjustRightInd/>
        <w:spacing w:line="579" w:lineRule="exact"/>
        <w:ind w:firstLine="640" w:firstLineChars="200"/>
        <w:rPr>
          <w:rFonts w:hint="eastAsia"/>
          <w:lang w:val="zh-CN"/>
        </w:rPr>
      </w:pPr>
      <w:r>
        <w:rPr>
          <w:rFonts w:hint="eastAsia" w:ascii="仿宋_GB2312" w:hAnsi="仿宋_GB2312" w:eastAsia="仿宋_GB2312" w:cs="仿宋_GB2312"/>
          <w:color w:val="auto"/>
          <w:sz w:val="32"/>
          <w:szCs w:val="32"/>
          <w:lang w:val="en-US" w:eastAsia="zh-CN"/>
        </w:rPr>
        <w:t>4.甲方会不定期抽查乙方所供货品送指定的专业质监部门检测质量参数，抽检费用由乙方承担。</w:t>
      </w:r>
      <w:r>
        <w:rPr>
          <w:rFonts w:hint="eastAsia" w:ascii="仿宋_GB2312" w:hAnsi="仿宋_GB2312" w:eastAsia="仿宋_GB2312" w:cs="仿宋_GB2312"/>
          <w:color w:val="auto"/>
          <w:sz w:val="32"/>
          <w:szCs w:val="32"/>
          <w:lang w:eastAsia="zh-CN"/>
        </w:rPr>
        <w:t>如发现中标人所供货物未达到招标文件参数要求标准的，按履约保证金的</w:t>
      </w:r>
      <w:r>
        <w:rPr>
          <w:rFonts w:hint="eastAsia" w:ascii="仿宋_GB2312" w:hAnsi="仿宋_GB2312" w:eastAsia="仿宋_GB2312" w:cs="仿宋_GB2312"/>
          <w:color w:val="auto"/>
          <w:sz w:val="32"/>
          <w:szCs w:val="32"/>
          <w:lang w:val="en-US" w:eastAsia="zh-CN"/>
        </w:rPr>
        <w:t>10%进行处罚，并无条件更换。对采购人造成实际损失的，由中标人承担一切责任，并赔偿所造成的全部损失。中标人应根据采购人要求立即整改，未立即整改到位、影响采购人正常使用的，另外扣除履约保证金的20%。</w:t>
      </w:r>
    </w:p>
    <w:p>
      <w:pPr>
        <w:keepNext w:val="0"/>
        <w:keepLines w:val="0"/>
        <w:pageBreakBefore w:val="0"/>
        <w:widowControl w:val="0"/>
        <w:kinsoku/>
        <w:wordWrap/>
        <w:overflowPunct/>
        <w:topLinePunct w:val="0"/>
        <w:autoSpaceDE/>
        <w:autoSpaceDN/>
        <w:bidi w:val="0"/>
        <w:adjustRightInd/>
        <w:spacing w:line="579" w:lineRule="exact"/>
        <w:ind w:firstLine="640" w:firstLineChars="200"/>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（四）售后服务</w:t>
      </w:r>
    </w:p>
    <w:p>
      <w:pPr>
        <w:keepNext w:val="0"/>
        <w:keepLines w:val="0"/>
        <w:pageBreakBefore w:val="0"/>
        <w:widowControl w:val="0"/>
        <w:kinsoku/>
        <w:wordWrap/>
        <w:overflowPunct/>
        <w:topLinePunct w:val="0"/>
        <w:autoSpaceDE/>
        <w:autoSpaceDN/>
        <w:bidi w:val="0"/>
        <w:adjustRightInd/>
        <w:spacing w:line="579" w:lineRule="exact"/>
        <w:ind w:firstLine="640" w:firstLineChars="200"/>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1.免费质量保证期：自采购人验收之日起</w:t>
      </w: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lang w:val="zh-CN"/>
        </w:rPr>
        <w:t>年。</w:t>
      </w:r>
    </w:p>
    <w:p>
      <w:pPr>
        <w:pStyle w:val="9"/>
        <w:keepNext w:val="0"/>
        <w:keepLines w:val="0"/>
        <w:pageBreakBefore w:val="0"/>
        <w:widowControl w:val="0"/>
        <w:numPr>
          <w:ilvl w:val="0"/>
          <w:numId w:val="8"/>
        </w:numPr>
        <w:kinsoku/>
        <w:wordWrap/>
        <w:overflowPunct/>
        <w:topLinePunct w:val="0"/>
        <w:autoSpaceDE/>
        <w:autoSpaceDN/>
        <w:bidi w:val="0"/>
        <w:adjustRightInd/>
        <w:spacing w:line="579" w:lineRule="exact"/>
        <w:ind w:firstLine="640" w:firstLineChars="200"/>
        <w:rPr>
          <w:rFonts w:hint="eastAsia"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lang w:val="en-US" w:eastAsia="zh-CN"/>
        </w:rPr>
        <w:t>投标产品属于国家规定“三包”范围的，其产品质量保证期不得低于“三包”规定；</w:t>
      </w:r>
    </w:p>
    <w:p>
      <w:pPr>
        <w:keepNext w:val="0"/>
        <w:keepLines w:val="0"/>
        <w:pageBreakBefore w:val="0"/>
        <w:widowControl w:val="0"/>
        <w:numPr>
          <w:ilvl w:val="0"/>
          <w:numId w:val="8"/>
        </w:numPr>
        <w:kinsoku/>
        <w:wordWrap/>
        <w:overflowPunct/>
        <w:topLinePunct w:val="0"/>
        <w:autoSpaceDE/>
        <w:autoSpaceDN/>
        <w:bidi w:val="0"/>
        <w:adjustRightInd/>
        <w:snapToGrid/>
        <w:spacing w:line="579" w:lineRule="exact"/>
        <w:ind w:left="0" w:leftChars="0" w:firstLine="640" w:firstLineChars="200"/>
        <w:rPr>
          <w:rFonts w:hint="eastAsia" w:ascii="仿宋_GB2312" w:hAnsi="仿宋_GB2312" w:eastAsia="仿宋_GB2312" w:cs="仿宋_GB2312"/>
          <w:sz w:val="32"/>
          <w:szCs w:val="32"/>
          <w:highlight w:val="none"/>
          <w:lang w:val="zh-CN"/>
        </w:rPr>
      </w:pPr>
      <w:r>
        <w:rPr>
          <w:rFonts w:hint="eastAsia" w:ascii="仿宋_GB2312" w:hAnsi="仿宋_GB2312" w:eastAsia="仿宋_GB2312" w:cs="仿宋_GB2312"/>
          <w:sz w:val="32"/>
          <w:szCs w:val="32"/>
          <w:highlight w:val="none"/>
          <w:lang w:val="zh-CN"/>
        </w:rPr>
        <w:t>投标人的质量保证期承诺优于国家“三包”规定的，按投标人实际承诺执行。</w:t>
      </w:r>
    </w:p>
    <w:p>
      <w:pPr>
        <w:pStyle w:val="9"/>
        <w:keepNext w:val="0"/>
        <w:keepLines w:val="0"/>
        <w:pageBreakBefore w:val="0"/>
        <w:widowControl w:val="0"/>
        <w:numPr>
          <w:ilvl w:val="0"/>
          <w:numId w:val="0"/>
        </w:numPr>
        <w:kinsoku/>
        <w:wordWrap/>
        <w:overflowPunct/>
        <w:topLinePunct w:val="0"/>
        <w:autoSpaceDE/>
        <w:autoSpaceDN/>
        <w:bidi w:val="0"/>
        <w:adjustRightInd/>
        <w:snapToGrid/>
        <w:spacing w:after="0" w:line="579" w:lineRule="exact"/>
        <w:ind w:leftChars="0" w:firstLine="640" w:firstLineChars="200"/>
        <w:rPr>
          <w:rFonts w:hint="eastAsia"/>
          <w:lang w:val="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产品在</w:t>
      </w:r>
      <w:r>
        <w:rPr>
          <w:rFonts w:hint="eastAsia" w:ascii="仿宋_GB2312" w:hAnsi="仿宋_GB2312" w:eastAsia="仿宋_GB2312" w:cs="仿宋_GB2312"/>
          <w:color w:val="auto"/>
          <w:sz w:val="32"/>
          <w:szCs w:val="32"/>
          <w:lang w:eastAsia="zh-CN"/>
        </w:rPr>
        <w:t>质量保证期内</w:t>
      </w:r>
      <w:r>
        <w:rPr>
          <w:rFonts w:hint="eastAsia" w:ascii="仿宋_GB2312" w:hAnsi="仿宋_GB2312" w:eastAsia="仿宋_GB2312" w:cs="仿宋_GB2312"/>
          <w:color w:val="auto"/>
          <w:sz w:val="32"/>
          <w:szCs w:val="32"/>
        </w:rPr>
        <w:t>出现质量问题或不符合国家行业技术规范，采购方有权要求更换新产品（或退货），</w:t>
      </w:r>
      <w:r>
        <w:rPr>
          <w:rFonts w:hint="eastAsia" w:ascii="仿宋_GB2312" w:hAnsi="仿宋_GB2312" w:eastAsia="仿宋_GB2312" w:cs="仿宋_GB2312"/>
          <w:color w:val="auto"/>
          <w:sz w:val="32"/>
          <w:szCs w:val="32"/>
          <w:lang w:eastAsia="zh-CN"/>
        </w:rPr>
        <w:t>并按该批次产品合同金额的</w:t>
      </w:r>
      <w:r>
        <w:rPr>
          <w:rFonts w:hint="eastAsia" w:ascii="仿宋_GB2312" w:hAnsi="仿宋_GB2312" w:eastAsia="仿宋_GB2312" w:cs="仿宋_GB2312"/>
          <w:color w:val="auto"/>
          <w:sz w:val="32"/>
          <w:szCs w:val="32"/>
          <w:lang w:val="en-US" w:eastAsia="zh-CN"/>
        </w:rPr>
        <w:t>2倍进行处罚，自应付货款中扣除。</w:t>
      </w:r>
      <w:r>
        <w:rPr>
          <w:rFonts w:hint="eastAsia" w:ascii="仿宋_GB2312" w:hAnsi="仿宋_GB2312" w:eastAsia="仿宋_GB2312" w:cs="仿宋_GB2312"/>
          <w:color w:val="auto"/>
          <w:sz w:val="32"/>
          <w:szCs w:val="32"/>
        </w:rPr>
        <w:t>更换后的产品应从更换之日起重新计算质保期；若为退货，中标方必须无条件退回所收甲方全部货款。</w:t>
      </w:r>
    </w:p>
    <w:p>
      <w:pPr>
        <w:keepNext w:val="0"/>
        <w:keepLines w:val="0"/>
        <w:pageBreakBefore w:val="0"/>
        <w:widowControl w:val="0"/>
        <w:kinsoku/>
        <w:wordWrap/>
        <w:overflowPunct/>
        <w:topLinePunct w:val="0"/>
        <w:autoSpaceDE/>
        <w:autoSpaceDN/>
        <w:bidi w:val="0"/>
        <w:adjustRightInd/>
        <w:spacing w:line="579" w:lineRule="exact"/>
        <w:ind w:firstLine="640" w:firstLineChars="200"/>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lang w:val="zh-CN"/>
        </w:rPr>
        <w:t>.投标人对提供的货物在质保期内，因产品质量而导致的缺陷，必须免费提供包修、包换、包退服务。</w:t>
      </w:r>
    </w:p>
    <w:p>
      <w:pPr>
        <w:keepNext w:val="0"/>
        <w:keepLines w:val="0"/>
        <w:pageBreakBefore w:val="0"/>
        <w:widowControl w:val="0"/>
        <w:kinsoku/>
        <w:wordWrap/>
        <w:overflowPunct/>
        <w:topLinePunct w:val="0"/>
        <w:autoSpaceDE/>
        <w:autoSpaceDN/>
        <w:bidi w:val="0"/>
        <w:adjustRightInd/>
        <w:spacing w:line="579" w:lineRule="exact"/>
        <w:ind w:firstLine="640" w:firstLineChars="200"/>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lang w:val="zh-CN"/>
        </w:rPr>
        <w:t>.投标人须在“三包”范围内免费提供该货物的技术培训和技术支持。</w:t>
      </w:r>
    </w:p>
    <w:p>
      <w:pPr>
        <w:pStyle w:val="9"/>
        <w:keepNext w:val="0"/>
        <w:keepLines w:val="0"/>
        <w:pageBreakBefore w:val="0"/>
        <w:widowControl w:val="0"/>
        <w:kinsoku/>
        <w:wordWrap/>
        <w:overflowPunct/>
        <w:topLinePunct w:val="0"/>
        <w:autoSpaceDE/>
        <w:autoSpaceDN/>
        <w:bidi w:val="0"/>
        <w:adjustRightInd/>
        <w:spacing w:line="579" w:lineRule="exact"/>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val="zh-CN"/>
        </w:rPr>
        <w:t>.投标产品由制造商（指产品生产制造商，或其负责销售、售后服务机构，以下同）负责标准售后服务的，应当在</w:t>
      </w:r>
      <w:r>
        <w:rPr>
          <w:rFonts w:hint="eastAsia" w:ascii="仿宋_GB2312" w:hAnsi="仿宋_GB2312" w:eastAsia="仿宋_GB2312" w:cs="仿宋_GB2312"/>
          <w:sz w:val="32"/>
          <w:szCs w:val="32"/>
          <w:highlight w:val="none"/>
          <w:lang w:val="zh-CN"/>
        </w:rPr>
        <w:t>投标</w:t>
      </w:r>
      <w:r>
        <w:rPr>
          <w:rFonts w:hint="eastAsia" w:ascii="仿宋_GB2312" w:hAnsi="仿宋_GB2312" w:eastAsia="仿宋_GB2312" w:cs="仿宋_GB2312"/>
          <w:sz w:val="32"/>
          <w:szCs w:val="32"/>
          <w:lang w:val="zh-CN"/>
        </w:rPr>
        <w:t>文件中予以明确说明，并附制造商售后服务承诺。</w:t>
      </w:r>
    </w:p>
    <w:p>
      <w:pPr>
        <w:pStyle w:val="9"/>
        <w:keepNext w:val="0"/>
        <w:keepLines w:val="0"/>
        <w:pageBreakBefore w:val="0"/>
        <w:widowControl w:val="0"/>
        <w:kinsoku/>
        <w:wordWrap/>
        <w:overflowPunct/>
        <w:topLinePunct w:val="0"/>
        <w:autoSpaceDE/>
        <w:autoSpaceDN/>
        <w:bidi w:val="0"/>
        <w:adjustRightInd/>
        <w:spacing w:line="579" w:lineRule="exact"/>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val="zh-CN"/>
        </w:rPr>
        <w:t>.售后服务内容：</w:t>
      </w:r>
    </w:p>
    <w:p>
      <w:pPr>
        <w:pStyle w:val="9"/>
        <w:keepNext w:val="0"/>
        <w:keepLines w:val="0"/>
        <w:pageBreakBefore w:val="0"/>
        <w:widowControl w:val="0"/>
        <w:kinsoku/>
        <w:wordWrap/>
        <w:overflowPunct/>
        <w:topLinePunct w:val="0"/>
        <w:autoSpaceDE/>
        <w:autoSpaceDN/>
        <w:bidi w:val="0"/>
        <w:adjustRightInd/>
        <w:spacing w:line="579" w:lineRule="exact"/>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（1）在质量保证期内应当为招标人提供以下免费技术支持和服务：</w:t>
      </w:r>
    </w:p>
    <w:p>
      <w:pPr>
        <w:pStyle w:val="9"/>
        <w:keepNext w:val="0"/>
        <w:keepLines w:val="0"/>
        <w:pageBreakBefore w:val="0"/>
        <w:widowControl w:val="0"/>
        <w:kinsoku/>
        <w:wordWrap/>
        <w:overflowPunct/>
        <w:topLinePunct w:val="0"/>
        <w:autoSpaceDE/>
        <w:autoSpaceDN/>
        <w:bidi w:val="0"/>
        <w:adjustRightInd/>
        <w:spacing w:line="579" w:lineRule="exact"/>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①电话咨询</w:t>
      </w:r>
    </w:p>
    <w:p>
      <w:pPr>
        <w:pStyle w:val="9"/>
        <w:keepNext w:val="0"/>
        <w:keepLines w:val="0"/>
        <w:pageBreakBefore w:val="0"/>
        <w:widowControl w:val="0"/>
        <w:kinsoku/>
        <w:wordWrap/>
        <w:overflowPunct/>
        <w:topLinePunct w:val="0"/>
        <w:autoSpaceDE/>
        <w:autoSpaceDN/>
        <w:bidi w:val="0"/>
        <w:adjustRightInd/>
        <w:spacing w:line="579" w:lineRule="exact"/>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应当为采购人提供技术援助电话，解答采购人在使用中遇到的问题，及时为采购人提出解决问题的建议。</w:t>
      </w:r>
    </w:p>
    <w:p>
      <w:pPr>
        <w:pStyle w:val="9"/>
        <w:keepNext w:val="0"/>
        <w:keepLines w:val="0"/>
        <w:pageBreakBefore w:val="0"/>
        <w:widowControl w:val="0"/>
        <w:kinsoku/>
        <w:wordWrap/>
        <w:overflowPunct/>
        <w:topLinePunct w:val="0"/>
        <w:autoSpaceDE/>
        <w:autoSpaceDN/>
        <w:bidi w:val="0"/>
        <w:adjustRightInd/>
        <w:spacing w:line="579" w:lineRule="exact"/>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②现场响应</w:t>
      </w:r>
    </w:p>
    <w:p>
      <w:pPr>
        <w:pStyle w:val="9"/>
        <w:keepNext w:val="0"/>
        <w:keepLines w:val="0"/>
        <w:pageBreakBefore w:val="0"/>
        <w:widowControl w:val="0"/>
        <w:kinsoku/>
        <w:wordWrap/>
        <w:overflowPunct/>
        <w:topLinePunct w:val="0"/>
        <w:autoSpaceDE/>
        <w:autoSpaceDN/>
        <w:bidi w:val="0"/>
        <w:adjustRightInd/>
        <w:spacing w:line="579" w:lineRule="exact"/>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招标人遇到使用及技术问题，电话咨询不能解决的，应在</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val="zh-CN"/>
        </w:rPr>
        <w:t>小时内到达现场进行处理，确保产品正常工作；无法在</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val="zh-CN"/>
        </w:rPr>
        <w:t>小时内解决的，应在</w:t>
      </w: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lang w:val="zh-CN"/>
        </w:rPr>
        <w:t>小时内提供备用产品，使采购人能够正常使用。</w:t>
      </w:r>
    </w:p>
    <w:p>
      <w:pPr>
        <w:pStyle w:val="9"/>
        <w:keepNext w:val="0"/>
        <w:keepLines w:val="0"/>
        <w:pageBreakBefore w:val="0"/>
        <w:widowControl w:val="0"/>
        <w:kinsoku/>
        <w:wordWrap/>
        <w:overflowPunct/>
        <w:topLinePunct w:val="0"/>
        <w:autoSpaceDE/>
        <w:autoSpaceDN/>
        <w:bidi w:val="0"/>
        <w:adjustRightInd/>
        <w:spacing w:line="579" w:lineRule="exact"/>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（2）质保期外服务要求</w:t>
      </w:r>
    </w:p>
    <w:p>
      <w:pPr>
        <w:pStyle w:val="9"/>
        <w:keepNext w:val="0"/>
        <w:keepLines w:val="0"/>
        <w:pageBreakBefore w:val="0"/>
        <w:widowControl w:val="0"/>
        <w:kinsoku/>
        <w:wordWrap/>
        <w:overflowPunct/>
        <w:topLinePunct w:val="0"/>
        <w:autoSpaceDE/>
        <w:autoSpaceDN/>
        <w:bidi w:val="0"/>
        <w:adjustRightInd/>
        <w:spacing w:line="579" w:lineRule="exact"/>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①质量保证期过后，应同样提供免费电话咨询服务，并应承诺提供产品上门维护服务。</w:t>
      </w:r>
    </w:p>
    <w:p>
      <w:pPr>
        <w:pStyle w:val="9"/>
        <w:keepNext w:val="0"/>
        <w:keepLines w:val="0"/>
        <w:pageBreakBefore w:val="0"/>
        <w:widowControl w:val="0"/>
        <w:kinsoku/>
        <w:wordWrap/>
        <w:overflowPunct/>
        <w:topLinePunct w:val="0"/>
        <w:autoSpaceDE/>
        <w:autoSpaceDN/>
        <w:bidi w:val="0"/>
        <w:adjustRightInd/>
        <w:spacing w:line="579" w:lineRule="exact"/>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②质量保证期过后，招标人需要继续由原供应商和制造商提供售后服务的，该供应商和制造商应以优惠价格提供售后服务。</w:t>
      </w:r>
    </w:p>
    <w:p>
      <w:pPr>
        <w:pStyle w:val="9"/>
        <w:keepNext w:val="0"/>
        <w:keepLines w:val="0"/>
        <w:pageBreakBefore w:val="0"/>
        <w:widowControl w:val="0"/>
        <w:kinsoku/>
        <w:wordWrap/>
        <w:overflowPunct/>
        <w:topLinePunct w:val="0"/>
        <w:autoSpaceDE/>
        <w:autoSpaceDN/>
        <w:bidi w:val="0"/>
        <w:adjustRightInd/>
        <w:spacing w:line="579" w:lineRule="exact"/>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val="zh-CN"/>
        </w:rPr>
        <w:t>.备品备件及易损件：售后服务中，维修使用的备品备件及易损件应为原厂配件，未经招标人同意不得使用非原厂配件，常用的、容易损坏的备品备件及易损件的价格清单须在投标文件中列出，如需采购应按照分项报价执行。</w:t>
      </w:r>
    </w:p>
    <w:p>
      <w:pPr>
        <w:pStyle w:val="9"/>
        <w:keepNext w:val="0"/>
        <w:keepLines w:val="0"/>
        <w:pageBreakBefore w:val="0"/>
        <w:widowControl w:val="0"/>
        <w:kinsoku/>
        <w:wordWrap/>
        <w:overflowPunct/>
        <w:topLinePunct w:val="0"/>
        <w:autoSpaceDE/>
        <w:autoSpaceDN/>
        <w:bidi w:val="0"/>
        <w:adjustRightInd/>
        <w:spacing w:line="579" w:lineRule="exact"/>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lang w:val="zh-CN"/>
        </w:rPr>
        <w:t>.投标人对其提供产品的使用和操作应尽培训义务。投标人应提供对招标人的基本免费培训，使招标人使用人员能够正常操作。</w:t>
      </w:r>
    </w:p>
    <w:p>
      <w:pPr>
        <w:keepNext w:val="0"/>
        <w:keepLines w:val="0"/>
        <w:pageBreakBefore w:val="0"/>
        <w:widowControl w:val="0"/>
        <w:kinsoku/>
        <w:wordWrap/>
        <w:overflowPunct/>
        <w:topLinePunct w:val="0"/>
        <w:autoSpaceDE/>
        <w:autoSpaceDN/>
        <w:bidi w:val="0"/>
        <w:adjustRightInd/>
        <w:spacing w:beforeLines="0" w:afterLines="0" w:line="579" w:lineRule="exact"/>
        <w:ind w:firstLine="643" w:firstLineChars="200"/>
        <w:textAlignment w:val="auto"/>
        <w:rPr>
          <w:rFonts w:hint="eastAsia" w:ascii="仿宋_GB2312" w:hAnsi="仿宋_GB2312" w:eastAsia="仿宋_GB2312" w:cs="仿宋_GB2312"/>
          <w:b/>
          <w:color w:val="auto"/>
          <w:sz w:val="32"/>
          <w:szCs w:val="32"/>
          <w:lang w:eastAsia="zh-CN"/>
        </w:rPr>
      </w:pPr>
      <w:r>
        <w:rPr>
          <w:rFonts w:hint="eastAsia" w:ascii="仿宋_GB2312" w:hAnsi="仿宋_GB2312" w:eastAsia="仿宋_GB2312" w:cs="仿宋_GB2312"/>
          <w:b/>
          <w:color w:val="auto"/>
          <w:sz w:val="32"/>
          <w:szCs w:val="32"/>
          <w:lang w:eastAsia="zh-CN"/>
        </w:rPr>
        <w:t>（五）其他</w:t>
      </w:r>
    </w:p>
    <w:p>
      <w:pPr>
        <w:keepNext w:val="0"/>
        <w:keepLines w:val="0"/>
        <w:pageBreakBefore w:val="0"/>
        <w:widowControl w:val="0"/>
        <w:kinsoku/>
        <w:wordWrap/>
        <w:overflowPunct/>
        <w:topLinePunct w:val="0"/>
        <w:autoSpaceDE/>
        <w:autoSpaceDN/>
        <w:bidi w:val="0"/>
        <w:adjustRightInd/>
        <w:spacing w:beforeLines="0" w:afterLines="0" w:line="579"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1.投标人所提供投标样品可参看采购人样品，样品查看时间待定，联系电话</w:t>
      </w:r>
      <w:r>
        <w:rPr>
          <w:rFonts w:hint="eastAsia" w:ascii="仿宋_GB2312" w:hAnsi="仿宋_GB2312" w:eastAsia="仿宋_GB2312" w:cs="仿宋_GB2312"/>
          <w:color w:val="auto"/>
          <w:sz w:val="32"/>
          <w:szCs w:val="32"/>
          <w:lang w:val="en-US" w:eastAsia="zh-CN"/>
        </w:rPr>
        <w:t>023-</w:t>
      </w:r>
      <w:r>
        <w:rPr>
          <w:rFonts w:hint="eastAsia" w:ascii="仿宋_GB2312" w:hAnsi="仿宋_GB2312" w:eastAsia="仿宋_GB2312" w:cs="仿宋_GB2312"/>
          <w:color w:val="auto"/>
          <w:sz w:val="32"/>
          <w:szCs w:val="32"/>
        </w:rPr>
        <w:t>68755346.</w:t>
      </w:r>
    </w:p>
    <w:p>
      <w:pPr>
        <w:keepNext w:val="0"/>
        <w:keepLines w:val="0"/>
        <w:pageBreakBefore w:val="0"/>
        <w:widowControl w:val="0"/>
        <w:kinsoku/>
        <w:wordWrap/>
        <w:overflowPunct/>
        <w:topLinePunct w:val="0"/>
        <w:autoSpaceDE/>
        <w:autoSpaceDN/>
        <w:bidi w:val="0"/>
        <w:adjustRightInd/>
        <w:spacing w:beforeLines="0" w:afterLines="0" w:line="579"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2.投标人必须在投标文件中对以上条款和服务承诺明确列出，承诺内容必须达到本篇及招标文件其他条款的要求。</w:t>
      </w:r>
    </w:p>
    <w:p>
      <w:pPr>
        <w:keepNext w:val="0"/>
        <w:keepLines w:val="0"/>
        <w:pageBreakBefore w:val="0"/>
        <w:widowControl w:val="0"/>
        <w:kinsoku/>
        <w:wordWrap/>
        <w:overflowPunct/>
        <w:topLinePunct w:val="0"/>
        <w:autoSpaceDE/>
        <w:autoSpaceDN/>
        <w:bidi w:val="0"/>
        <w:adjustRightInd/>
        <w:spacing w:line="579"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rPr>
        <w:t>3.其他未尽事宜由供需双方在采购合同中详细约定。</w:t>
      </w: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67B00E1"/>
    <w:multiLevelType w:val="singleLevel"/>
    <w:tmpl w:val="867B00E1"/>
    <w:lvl w:ilvl="0" w:tentative="0">
      <w:start w:val="1"/>
      <w:numFmt w:val="decimal"/>
      <w:suff w:val="nothing"/>
      <w:lvlText w:val="%1、"/>
      <w:lvlJc w:val="left"/>
    </w:lvl>
  </w:abstractNum>
  <w:abstractNum w:abstractNumId="1">
    <w:nsid w:val="8B4E5274"/>
    <w:multiLevelType w:val="singleLevel"/>
    <w:tmpl w:val="8B4E5274"/>
    <w:lvl w:ilvl="0" w:tentative="0">
      <w:start w:val="1"/>
      <w:numFmt w:val="decimal"/>
      <w:suff w:val="nothing"/>
      <w:lvlText w:val="（%1）"/>
      <w:lvlJc w:val="left"/>
    </w:lvl>
  </w:abstractNum>
  <w:abstractNum w:abstractNumId="2">
    <w:nsid w:val="9B79A129"/>
    <w:multiLevelType w:val="singleLevel"/>
    <w:tmpl w:val="9B79A129"/>
    <w:lvl w:ilvl="0" w:tentative="0">
      <w:start w:val="1"/>
      <w:numFmt w:val="decimal"/>
      <w:suff w:val="nothing"/>
      <w:lvlText w:val="%1、"/>
      <w:lvlJc w:val="left"/>
    </w:lvl>
  </w:abstractNum>
  <w:abstractNum w:abstractNumId="3">
    <w:nsid w:val="9F699ED7"/>
    <w:multiLevelType w:val="singleLevel"/>
    <w:tmpl w:val="9F699ED7"/>
    <w:lvl w:ilvl="0" w:tentative="0">
      <w:start w:val="7"/>
      <w:numFmt w:val="decimal"/>
      <w:suff w:val="nothing"/>
      <w:lvlText w:val="%1、"/>
      <w:lvlJc w:val="left"/>
    </w:lvl>
  </w:abstractNum>
  <w:abstractNum w:abstractNumId="4">
    <w:nsid w:val="D75B449C"/>
    <w:multiLevelType w:val="singleLevel"/>
    <w:tmpl w:val="D75B449C"/>
    <w:lvl w:ilvl="0" w:tentative="0">
      <w:start w:val="1"/>
      <w:numFmt w:val="decimal"/>
      <w:suff w:val="nothing"/>
      <w:lvlText w:val="%1、"/>
      <w:lvlJc w:val="left"/>
    </w:lvl>
  </w:abstractNum>
  <w:abstractNum w:abstractNumId="5">
    <w:nsid w:val="016A516B"/>
    <w:multiLevelType w:val="singleLevel"/>
    <w:tmpl w:val="016A516B"/>
    <w:lvl w:ilvl="0" w:tentative="0">
      <w:start w:val="2"/>
      <w:numFmt w:val="chineseCounting"/>
      <w:suff w:val="nothing"/>
      <w:lvlText w:val="（%1）"/>
      <w:lvlJc w:val="left"/>
      <w:rPr>
        <w:rFonts w:hint="eastAsia"/>
      </w:rPr>
    </w:lvl>
  </w:abstractNum>
  <w:abstractNum w:abstractNumId="6">
    <w:nsid w:val="06C2AC08"/>
    <w:multiLevelType w:val="singleLevel"/>
    <w:tmpl w:val="06C2AC08"/>
    <w:lvl w:ilvl="0" w:tentative="0">
      <w:start w:val="1"/>
      <w:numFmt w:val="decimal"/>
      <w:suff w:val="nothing"/>
      <w:lvlText w:val="%1、"/>
      <w:lvlJc w:val="left"/>
    </w:lvl>
  </w:abstractNum>
  <w:abstractNum w:abstractNumId="7">
    <w:nsid w:val="282C6BA2"/>
    <w:multiLevelType w:val="multilevel"/>
    <w:tmpl w:val="282C6BA2"/>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2"/>
  </w:num>
  <w:num w:numId="3">
    <w:abstractNumId w:val="3"/>
  </w:num>
  <w:num w:numId="4">
    <w:abstractNumId w:val="6"/>
  </w:num>
  <w:num w:numId="5">
    <w:abstractNumId w:val="4"/>
  </w:num>
  <w:num w:numId="6">
    <w:abstractNumId w:val="7"/>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BC48CD"/>
    <w:rsid w:val="02091FC4"/>
    <w:rsid w:val="041B27FB"/>
    <w:rsid w:val="04D90CDE"/>
    <w:rsid w:val="05227470"/>
    <w:rsid w:val="06595B3E"/>
    <w:rsid w:val="068240BD"/>
    <w:rsid w:val="06C82E5B"/>
    <w:rsid w:val="06E5118A"/>
    <w:rsid w:val="07241FB1"/>
    <w:rsid w:val="08042F00"/>
    <w:rsid w:val="08846C32"/>
    <w:rsid w:val="08CC5B74"/>
    <w:rsid w:val="090A6406"/>
    <w:rsid w:val="09F32BFE"/>
    <w:rsid w:val="0BA769FE"/>
    <w:rsid w:val="0ED74D06"/>
    <w:rsid w:val="0EFA0FE8"/>
    <w:rsid w:val="105110EB"/>
    <w:rsid w:val="1209796C"/>
    <w:rsid w:val="130A05BF"/>
    <w:rsid w:val="13C06B9F"/>
    <w:rsid w:val="14462C81"/>
    <w:rsid w:val="16086DD4"/>
    <w:rsid w:val="16257519"/>
    <w:rsid w:val="162D75C7"/>
    <w:rsid w:val="1A270BA5"/>
    <w:rsid w:val="1C5814D9"/>
    <w:rsid w:val="1CA554F7"/>
    <w:rsid w:val="1CA668DB"/>
    <w:rsid w:val="1E0A15E1"/>
    <w:rsid w:val="21165706"/>
    <w:rsid w:val="23E16969"/>
    <w:rsid w:val="24122CCF"/>
    <w:rsid w:val="248E2367"/>
    <w:rsid w:val="24945F95"/>
    <w:rsid w:val="28DD0E1E"/>
    <w:rsid w:val="291B7545"/>
    <w:rsid w:val="2A3E40B6"/>
    <w:rsid w:val="2B37545D"/>
    <w:rsid w:val="2D4E0EC3"/>
    <w:rsid w:val="2D612DAB"/>
    <w:rsid w:val="2FA022AC"/>
    <w:rsid w:val="31B9171D"/>
    <w:rsid w:val="327864CE"/>
    <w:rsid w:val="364823C7"/>
    <w:rsid w:val="369B7CF9"/>
    <w:rsid w:val="36F13269"/>
    <w:rsid w:val="37583A24"/>
    <w:rsid w:val="37CD02D8"/>
    <w:rsid w:val="3BFE08DC"/>
    <w:rsid w:val="3D021955"/>
    <w:rsid w:val="40793470"/>
    <w:rsid w:val="420D54DF"/>
    <w:rsid w:val="43B26090"/>
    <w:rsid w:val="43FC225D"/>
    <w:rsid w:val="45194784"/>
    <w:rsid w:val="453A6B24"/>
    <w:rsid w:val="476B0D0D"/>
    <w:rsid w:val="476D1D9D"/>
    <w:rsid w:val="49A76F3E"/>
    <w:rsid w:val="4B1776D7"/>
    <w:rsid w:val="4B41251F"/>
    <w:rsid w:val="4BAB325D"/>
    <w:rsid w:val="4BAB4931"/>
    <w:rsid w:val="4BC46F4F"/>
    <w:rsid w:val="4F5A37B4"/>
    <w:rsid w:val="505D0C63"/>
    <w:rsid w:val="50E22300"/>
    <w:rsid w:val="51F40114"/>
    <w:rsid w:val="51FC3D44"/>
    <w:rsid w:val="54732B6B"/>
    <w:rsid w:val="55442CA3"/>
    <w:rsid w:val="559B7500"/>
    <w:rsid w:val="56D66CF9"/>
    <w:rsid w:val="578B4DC4"/>
    <w:rsid w:val="5C0040BA"/>
    <w:rsid w:val="5EC569BA"/>
    <w:rsid w:val="5F9E0CE4"/>
    <w:rsid w:val="65A36F8A"/>
    <w:rsid w:val="66A0505E"/>
    <w:rsid w:val="68C61799"/>
    <w:rsid w:val="68EA41C9"/>
    <w:rsid w:val="69CE6F5B"/>
    <w:rsid w:val="6A121815"/>
    <w:rsid w:val="6A933EBD"/>
    <w:rsid w:val="6AC975E8"/>
    <w:rsid w:val="6B567FE5"/>
    <w:rsid w:val="6CB93DB8"/>
    <w:rsid w:val="6E3A3ACA"/>
    <w:rsid w:val="705F4EC2"/>
    <w:rsid w:val="70767B76"/>
    <w:rsid w:val="70FA62CB"/>
    <w:rsid w:val="71BE59BC"/>
    <w:rsid w:val="724C0842"/>
    <w:rsid w:val="72535CB7"/>
    <w:rsid w:val="72953B2E"/>
    <w:rsid w:val="7340273C"/>
    <w:rsid w:val="76C821EC"/>
    <w:rsid w:val="7A832A42"/>
    <w:rsid w:val="7B2B14D7"/>
    <w:rsid w:val="7B2D74A8"/>
    <w:rsid w:val="7BF439AC"/>
    <w:rsid w:val="7C1B7C6D"/>
    <w:rsid w:val="7D254F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semiHidden/>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afterLines="0" w:afterAutospacing="0"/>
    </w:pPr>
  </w:style>
  <w:style w:type="paragraph" w:styleId="3">
    <w:name w:val="Body Text Indent"/>
    <w:basedOn w:val="1"/>
    <w:next w:val="4"/>
    <w:qFormat/>
    <w:uiPriority w:val="0"/>
    <w:pPr>
      <w:spacing w:after="120"/>
      <w:ind w:left="420" w:leftChars="200"/>
    </w:pPr>
  </w:style>
  <w:style w:type="paragraph" w:customStyle="1" w:styleId="4">
    <w:name w:val="样式 宋体 五号 行距: 单倍行距"/>
    <w:basedOn w:val="1"/>
    <w:semiHidden/>
    <w:qFormat/>
    <w:uiPriority w:val="0"/>
    <w:pPr>
      <w:adjustRightInd w:val="0"/>
    </w:pPr>
    <w:rPr>
      <w:rFonts w:ascii="宋体" w:hAnsi="宋体"/>
      <w:kern w:val="0"/>
    </w:rPr>
  </w:style>
  <w:style w:type="paragraph" w:styleId="5">
    <w:name w:val="Normal Indent"/>
    <w:basedOn w:val="1"/>
    <w:next w:val="1"/>
    <w:qFormat/>
    <w:uiPriority w:val="99"/>
    <w:pPr>
      <w:ind w:firstLine="420" w:firstLineChars="200"/>
    </w:pPr>
    <w:rPr>
      <w:sz w:val="20"/>
    </w:rPr>
  </w:style>
  <w:style w:type="paragraph" w:styleId="6">
    <w:name w:val="Plain Text"/>
    <w:basedOn w:val="1"/>
    <w:unhideWhenUsed/>
    <w:qFormat/>
    <w:uiPriority w:val="99"/>
    <w:rPr>
      <w:rFonts w:ascii="宋体" w:hAnsi="Courier New" w:cs="Courier New"/>
      <w:szCs w:val="21"/>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Body Text First Indent"/>
    <w:basedOn w:val="1"/>
    <w:next w:val="1"/>
    <w:qFormat/>
    <w:uiPriority w:val="99"/>
    <w:pPr>
      <w:spacing w:after="120" w:line="275" w:lineRule="atLeast"/>
      <w:textAlignment w:val="baseline"/>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17.jpeg"/><Relationship Id="rId20" Type="http://schemas.openxmlformats.org/officeDocument/2006/relationships/image" Target="media/image16.jpeg"/><Relationship Id="rId2" Type="http://schemas.openxmlformats.org/officeDocument/2006/relationships/settings" Target="settings.xml"/><Relationship Id="rId19" Type="http://schemas.openxmlformats.org/officeDocument/2006/relationships/image" Target="media/image15.jpeg"/><Relationship Id="rId18" Type="http://schemas.openxmlformats.org/officeDocument/2006/relationships/image" Target="media/image14.png"/><Relationship Id="rId17" Type="http://schemas.openxmlformats.org/officeDocument/2006/relationships/image" Target="media/image13.png"/><Relationship Id="rId16" Type="http://schemas.openxmlformats.org/officeDocument/2006/relationships/image" Target="media/image12.png"/><Relationship Id="rId15" Type="http://schemas.openxmlformats.org/officeDocument/2006/relationships/image" Target="media/image11.png"/><Relationship Id="rId14" Type="http://schemas.openxmlformats.org/officeDocument/2006/relationships/image" Target="media/image10.jpeg"/><Relationship Id="rId13" Type="http://schemas.openxmlformats.org/officeDocument/2006/relationships/image" Target="media/image9.jpeg"/><Relationship Id="rId12" Type="http://schemas.openxmlformats.org/officeDocument/2006/relationships/image" Target="media/image8.jpeg"/><Relationship Id="rId11" Type="http://schemas.openxmlformats.org/officeDocument/2006/relationships/image" Target="media/image7.jpeg"/><Relationship Id="rId10" Type="http://schemas.openxmlformats.org/officeDocument/2006/relationships/image" Target="media/image6.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2023-06-13T00:48:00Z</dcterms:created>
  <dc:creator>ywc35</dc:creator>
  <cp:lastModifiedBy>ywc35</cp:lastModifiedBy>
  <dcterms:modified xsi:type="dcterms:W3CDTF">2023-07-27T10:05:14Z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