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微软雅黑" w:eastAsia="方正小标宋简体"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小标宋简体" w:hAnsi="微软雅黑" w:eastAsia="方正小标宋简体"/>
          <w:sz w:val="22"/>
          <w:szCs w:val="22"/>
          <w:lang w:eastAsia="zh-CN"/>
        </w:rPr>
      </w:pPr>
      <w:r>
        <w:rPr>
          <w:rFonts w:hint="eastAsia" w:ascii="方正小标宋简体" w:hAnsi="微软雅黑" w:eastAsia="方正小标宋简体"/>
          <w:color w:val="000000"/>
          <w:sz w:val="32"/>
          <w:szCs w:val="32"/>
        </w:rPr>
        <w:t>医用耗材供应商</w:t>
      </w:r>
      <w:r>
        <w:rPr>
          <w:rFonts w:hint="eastAsia" w:ascii="方正小标宋简体" w:hAnsi="微软雅黑" w:eastAsia="方正小标宋简体"/>
          <w:color w:val="000000"/>
          <w:sz w:val="32"/>
          <w:szCs w:val="32"/>
          <w:lang w:eastAsia="zh-CN"/>
        </w:rPr>
        <w:t>授权公示明细</w:t>
      </w:r>
    </w:p>
    <w:tbl>
      <w:tblPr>
        <w:tblStyle w:val="25"/>
        <w:tblW w:w="9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3242"/>
        <w:gridCol w:w="5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18"/>
              </w:rPr>
            </w:pPr>
            <w:r>
              <w:rPr>
                <w:rFonts w:ascii="黑体" w:hAnsi="黑体" w:eastAsia="黑体"/>
                <w:color w:val="000000"/>
                <w:sz w:val="22"/>
                <w:szCs w:val="18"/>
              </w:rPr>
              <w:t>序号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000000"/>
                <w:sz w:val="22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18"/>
                <w:lang w:eastAsia="zh-CN"/>
              </w:rPr>
              <w:t>拟变更</w:t>
            </w:r>
            <w:r>
              <w:rPr>
                <w:rFonts w:ascii="黑体" w:hAnsi="黑体" w:eastAsia="黑体"/>
                <w:color w:val="000000"/>
                <w:sz w:val="22"/>
                <w:szCs w:val="18"/>
              </w:rPr>
              <w:t>供应商名称</w:t>
            </w:r>
          </w:p>
        </w:tc>
        <w:tc>
          <w:tcPr>
            <w:tcW w:w="5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000000"/>
                <w:sz w:val="22"/>
                <w:szCs w:val="18"/>
              </w:rPr>
            </w:pPr>
            <w:r>
              <w:rPr>
                <w:rFonts w:ascii="黑体" w:hAnsi="黑体" w:eastAsia="黑体"/>
                <w:color w:val="000000"/>
                <w:sz w:val="22"/>
                <w:szCs w:val="18"/>
              </w:rPr>
              <w:t>产品系列与生产厂家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  <w:szCs w:val="18"/>
                <w:lang w:val="en-US" w:eastAsia="zh-CN"/>
              </w:rPr>
              <w:t>1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上药控股重庆医疗器械有限公司</w:t>
            </w:r>
          </w:p>
        </w:tc>
        <w:tc>
          <w:tcPr>
            <w:tcW w:w="5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一次性使用引流管</w:t>
            </w:r>
          </w:p>
          <w:p>
            <w:pPr>
              <w:jc w:val="both"/>
              <w:rPr>
                <w:rFonts w:hint="default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天津翔越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  <w:szCs w:val="18"/>
                <w:lang w:val="en-US" w:eastAsia="zh-CN"/>
              </w:rPr>
              <w:t>2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重庆毕成医疗器械有限公司</w:t>
            </w:r>
          </w:p>
        </w:tc>
        <w:tc>
          <w:tcPr>
            <w:tcW w:w="5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活检针</w:t>
            </w:r>
          </w:p>
          <w:p>
            <w:pPr>
              <w:jc w:val="both"/>
              <w:rPr>
                <w:rFonts w:hint="default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爱琅医疗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  <w:szCs w:val="18"/>
                <w:lang w:val="en-US" w:eastAsia="zh-CN"/>
              </w:rPr>
              <w:t>3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/>
                <w:color w:val="auto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highlight w:val="none"/>
                <w:lang w:val="en-US" w:eastAsia="zh-CN"/>
              </w:rPr>
              <w:t>国药集团重庆医疗器械有限公司</w:t>
            </w:r>
          </w:p>
        </w:tc>
        <w:tc>
          <w:tcPr>
            <w:tcW w:w="5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highlight w:val="none"/>
                <w:lang w:val="en-US" w:eastAsia="zh-CN"/>
              </w:rPr>
              <w:t>仿粘连膜4350/4350XL、耻骨后经阴道前壁尿道悬吊器TVTRL、经闭孔经阴道前壁尿道悬吊器TVTOML、补片GPSL</w:t>
            </w:r>
          </w:p>
          <w:p>
            <w:pPr>
              <w:jc w:val="both"/>
              <w:rPr>
                <w:rFonts w:hint="default" w:ascii="仿宋_GB2312" w:eastAsia="仿宋_GB2312"/>
                <w:color w:val="auto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highlight w:val="none"/>
                <w:lang w:val="en-US" w:eastAsia="zh-CN"/>
              </w:rPr>
              <w:t>爱惜康（Ethicon）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  <w:szCs w:val="18"/>
                <w:lang w:val="en-US" w:eastAsia="zh-CN"/>
              </w:rPr>
              <w:t>4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重庆达森医疗器械有限公司</w:t>
            </w:r>
          </w:p>
        </w:tc>
        <w:tc>
          <w:tcPr>
            <w:tcW w:w="5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药物洗脱球囊导管</w:t>
            </w:r>
          </w:p>
          <w:p>
            <w:pPr>
              <w:jc w:val="both"/>
              <w:rPr>
                <w:rFonts w:hint="default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辽宁垠艺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  <w:szCs w:val="18"/>
                <w:lang w:val="en-US" w:eastAsia="zh-CN"/>
              </w:rPr>
              <w:t>5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重庆普诚医疗器械有限公司</w:t>
            </w:r>
          </w:p>
        </w:tc>
        <w:tc>
          <w:tcPr>
            <w:tcW w:w="5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一次性同芯圆针电极</w:t>
            </w:r>
          </w:p>
          <w:p>
            <w:pPr>
              <w:jc w:val="both"/>
              <w:rPr>
                <w:rFonts w:hint="default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爱尔兰Natus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  <w:szCs w:val="18"/>
                <w:lang w:val="en-US" w:eastAsia="zh-CN"/>
              </w:rPr>
              <w:t>6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重庆雄飞科技有限公司</w:t>
            </w:r>
          </w:p>
        </w:tc>
        <w:tc>
          <w:tcPr>
            <w:tcW w:w="5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外周神经丛刺激针（D型）、连续神经丛阻滞套件</w:t>
            </w:r>
          </w:p>
          <w:p>
            <w:pPr>
              <w:jc w:val="both"/>
              <w:rPr>
                <w:rFonts w:hint="default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贝朗梅尔松根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  <w:szCs w:val="18"/>
                <w:lang w:val="en-US" w:eastAsia="zh-CN"/>
              </w:rPr>
              <w:t>7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重庆益思为医疗器械有限公司</w:t>
            </w:r>
          </w:p>
        </w:tc>
        <w:tc>
          <w:tcPr>
            <w:tcW w:w="5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丰千牌抑菌液、丰益牌抑菌液</w:t>
            </w:r>
          </w:p>
          <w:p>
            <w:pPr>
              <w:jc w:val="both"/>
              <w:rPr>
                <w:rFonts w:hint="default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邵东丰千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  <w:szCs w:val="18"/>
                <w:lang w:val="en-US" w:eastAsia="zh-CN"/>
              </w:rPr>
              <w:t>8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重庆瞰山商贸有限公司</w:t>
            </w:r>
          </w:p>
        </w:tc>
        <w:tc>
          <w:tcPr>
            <w:tcW w:w="5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射频消融定位导管、一次性使用网状磁电定位标测导管、一次性使用磁电定位压力监测消融导管、磁电定位环形标测导管、房间隔穿刺针、房间隔穿刺鞘、带止血阀可控导管鞘、体表电极、灌注泵系统</w:t>
            </w:r>
          </w:p>
          <w:p>
            <w:pPr>
              <w:jc w:val="both"/>
              <w:rPr>
                <w:rFonts w:hint="default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雅培（Abbott Medical）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  <w:szCs w:val="18"/>
                <w:lang w:val="en-US" w:eastAsia="zh-CN"/>
              </w:rPr>
              <w:t>9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国药控股重庆泰民医药有限公司</w:t>
            </w:r>
          </w:p>
        </w:tc>
        <w:tc>
          <w:tcPr>
            <w:tcW w:w="5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5</w:t>
            </w:r>
            <w:r>
              <w:rPr>
                <w:rFonts w:hint="default" w:ascii="仿宋_GB2312" w:eastAsia="仿宋_GB2312"/>
                <w:color w:val="auto"/>
                <w:sz w:val="20"/>
                <w:szCs w:val="18"/>
                <w:lang w:val="en-US" w:eastAsia="zh-CN"/>
              </w:rPr>
              <w:t>’</w:t>
            </w: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-核苷酸酶测定试剂盒（过氧化物酶法）</w:t>
            </w:r>
          </w:p>
          <w:p>
            <w:pPr>
              <w:jc w:val="both"/>
              <w:rPr>
                <w:rFonts w:hint="default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北京九强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  <w:szCs w:val="18"/>
                <w:lang w:val="en-US" w:eastAsia="zh-CN"/>
              </w:rPr>
              <w:t>10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上药康德乐（重庆）医药有限公司</w:t>
            </w:r>
          </w:p>
        </w:tc>
        <w:tc>
          <w:tcPr>
            <w:tcW w:w="5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腹股沟疝生物补片</w:t>
            </w:r>
          </w:p>
          <w:p>
            <w:pPr>
              <w:jc w:val="both"/>
              <w:rPr>
                <w:rFonts w:hint="default" w:ascii="仿宋_GB2312" w:eastAsia="仿宋_GB2312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18"/>
                <w:lang w:val="en-US" w:eastAsia="zh-CN"/>
              </w:rPr>
              <w:t>北京博辉瑞进</w:t>
            </w:r>
            <w:bookmarkStart w:id="0" w:name="_GoBack"/>
            <w:bookmarkEnd w:id="0"/>
          </w:p>
        </w:tc>
      </w:tr>
    </w:tbl>
    <w:p>
      <w:pPr>
        <w:wordWrap w:val="0"/>
        <w:rPr>
          <w:rFonts w:ascii="宋体" w:hAnsi="宋体"/>
          <w:sz w:val="20"/>
          <w:szCs w:val="20"/>
        </w:rPr>
      </w:pPr>
    </w:p>
    <w:sectPr>
      <w:pgSz w:w="11906" w:h="16838"/>
      <w:pgMar w:top="1700" w:right="873" w:bottom="1440" w:left="873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80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MxNTE0NmM4MjMwOWFmOGZmZjZiMDNmN2ZkNjI4OGEifQ=="/>
    <w:docVar w:name="KSO_WPS_MARK_KEY" w:val="f09a75a2-b787-4025-a0ed-9ba72303c773"/>
  </w:docVars>
  <w:rsids>
    <w:rsidRoot w:val="00915EFB"/>
    <w:rsid w:val="00007FDF"/>
    <w:rsid w:val="00013E4E"/>
    <w:rsid w:val="00016896"/>
    <w:rsid w:val="00027A21"/>
    <w:rsid w:val="00040189"/>
    <w:rsid w:val="000458CD"/>
    <w:rsid w:val="0004748D"/>
    <w:rsid w:val="00055544"/>
    <w:rsid w:val="000634FC"/>
    <w:rsid w:val="00076814"/>
    <w:rsid w:val="000A5AC2"/>
    <w:rsid w:val="000B54FF"/>
    <w:rsid w:val="000C6A69"/>
    <w:rsid w:val="000D2AF7"/>
    <w:rsid w:val="000E0699"/>
    <w:rsid w:val="000E7011"/>
    <w:rsid w:val="000F1424"/>
    <w:rsid w:val="000F2780"/>
    <w:rsid w:val="001012D7"/>
    <w:rsid w:val="001040D6"/>
    <w:rsid w:val="001055BB"/>
    <w:rsid w:val="00121CA3"/>
    <w:rsid w:val="00134D88"/>
    <w:rsid w:val="001362C4"/>
    <w:rsid w:val="0016176C"/>
    <w:rsid w:val="00161CB2"/>
    <w:rsid w:val="00164798"/>
    <w:rsid w:val="00180DF6"/>
    <w:rsid w:val="0019572A"/>
    <w:rsid w:val="001B06D9"/>
    <w:rsid w:val="001B135E"/>
    <w:rsid w:val="001C6729"/>
    <w:rsid w:val="001E132B"/>
    <w:rsid w:val="001E169D"/>
    <w:rsid w:val="001F26EB"/>
    <w:rsid w:val="001F2BC1"/>
    <w:rsid w:val="00210620"/>
    <w:rsid w:val="00212B82"/>
    <w:rsid w:val="00214A31"/>
    <w:rsid w:val="00215A9D"/>
    <w:rsid w:val="002227DE"/>
    <w:rsid w:val="0022560E"/>
    <w:rsid w:val="00226D99"/>
    <w:rsid w:val="00245BB6"/>
    <w:rsid w:val="00247921"/>
    <w:rsid w:val="002719A4"/>
    <w:rsid w:val="002969AC"/>
    <w:rsid w:val="00297DE6"/>
    <w:rsid w:val="002B1344"/>
    <w:rsid w:val="002C7CB1"/>
    <w:rsid w:val="002E2B5E"/>
    <w:rsid w:val="002E3499"/>
    <w:rsid w:val="00312264"/>
    <w:rsid w:val="003200A3"/>
    <w:rsid w:val="00324199"/>
    <w:rsid w:val="00344883"/>
    <w:rsid w:val="00351D54"/>
    <w:rsid w:val="003770BD"/>
    <w:rsid w:val="003859D1"/>
    <w:rsid w:val="00397B15"/>
    <w:rsid w:val="003B01D3"/>
    <w:rsid w:val="003B0733"/>
    <w:rsid w:val="003B55F5"/>
    <w:rsid w:val="003D470F"/>
    <w:rsid w:val="003D7CE6"/>
    <w:rsid w:val="003E21F9"/>
    <w:rsid w:val="003E6D71"/>
    <w:rsid w:val="003F188F"/>
    <w:rsid w:val="0040381E"/>
    <w:rsid w:val="0041300C"/>
    <w:rsid w:val="00413B60"/>
    <w:rsid w:val="00422584"/>
    <w:rsid w:val="0045025F"/>
    <w:rsid w:val="00472421"/>
    <w:rsid w:val="0048752C"/>
    <w:rsid w:val="00494C24"/>
    <w:rsid w:val="004E2D08"/>
    <w:rsid w:val="004E3AA0"/>
    <w:rsid w:val="00504F63"/>
    <w:rsid w:val="00505DF3"/>
    <w:rsid w:val="00520275"/>
    <w:rsid w:val="00543F48"/>
    <w:rsid w:val="00563D61"/>
    <w:rsid w:val="00587F8E"/>
    <w:rsid w:val="00590479"/>
    <w:rsid w:val="00597AAD"/>
    <w:rsid w:val="005B21C3"/>
    <w:rsid w:val="005D7DC7"/>
    <w:rsid w:val="005E4B8D"/>
    <w:rsid w:val="00607079"/>
    <w:rsid w:val="00607611"/>
    <w:rsid w:val="0061635E"/>
    <w:rsid w:val="00621F23"/>
    <w:rsid w:val="006700D5"/>
    <w:rsid w:val="006822B0"/>
    <w:rsid w:val="006921B9"/>
    <w:rsid w:val="00694633"/>
    <w:rsid w:val="006B70F8"/>
    <w:rsid w:val="006C45F0"/>
    <w:rsid w:val="006D046D"/>
    <w:rsid w:val="006D527B"/>
    <w:rsid w:val="006E5825"/>
    <w:rsid w:val="006E6875"/>
    <w:rsid w:val="006F2181"/>
    <w:rsid w:val="00710F80"/>
    <w:rsid w:val="0071264A"/>
    <w:rsid w:val="007205A7"/>
    <w:rsid w:val="007450CD"/>
    <w:rsid w:val="00752A89"/>
    <w:rsid w:val="00786142"/>
    <w:rsid w:val="00797002"/>
    <w:rsid w:val="0079736E"/>
    <w:rsid w:val="007A42CE"/>
    <w:rsid w:val="007C2CDA"/>
    <w:rsid w:val="007C6989"/>
    <w:rsid w:val="007D2E16"/>
    <w:rsid w:val="007E2801"/>
    <w:rsid w:val="007E640A"/>
    <w:rsid w:val="007F3F56"/>
    <w:rsid w:val="0081673C"/>
    <w:rsid w:val="00854FC2"/>
    <w:rsid w:val="00875F86"/>
    <w:rsid w:val="00886A86"/>
    <w:rsid w:val="008B51E6"/>
    <w:rsid w:val="008B7E36"/>
    <w:rsid w:val="008D5C92"/>
    <w:rsid w:val="008F6B9F"/>
    <w:rsid w:val="00911D79"/>
    <w:rsid w:val="00915EFB"/>
    <w:rsid w:val="009163F8"/>
    <w:rsid w:val="00920BD1"/>
    <w:rsid w:val="00921C90"/>
    <w:rsid w:val="00924FBA"/>
    <w:rsid w:val="00926759"/>
    <w:rsid w:val="00927D0E"/>
    <w:rsid w:val="00940ADC"/>
    <w:rsid w:val="00954EE6"/>
    <w:rsid w:val="00956951"/>
    <w:rsid w:val="009964A9"/>
    <w:rsid w:val="009A29AE"/>
    <w:rsid w:val="009C125D"/>
    <w:rsid w:val="009C16E7"/>
    <w:rsid w:val="009C32ED"/>
    <w:rsid w:val="009E05C4"/>
    <w:rsid w:val="009F53AC"/>
    <w:rsid w:val="00A06BD5"/>
    <w:rsid w:val="00A128AB"/>
    <w:rsid w:val="00A20D25"/>
    <w:rsid w:val="00A45813"/>
    <w:rsid w:val="00A45E10"/>
    <w:rsid w:val="00A46920"/>
    <w:rsid w:val="00A53AF5"/>
    <w:rsid w:val="00A72A90"/>
    <w:rsid w:val="00A75F8D"/>
    <w:rsid w:val="00AB345E"/>
    <w:rsid w:val="00AB6607"/>
    <w:rsid w:val="00AC2143"/>
    <w:rsid w:val="00AC2688"/>
    <w:rsid w:val="00AC7AD8"/>
    <w:rsid w:val="00AE1AA3"/>
    <w:rsid w:val="00AE494F"/>
    <w:rsid w:val="00AF2193"/>
    <w:rsid w:val="00AF3FA7"/>
    <w:rsid w:val="00AF4B10"/>
    <w:rsid w:val="00AF5135"/>
    <w:rsid w:val="00B02E66"/>
    <w:rsid w:val="00B10C21"/>
    <w:rsid w:val="00B23A05"/>
    <w:rsid w:val="00B5223C"/>
    <w:rsid w:val="00B542BE"/>
    <w:rsid w:val="00B60C3C"/>
    <w:rsid w:val="00B66479"/>
    <w:rsid w:val="00B71262"/>
    <w:rsid w:val="00B904F0"/>
    <w:rsid w:val="00BB1154"/>
    <w:rsid w:val="00BB1399"/>
    <w:rsid w:val="00BB7994"/>
    <w:rsid w:val="00BC1D68"/>
    <w:rsid w:val="00BD0228"/>
    <w:rsid w:val="00BD36DB"/>
    <w:rsid w:val="00BE7579"/>
    <w:rsid w:val="00BF5245"/>
    <w:rsid w:val="00BF76A9"/>
    <w:rsid w:val="00C2364E"/>
    <w:rsid w:val="00C31B05"/>
    <w:rsid w:val="00C33ED5"/>
    <w:rsid w:val="00C37805"/>
    <w:rsid w:val="00C53166"/>
    <w:rsid w:val="00C74BFC"/>
    <w:rsid w:val="00C77F3F"/>
    <w:rsid w:val="00C80855"/>
    <w:rsid w:val="00C857BF"/>
    <w:rsid w:val="00C94A44"/>
    <w:rsid w:val="00CA29F7"/>
    <w:rsid w:val="00CA2F79"/>
    <w:rsid w:val="00CA6E7E"/>
    <w:rsid w:val="00CA7EC2"/>
    <w:rsid w:val="00CC0C0B"/>
    <w:rsid w:val="00CF0B01"/>
    <w:rsid w:val="00D04D52"/>
    <w:rsid w:val="00D11EDE"/>
    <w:rsid w:val="00D16112"/>
    <w:rsid w:val="00D305C1"/>
    <w:rsid w:val="00D32AB3"/>
    <w:rsid w:val="00D34972"/>
    <w:rsid w:val="00D76328"/>
    <w:rsid w:val="00D81D16"/>
    <w:rsid w:val="00D82D63"/>
    <w:rsid w:val="00D969E0"/>
    <w:rsid w:val="00DA142E"/>
    <w:rsid w:val="00DA157C"/>
    <w:rsid w:val="00DA2BB7"/>
    <w:rsid w:val="00DC10F4"/>
    <w:rsid w:val="00DC19C5"/>
    <w:rsid w:val="00DC3B31"/>
    <w:rsid w:val="00DC531B"/>
    <w:rsid w:val="00DD37C1"/>
    <w:rsid w:val="00DF6666"/>
    <w:rsid w:val="00E12122"/>
    <w:rsid w:val="00E213E3"/>
    <w:rsid w:val="00E3455F"/>
    <w:rsid w:val="00E45BD6"/>
    <w:rsid w:val="00E664D6"/>
    <w:rsid w:val="00E7463F"/>
    <w:rsid w:val="00E86470"/>
    <w:rsid w:val="00E86E8D"/>
    <w:rsid w:val="00EB3BE9"/>
    <w:rsid w:val="00EC1F8B"/>
    <w:rsid w:val="00ED7F64"/>
    <w:rsid w:val="00EF14F6"/>
    <w:rsid w:val="00F14427"/>
    <w:rsid w:val="00F27815"/>
    <w:rsid w:val="00F34524"/>
    <w:rsid w:val="00F84E9A"/>
    <w:rsid w:val="00FB6EB1"/>
    <w:rsid w:val="00FC15FA"/>
    <w:rsid w:val="00FC5A9E"/>
    <w:rsid w:val="00FC7605"/>
    <w:rsid w:val="00FE2F0B"/>
    <w:rsid w:val="025F74BE"/>
    <w:rsid w:val="037F0872"/>
    <w:rsid w:val="05C35DCF"/>
    <w:rsid w:val="06954563"/>
    <w:rsid w:val="08517B5E"/>
    <w:rsid w:val="09211BFF"/>
    <w:rsid w:val="0EDE2C03"/>
    <w:rsid w:val="10982EC6"/>
    <w:rsid w:val="10F00E1C"/>
    <w:rsid w:val="13004A14"/>
    <w:rsid w:val="1E860492"/>
    <w:rsid w:val="1EF91C4A"/>
    <w:rsid w:val="21AB0A4D"/>
    <w:rsid w:val="22262E13"/>
    <w:rsid w:val="22A33B45"/>
    <w:rsid w:val="26D32831"/>
    <w:rsid w:val="29E124A1"/>
    <w:rsid w:val="2B5106D3"/>
    <w:rsid w:val="2B737A6B"/>
    <w:rsid w:val="2FD97334"/>
    <w:rsid w:val="33F06134"/>
    <w:rsid w:val="37D000C2"/>
    <w:rsid w:val="37ED1426"/>
    <w:rsid w:val="3863366E"/>
    <w:rsid w:val="3B927A21"/>
    <w:rsid w:val="3BAC6D1C"/>
    <w:rsid w:val="3D892EBA"/>
    <w:rsid w:val="3DAC6D06"/>
    <w:rsid w:val="3FD153DB"/>
    <w:rsid w:val="403A3F94"/>
    <w:rsid w:val="440952F6"/>
    <w:rsid w:val="44681573"/>
    <w:rsid w:val="47A37158"/>
    <w:rsid w:val="486C030A"/>
    <w:rsid w:val="499317E3"/>
    <w:rsid w:val="4AD72752"/>
    <w:rsid w:val="4BCD799D"/>
    <w:rsid w:val="4DD5551D"/>
    <w:rsid w:val="4DE63441"/>
    <w:rsid w:val="4F127D2F"/>
    <w:rsid w:val="500E4B84"/>
    <w:rsid w:val="58C81522"/>
    <w:rsid w:val="5DBD400F"/>
    <w:rsid w:val="627F127C"/>
    <w:rsid w:val="65361C7F"/>
    <w:rsid w:val="665B6DB7"/>
    <w:rsid w:val="697A5EE9"/>
    <w:rsid w:val="6AFB67EC"/>
    <w:rsid w:val="6D6C5E91"/>
    <w:rsid w:val="6F1235CB"/>
    <w:rsid w:val="70B97AEC"/>
    <w:rsid w:val="716A1708"/>
    <w:rsid w:val="723C61DD"/>
    <w:rsid w:val="72517C93"/>
    <w:rsid w:val="76DA5925"/>
    <w:rsid w:val="7A2C0E95"/>
    <w:rsid w:val="7C1141ED"/>
    <w:rsid w:val="7D913307"/>
    <w:rsid w:val="7DA869FA"/>
    <w:rsid w:val="7F1D6C6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4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character" w:styleId="29">
    <w:name w:val="Hyperlink"/>
    <w:basedOn w:val="26"/>
    <w:semiHidden/>
    <w:unhideWhenUsed/>
    <w:qFormat/>
    <w:uiPriority w:val="99"/>
    <w:rPr>
      <w:color w:val="0000FF"/>
      <w:u w:val="single"/>
    </w:rPr>
  </w:style>
  <w:style w:type="paragraph" w:styleId="30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31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2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3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4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5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6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7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8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9">
    <w:name w:val="TOC Heading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40">
    <w:name w:val="页眉 Char"/>
    <w:basedOn w:val="26"/>
    <w:link w:val="17"/>
    <w:semiHidden/>
    <w:qFormat/>
    <w:uiPriority w:val="99"/>
    <w:rPr>
      <w:sz w:val="18"/>
      <w:szCs w:val="18"/>
    </w:rPr>
  </w:style>
  <w:style w:type="character" w:customStyle="1" w:styleId="41">
    <w:name w:val="页脚 Char"/>
    <w:basedOn w:val="26"/>
    <w:link w:val="16"/>
    <w:semiHidden/>
    <w:qFormat/>
    <w:uiPriority w:val="99"/>
    <w:rPr>
      <w:sz w:val="18"/>
      <w:szCs w:val="18"/>
    </w:rPr>
  </w:style>
  <w:style w:type="character" w:customStyle="1" w:styleId="42">
    <w:name w:val="批注框文本 Char"/>
    <w:basedOn w:val="26"/>
    <w:link w:val="1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189</Words>
  <Characters>195</Characters>
  <Lines>1</Lines>
  <Paragraphs>1</Paragraphs>
  <TotalTime>11</TotalTime>
  <ScaleCrop>false</ScaleCrop>
  <LinksUpToDate>false</LinksUpToDate>
  <CharactersWithSpaces>201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2019-02-19T03:28:00Z</dcterms:created>
  <dc:creator>Administrator</dc:creator>
  <cp:lastModifiedBy>Administrator</cp:lastModifiedBy>
  <cp:lastPrinted>2020-12-07T11:12:00Z</cp:lastPrinted>
  <dcterms:modified xsi:type="dcterms:W3CDTF">2024-03-29T09:32:10Z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ECC28F5EB0F24CC3AAD7BC276660FC75</vt:lpwstr>
  </property>
</Properties>
</file>