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:rsidR="005D6953" w:rsidRDefault="007D7CA5">
      <w:pPr>
        <w:adjustRightInd w:val="0"/>
        <w:snapToGrid w:val="0"/>
        <w:spacing w:line="579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adjustRightInd w:val="0"/>
        <w:snapToGrid w:val="0"/>
        <w:spacing w:line="579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设备名称：小型垂直电泳转印系统-1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一、设备使用需求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蛋白电泳及转印。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二、主要技术参数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1.基础电泳仪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1.1电源电压范围：10～300V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1.2电源电流范围：4～400mA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1.3电源功率：1～75W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</w:t>
      </w:r>
      <w:r w:rsidR="00594412"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时间设定：1～999min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</w:t>
      </w:r>
      <w:r w:rsidR="00594412">
        <w:rPr>
          <w:rFonts w:ascii="仿宋_GB2312" w:eastAsia="仿宋_GB2312" w:cs="仿宋_GB2312" w:hint="eastAsia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可同时输出≥4组电源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2.小型垂直电泳槽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2.1电泳槽可同时进行4块凝胶电泳，或使用塑料挡板进行1块凝胶电泳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2.2胶面积：8.3</w:t>
      </w:r>
      <w:r w:rsidRPr="00594412">
        <w:rPr>
          <w:rFonts w:ascii="仿宋_GB2312" w:eastAsia="仿宋_GB2312" w:cs="仿宋_GB2312"/>
          <w:sz w:val="28"/>
          <w:szCs w:val="28"/>
        </w:rPr>
        <w:t>×</w:t>
      </w:r>
      <w:r>
        <w:rPr>
          <w:rFonts w:ascii="仿宋_GB2312" w:eastAsia="仿宋_GB2312" w:cs="仿宋_GB2312" w:hint="eastAsia"/>
          <w:sz w:val="28"/>
          <w:szCs w:val="28"/>
        </w:rPr>
        <w:t>7.3cm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2.3凝胶厚度：0.75mm或1mm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2.4  2块胶缓冲液总体积：≥700ml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2.5  4块胶缓冲液总体积：≥1000ml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2.6永久固定的封边垫条保证了胶板正确对位并防止漏胶，灌胶架上的弹簧杠杆可再橡胶衬垫上形成良好的密封性，无需用琼脂糖密封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2.7电泳槽为注塑一次成形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2.8上样引导装置，防止泳道的遗漏上样或重复上样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3.小型湿转印槽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★3.1可同时转印2块7.5×10cm凝胶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3.2电极丝相距4cm，以产生强电场保证有效的蛋白转印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3.3颜色标记的转印夹和电极，确保转印过程凝胶的方向正确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3.4内置冷却装置，快速吸收转移过程中产生的热量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3.5可与小型垂直电泳槽的缓冲液槽和盖兼容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三、配置需求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.</w:t>
      </w:r>
      <w:r>
        <w:rPr>
          <w:rFonts w:ascii="仿宋_GB2312" w:eastAsia="仿宋_GB2312" w:cs="仿宋_GB2312"/>
          <w:sz w:val="28"/>
          <w:szCs w:val="28"/>
        </w:rPr>
        <w:t>基础电泳</w:t>
      </w:r>
      <w:r>
        <w:rPr>
          <w:rFonts w:ascii="仿宋_GB2312" w:eastAsia="仿宋_GB2312" w:cs="仿宋_GB2312" w:hint="eastAsia"/>
          <w:sz w:val="28"/>
          <w:szCs w:val="28"/>
        </w:rPr>
        <w:t>仪</w:t>
      </w:r>
      <w:r>
        <w:rPr>
          <w:rFonts w:ascii="仿宋_GB2312" w:eastAsia="仿宋_GB2312" w:cs="仿宋_GB2312"/>
          <w:sz w:val="28"/>
          <w:szCs w:val="28"/>
        </w:rPr>
        <w:t>电源</w:t>
      </w:r>
      <w:r>
        <w:rPr>
          <w:rFonts w:ascii="仿宋_GB2312" w:eastAsia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cs="仿宋_GB2312"/>
          <w:sz w:val="28"/>
          <w:szCs w:val="28"/>
        </w:rPr>
        <w:t>1台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.</w:t>
      </w:r>
      <w:r>
        <w:rPr>
          <w:rFonts w:ascii="仿宋_GB2312" w:eastAsia="仿宋_GB2312" w:cs="仿宋_GB2312"/>
          <w:sz w:val="28"/>
          <w:szCs w:val="28"/>
        </w:rPr>
        <w:t>小型垂直电泳槽</w:t>
      </w:r>
      <w:r>
        <w:rPr>
          <w:rFonts w:ascii="仿宋_GB2312" w:eastAsia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cs="仿宋_GB2312"/>
          <w:sz w:val="28"/>
          <w:szCs w:val="28"/>
        </w:rPr>
        <w:t>1套</w:t>
      </w:r>
    </w:p>
    <w:p w:rsidR="005D6953" w:rsidRPr="00594412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.</w:t>
      </w:r>
      <w:r>
        <w:rPr>
          <w:rFonts w:ascii="仿宋_GB2312" w:eastAsia="仿宋_GB2312" w:cs="仿宋_GB2312"/>
          <w:sz w:val="28"/>
          <w:szCs w:val="28"/>
        </w:rPr>
        <w:t>小型湿法转印槽</w:t>
      </w:r>
      <w:r>
        <w:rPr>
          <w:rFonts w:ascii="仿宋_GB2312" w:eastAsia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cs="仿宋_GB2312"/>
          <w:sz w:val="28"/>
          <w:szCs w:val="28"/>
        </w:rPr>
        <w:t>1套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四、售后服务需求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b/>
          <w:sz w:val="28"/>
          <w:szCs w:val="28"/>
        </w:rPr>
        <w:sectPr w:rsidR="005D6953">
          <w:headerReference w:type="default" r:id="rId10"/>
          <w:footerReference w:type="default" r:id="rId11"/>
          <w:footerReference w:type="first" r:id="rId12"/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  <w:r>
        <w:rPr>
          <w:rFonts w:ascii="仿宋_GB2312" w:eastAsia="仿宋_GB2312" w:cs="仿宋_GB2312" w:hint="eastAsia"/>
          <w:sz w:val="28"/>
          <w:szCs w:val="28"/>
        </w:rPr>
        <w:t>整机质保1年，故障响应时间≤2h，现场技术培训。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2</w:t>
      </w:r>
    </w:p>
    <w:p w:rsidR="005D6953" w:rsidRDefault="007D7CA5">
      <w:pPr>
        <w:adjustRightInd w:val="0"/>
        <w:snapToGrid w:val="0"/>
        <w:spacing w:line="579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adjustRightInd w:val="0"/>
        <w:snapToGrid w:val="0"/>
        <w:spacing w:line="579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设备名称：蠕动泵-1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一、设备使用需求</w:t>
      </w:r>
    </w:p>
    <w:p w:rsidR="005D6953" w:rsidRDefault="007D7CA5">
      <w:pPr>
        <w:widowControl/>
        <w:adjustRightInd w:val="0"/>
        <w:snapToGrid w:val="0"/>
        <w:spacing w:line="579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用于小鼠肝原代细胞提取过程中，肝脏的灌注；液体培养基过滤时的输送等。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二、主要技术参数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★1.转速范围：0.1～100rpm(正反转可逆)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★2.流量范围0.007～</w:t>
      </w:r>
      <w:r>
        <w:rPr>
          <w:rFonts w:ascii="仿宋_GB2312" w:eastAsia="仿宋_GB2312" w:cs="仿宋_GB2312"/>
          <w:sz w:val="28"/>
          <w:szCs w:val="28"/>
        </w:rPr>
        <w:t>400</w:t>
      </w:r>
      <w:r>
        <w:rPr>
          <w:rFonts w:ascii="仿宋_GB2312" w:eastAsia="仿宋_GB2312" w:cs="仿宋_GB2312" w:hint="eastAsia"/>
          <w:sz w:val="28"/>
          <w:szCs w:val="28"/>
        </w:rPr>
        <w:t>mL/min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★3.转速分辨率≤0.1转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4.具有定时定速功能，可恒速完成液体输送，定时范围：0.1秒～9999分钟，定量范围：0.001毫升～9999升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5.具有掉电记忆功能，及时保存运行参数</w:t>
      </w:r>
    </w:p>
    <w:p w:rsidR="005D6953" w:rsidRDefault="007D7CA5">
      <w:pPr>
        <w:widowControl/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.可根据实验需求，更换多种泵头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.通道数：≥1个</w:t>
      </w:r>
    </w:p>
    <w:p w:rsidR="005D6953" w:rsidRDefault="007D7CA5">
      <w:pPr>
        <w:widowControl/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▲8.</w:t>
      </w:r>
      <w:r>
        <w:rPr>
          <w:rFonts w:ascii="仿宋_GB2312" w:eastAsia="仿宋_GB2312" w:hAnsi="宋体" w:cs="仿宋_GB2312" w:hint="eastAsia"/>
          <w:sz w:val="28"/>
          <w:szCs w:val="28"/>
        </w:rPr>
        <w:t>适用软管(流量范围)：13#(0.007</w:t>
      </w:r>
      <w:r w:rsidR="00594412">
        <w:rPr>
          <w:rFonts w:ascii="仿宋_GB2312" w:eastAsia="仿宋_GB2312" w:cs="仿宋_GB2312" w:hint="eastAsia"/>
          <w:sz w:val="28"/>
          <w:szCs w:val="28"/>
        </w:rPr>
        <w:t>～</w:t>
      </w:r>
      <w:r>
        <w:rPr>
          <w:rFonts w:ascii="仿宋_GB2312" w:eastAsia="仿宋_GB2312" w:hAnsi="宋体" w:cs="仿宋_GB2312" w:hint="eastAsia"/>
          <w:sz w:val="28"/>
          <w:szCs w:val="28"/>
        </w:rPr>
        <w:t>7mL/min)，14#(0.027</w:t>
      </w:r>
      <w:r w:rsidR="00594412" w:rsidRPr="00594412">
        <w:rPr>
          <w:rFonts w:ascii="仿宋_GB2312" w:eastAsia="仿宋_GB2312" w:hAnsi="宋体" w:cs="仿宋_GB2312" w:hint="eastAsia"/>
          <w:sz w:val="28"/>
          <w:szCs w:val="28"/>
        </w:rPr>
        <w:t>～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27mL/min)， </w:t>
      </w:r>
      <w:r w:rsidR="00594412">
        <w:rPr>
          <w:rFonts w:ascii="仿宋_GB2312" w:eastAsia="仿宋_GB2312" w:hAnsi="宋体" w:cs="仿宋_GB2312" w:hint="eastAsia"/>
          <w:sz w:val="28"/>
          <w:szCs w:val="28"/>
        </w:rPr>
        <w:t>16#(0.082</w:t>
      </w:r>
      <w:r w:rsidR="00594412" w:rsidRPr="00594412">
        <w:rPr>
          <w:rFonts w:ascii="仿宋_GB2312" w:eastAsia="仿宋_GB2312" w:hAnsi="宋体" w:cs="仿宋_GB2312" w:hint="eastAsia"/>
          <w:sz w:val="28"/>
          <w:szCs w:val="28"/>
        </w:rPr>
        <w:t>～</w:t>
      </w:r>
      <w:r w:rsidR="00594412">
        <w:rPr>
          <w:rFonts w:ascii="仿宋_GB2312" w:eastAsia="仿宋_GB2312" w:hAnsi="宋体" w:cs="仿宋_GB2312" w:hint="eastAsia"/>
          <w:sz w:val="28"/>
          <w:szCs w:val="28"/>
        </w:rPr>
        <w:t>82mL/min)，</w:t>
      </w:r>
      <w:r>
        <w:rPr>
          <w:rFonts w:ascii="仿宋_GB2312" w:eastAsia="仿宋_GB2312" w:hAnsi="宋体" w:cs="仿宋_GB2312" w:hint="eastAsia"/>
          <w:sz w:val="28"/>
          <w:szCs w:val="28"/>
        </w:rPr>
        <w:t>17#(0.29</w:t>
      </w:r>
      <w:r w:rsidR="00594412" w:rsidRPr="00594412">
        <w:rPr>
          <w:rFonts w:ascii="仿宋_GB2312" w:eastAsia="仿宋_GB2312" w:hAnsi="宋体" w:cs="仿宋_GB2312" w:hint="eastAsia"/>
          <w:sz w:val="28"/>
          <w:szCs w:val="28"/>
        </w:rPr>
        <w:t>～</w:t>
      </w:r>
      <w:r>
        <w:rPr>
          <w:rFonts w:ascii="仿宋_GB2312" w:eastAsia="仿宋_GB2312" w:hAnsi="宋体" w:cs="仿宋_GB2312" w:hint="eastAsia"/>
          <w:sz w:val="28"/>
          <w:szCs w:val="28"/>
        </w:rPr>
        <w:t>290mL/min)，</w:t>
      </w:r>
      <w:r w:rsidR="00594412">
        <w:rPr>
          <w:rFonts w:ascii="仿宋_GB2312" w:eastAsia="仿宋_GB2312" w:hAnsi="宋体" w:cs="仿宋_GB2312" w:hint="eastAsia"/>
          <w:sz w:val="28"/>
          <w:szCs w:val="28"/>
        </w:rPr>
        <w:t>18#(0.38</w:t>
      </w:r>
      <w:r w:rsidR="00594412" w:rsidRPr="00594412">
        <w:rPr>
          <w:rFonts w:ascii="仿宋_GB2312" w:eastAsia="仿宋_GB2312" w:hAnsi="宋体" w:cs="仿宋_GB2312" w:hint="eastAsia"/>
          <w:sz w:val="28"/>
          <w:szCs w:val="28"/>
        </w:rPr>
        <w:t>～</w:t>
      </w:r>
      <w:r>
        <w:rPr>
          <w:rFonts w:ascii="仿宋_GB2312" w:eastAsia="仿宋_GB2312" w:hAnsi="宋体" w:cs="仿宋_GB2312" w:hint="eastAsia"/>
          <w:sz w:val="28"/>
          <w:szCs w:val="28"/>
        </w:rPr>
        <w:t>380mL/min)，19#(0.051</w:t>
      </w:r>
      <w:r w:rsidR="00594412" w:rsidRPr="00594412">
        <w:rPr>
          <w:rFonts w:ascii="仿宋_GB2312" w:eastAsia="仿宋_GB2312" w:hAnsi="宋体" w:cs="仿宋_GB2312" w:hint="eastAsia"/>
          <w:sz w:val="28"/>
          <w:szCs w:val="28"/>
        </w:rPr>
        <w:t>～</w:t>
      </w:r>
      <w:r>
        <w:rPr>
          <w:rFonts w:ascii="仿宋_GB2312" w:eastAsia="仿宋_GB2312" w:hAnsi="宋体" w:cs="仿宋_GB2312" w:hint="eastAsia"/>
          <w:sz w:val="28"/>
          <w:szCs w:val="28"/>
        </w:rPr>
        <w:t>51mL/min)，</w:t>
      </w:r>
      <w:r w:rsidR="00594412"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25#(0.17</w:t>
      </w:r>
      <w:r w:rsidR="00594412" w:rsidRPr="00594412">
        <w:rPr>
          <w:rFonts w:ascii="仿宋_GB2312" w:eastAsia="仿宋_GB2312" w:hAnsi="宋体" w:cs="仿宋_GB2312" w:hint="eastAsia"/>
          <w:sz w:val="28"/>
          <w:szCs w:val="28"/>
        </w:rPr>
        <w:t>～</w:t>
      </w:r>
      <w:r>
        <w:rPr>
          <w:rFonts w:ascii="仿宋_GB2312" w:eastAsia="仿宋_GB2312" w:hAnsi="宋体" w:cs="仿宋_GB2312" w:hint="eastAsia"/>
          <w:sz w:val="28"/>
          <w:szCs w:val="28"/>
        </w:rPr>
        <w:t>170mL/min)；</w:t>
      </w:r>
    </w:p>
    <w:p w:rsidR="005D6953" w:rsidRDefault="007D7CA5">
      <w:pPr>
        <w:widowControl/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9.回吸角度：10°～720°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三、配置需求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主机  1台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电源适配器  1个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3.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泵管  1套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四、售后服务需求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整机质保1年，故障响应时间≤2h，现场技术培训。</w:t>
      </w:r>
    </w:p>
    <w:p w:rsidR="005D6953" w:rsidRDefault="005D6953" w:rsidP="007D7CA5">
      <w:pPr>
        <w:adjustRightInd w:val="0"/>
        <w:snapToGrid w:val="0"/>
        <w:spacing w:line="579" w:lineRule="exact"/>
        <w:ind w:firstLineChars="200" w:firstLine="562"/>
        <w:rPr>
          <w:rFonts w:ascii="仿宋_GB2312" w:eastAsia="仿宋_GB2312" w:cs="仿宋_GB2312"/>
          <w:b/>
          <w:color w:val="FF0000"/>
          <w:kern w:val="0"/>
          <w:sz w:val="28"/>
          <w:szCs w:val="28"/>
        </w:rPr>
        <w:sectPr w:rsidR="005D695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:rsidR="005D6953" w:rsidRDefault="007D7CA5">
      <w:pPr>
        <w:adjustRightInd w:val="0"/>
        <w:snapToGrid w:val="0"/>
        <w:spacing w:line="579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adjustRightInd w:val="0"/>
        <w:snapToGrid w:val="0"/>
        <w:spacing w:line="579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设备名称：电子天平-1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一、设备使用需求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用于小鼠、小鼠饲料、固定试剂等称重。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二、主要技术参数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★1.量程：0～</w:t>
      </w:r>
      <w:r>
        <w:rPr>
          <w:rFonts w:ascii="仿宋_GB2312" w:eastAsia="仿宋_GB2312" w:cs="仿宋_GB2312"/>
          <w:sz w:val="28"/>
          <w:szCs w:val="28"/>
        </w:rPr>
        <w:t>300</w:t>
      </w:r>
      <w:r>
        <w:rPr>
          <w:rFonts w:ascii="仿宋_GB2312" w:eastAsia="仿宋_GB2312" w:cs="仿宋_GB2312" w:hint="eastAsia"/>
          <w:sz w:val="28"/>
          <w:szCs w:val="28"/>
        </w:rPr>
        <w:t>g，精度：≤0.01g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2.秤盘尺寸：Φ1</w:t>
      </w:r>
      <w:r>
        <w:rPr>
          <w:rFonts w:ascii="仿宋_GB2312" w:eastAsia="仿宋_GB2312" w:cs="仿宋_GB2312"/>
          <w:sz w:val="28"/>
          <w:szCs w:val="28"/>
        </w:rPr>
        <w:t>00</w:t>
      </w:r>
      <w:r>
        <w:rPr>
          <w:rFonts w:ascii="仿宋_GB2312" w:eastAsia="仿宋_GB2312" w:cs="仿宋_GB2312" w:hint="eastAsia"/>
          <w:sz w:val="28"/>
          <w:szCs w:val="28"/>
        </w:rPr>
        <w:t>～130mm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3.响应时间：</w:t>
      </w:r>
      <w:bookmarkStart w:id="1" w:name="_Hlk85103285"/>
      <w:r>
        <w:rPr>
          <w:rFonts w:ascii="仿宋_GB2312" w:eastAsia="仿宋_GB2312" w:cs="仿宋_GB2312" w:hint="eastAsia"/>
          <w:sz w:val="28"/>
          <w:szCs w:val="28"/>
        </w:rPr>
        <w:t>≤</w:t>
      </w:r>
      <w:bookmarkEnd w:id="1"/>
      <w:r>
        <w:rPr>
          <w:rFonts w:ascii="仿宋_GB2312" w:eastAsia="仿宋_GB2312" w:cs="仿宋_GB2312" w:hint="eastAsia"/>
          <w:sz w:val="28"/>
          <w:szCs w:val="28"/>
        </w:rPr>
        <w:t>3秒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▲4.重复性误差：≤0.02g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▲5.线性误差：≤0.03g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6.具有调零、扣除皮重等功能，有LED数码荧光显示，不锈钢秤盘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三、配置需求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1.主机  1台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2.电源适配器   1个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3.防风罩   1个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四、售后服务需求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整机质保1年，故障响应时间≤2h，现场技术培训。</w:t>
      </w:r>
    </w:p>
    <w:p w:rsidR="005D6953" w:rsidRDefault="005D6953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5D695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4</w:t>
      </w:r>
    </w:p>
    <w:p w:rsidR="005D6953" w:rsidRDefault="007D7CA5">
      <w:pPr>
        <w:adjustRightInd w:val="0"/>
        <w:snapToGrid w:val="0"/>
        <w:spacing w:line="579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设备名称：旋涡混合器-1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一、设备使用需求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用于离心管中试剂、液体样本混匀、重悬等。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二、主要技术参数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★1.转速：2</w:t>
      </w:r>
      <w:r>
        <w:rPr>
          <w:rFonts w:ascii="仿宋_GB2312" w:eastAsia="仿宋_GB2312" w:cs="仿宋_GB2312"/>
          <w:sz w:val="28"/>
          <w:szCs w:val="28"/>
        </w:rPr>
        <w:t>500</w:t>
      </w:r>
      <w:r>
        <w:rPr>
          <w:rFonts w:ascii="仿宋_GB2312" w:eastAsia="仿宋_GB2312" w:cs="仿宋_GB2312" w:hint="eastAsia"/>
          <w:sz w:val="28"/>
          <w:szCs w:val="28"/>
        </w:rPr>
        <w:t>～</w:t>
      </w:r>
      <w:r>
        <w:rPr>
          <w:rFonts w:ascii="仿宋_GB2312" w:eastAsia="仿宋_GB2312" w:cs="仿宋_GB2312"/>
          <w:sz w:val="28"/>
          <w:szCs w:val="28"/>
        </w:rPr>
        <w:t>3000</w:t>
      </w:r>
      <w:r>
        <w:rPr>
          <w:rFonts w:ascii="仿宋_GB2312" w:eastAsia="仿宋_GB2312" w:cs="仿宋_GB2312" w:hint="eastAsia"/>
          <w:sz w:val="28"/>
          <w:szCs w:val="28"/>
        </w:rPr>
        <w:t>转/分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▲2.工作方式：连续、点触、可调速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3.开关：三点开关可选择自动或点振混合方式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4.电源：220V；功率：50W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5.工作台：平板型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6.控制形式：光控感应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7.感应距离：30cm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三、配置需求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主机   1台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电源适配器   1个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四、售后服务需求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整机质保1年，故障响应时间≤2h，现场技术培训。</w:t>
      </w:r>
    </w:p>
    <w:p w:rsidR="005D6953" w:rsidRDefault="005D6953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5D695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5</w:t>
      </w:r>
    </w:p>
    <w:p w:rsidR="005D6953" w:rsidRDefault="007D7CA5">
      <w:pPr>
        <w:adjustRightInd w:val="0"/>
        <w:snapToGrid w:val="0"/>
        <w:spacing w:line="579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adjustRightInd w:val="0"/>
        <w:snapToGrid w:val="0"/>
        <w:spacing w:line="579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设备名称：微孔板混匀仪-1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一、设备使用需求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用于酶联免疫吸附、P</w:t>
      </w:r>
      <w:r>
        <w:rPr>
          <w:rFonts w:ascii="仿宋_GB2312" w:eastAsia="仿宋_GB2312" w:cs="仿宋_GB2312"/>
          <w:sz w:val="28"/>
          <w:szCs w:val="28"/>
        </w:rPr>
        <w:t>CR</w:t>
      </w:r>
      <w:r>
        <w:rPr>
          <w:rFonts w:ascii="仿宋_GB2312" w:eastAsia="仿宋_GB2312" w:cs="仿宋_GB2312" w:hint="eastAsia"/>
          <w:sz w:val="28"/>
          <w:szCs w:val="28"/>
        </w:rPr>
        <w:t>、荧光素酶报告基因检测等实验时，在9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孔板等微孔板中所加样本或试剂的混匀。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二、主要技术参数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  <w:vertAlign w:val="superscript"/>
        </w:rPr>
      </w:pPr>
      <w:r>
        <w:rPr>
          <w:rFonts w:ascii="仿宋_GB2312" w:eastAsia="仿宋_GB2312" w:cs="仿宋_GB2312" w:hint="eastAsia"/>
          <w:sz w:val="28"/>
          <w:szCs w:val="28"/>
        </w:rPr>
        <w:t>★1.振荡半径</w:t>
      </w:r>
      <w:r w:rsidR="00594412">
        <w:rPr>
          <w:rFonts w:ascii="仿宋_GB2312" w:eastAsia="仿宋_GB2312" w:hAnsi="仿宋_GB2312" w:cs="仿宋_GB2312" w:hint="eastAsia"/>
          <w:sz w:val="28"/>
          <w:szCs w:val="28"/>
        </w:rPr>
        <w:t>≤</w:t>
      </w:r>
      <w:r>
        <w:rPr>
          <w:rFonts w:ascii="仿宋_GB2312" w:eastAsia="仿宋_GB2312" w:cs="仿宋_GB2312"/>
          <w:sz w:val="28"/>
          <w:szCs w:val="28"/>
        </w:rPr>
        <w:t>3mm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★2.振荡频率：0～</w:t>
      </w:r>
      <w:r>
        <w:rPr>
          <w:rFonts w:ascii="仿宋_GB2312" w:eastAsia="仿宋_GB2312" w:cs="仿宋_GB2312"/>
          <w:sz w:val="28"/>
          <w:szCs w:val="28"/>
        </w:rPr>
        <w:t>1500</w:t>
      </w:r>
      <w:r>
        <w:rPr>
          <w:rFonts w:ascii="仿宋_GB2312" w:eastAsia="仿宋_GB2312" w:cs="仿宋_GB2312" w:hint="eastAsia"/>
          <w:sz w:val="28"/>
          <w:szCs w:val="28"/>
        </w:rPr>
        <w:t>转/分钟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▲3.适用范围：可放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块6孔板、12孔板、24孔板、48孔板、9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孔板、或3</w:t>
      </w:r>
      <w:r>
        <w:rPr>
          <w:rFonts w:ascii="仿宋_GB2312" w:eastAsia="仿宋_GB2312" w:cs="仿宋_GB2312"/>
          <w:sz w:val="28"/>
          <w:szCs w:val="28"/>
        </w:rPr>
        <w:t>84</w:t>
      </w:r>
      <w:r>
        <w:rPr>
          <w:rFonts w:ascii="仿宋_GB2312" w:eastAsia="仿宋_GB2312" w:cs="仿宋_GB2312" w:hint="eastAsia"/>
          <w:sz w:val="28"/>
          <w:szCs w:val="28"/>
        </w:rPr>
        <w:t>孔板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.速度：无级调速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.功率：</w:t>
      </w:r>
      <w:r>
        <w:rPr>
          <w:rFonts w:ascii="仿宋_GB2312" w:eastAsia="仿宋_GB2312" w:cs="仿宋_GB2312"/>
          <w:sz w:val="28"/>
          <w:szCs w:val="28"/>
        </w:rPr>
        <w:t>20W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.电压：</w:t>
      </w:r>
      <w:r>
        <w:rPr>
          <w:rFonts w:ascii="仿宋_GB2312" w:eastAsia="仿宋_GB2312" w:cs="仿宋_GB2312"/>
          <w:sz w:val="28"/>
          <w:szCs w:val="28"/>
        </w:rPr>
        <w:t>80/240V 50/60HZ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三、配置需求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主机  1台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四、售后服务需求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整机质保1年，故障响应时间≤2h，现场技术培训。</w:t>
      </w:r>
    </w:p>
    <w:p w:rsidR="005D6953" w:rsidRDefault="005D6953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5D695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6</w:t>
      </w:r>
    </w:p>
    <w:p w:rsidR="005D6953" w:rsidRDefault="007D7CA5">
      <w:pPr>
        <w:adjustRightInd w:val="0"/>
        <w:snapToGrid w:val="0"/>
        <w:spacing w:line="579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adjustRightInd w:val="0"/>
        <w:snapToGrid w:val="0"/>
        <w:spacing w:line="579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设备名称：医用层析柜-1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一、设备使用需求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主要用于分子生物学等相关实验。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二、主要技术参数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★1.容积≥890L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▲2.内置电源：≥2个五孔插座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▲3.温度范围：2℃～8℃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4.LED显示器显示温度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5.立式，风冷冷却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6.自动除霜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7.具备温度、断电等报警功能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三、配置需求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1.主机  1台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四、售后服务需求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b/>
          <w:sz w:val="24"/>
          <w:szCs w:val="24"/>
        </w:rPr>
      </w:pPr>
      <w:r>
        <w:rPr>
          <w:rFonts w:ascii="仿宋_GB2312" w:eastAsia="仿宋_GB2312" w:cs="仿宋_GB2312" w:hint="eastAsia"/>
          <w:sz w:val="28"/>
          <w:szCs w:val="28"/>
        </w:rPr>
        <w:t>整机质保1年，故障响应时间≤2h，现场技术培训。</w:t>
      </w:r>
      <w:r>
        <w:rPr>
          <w:rFonts w:hint="eastAsia"/>
          <w:sz w:val="24"/>
          <w:szCs w:val="24"/>
        </w:rPr>
        <w:t xml:space="preserve"> </w:t>
      </w:r>
    </w:p>
    <w:p w:rsidR="005D6953" w:rsidRDefault="005D6953" w:rsidP="007D7CA5">
      <w:pPr>
        <w:adjustRightInd w:val="0"/>
        <w:snapToGrid w:val="0"/>
        <w:spacing w:line="579" w:lineRule="exact"/>
        <w:ind w:firstLineChars="200" w:firstLine="562"/>
        <w:rPr>
          <w:rFonts w:ascii="仿宋_GB2312" w:eastAsia="仿宋_GB2312" w:cs="仿宋_GB2312"/>
          <w:b/>
          <w:sz w:val="28"/>
          <w:szCs w:val="28"/>
        </w:rPr>
        <w:sectPr w:rsidR="005D695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7</w:t>
      </w:r>
    </w:p>
    <w:p w:rsidR="005D6953" w:rsidRDefault="007D7CA5">
      <w:pPr>
        <w:adjustRightInd w:val="0"/>
        <w:snapToGrid w:val="0"/>
        <w:spacing w:line="579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adjustRightInd w:val="0"/>
        <w:snapToGrid w:val="0"/>
        <w:spacing w:line="579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设备名称：往复式摇床-2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一、设备使用需求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主要用于分子生物学等相关实验。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二、主要技术参数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★1.转速：50～250rpm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▲2.定时范围：1 min～99h59min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▲3.最大承重：≥2.5kg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4.旋幅：回转半径15mm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5.LED显示转速、时间和工作状态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6.可更换不同容器的托盘，备有各类托盘可供选配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三、配置需求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1.主机  1台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2.托盘  1个</w:t>
      </w:r>
    </w:p>
    <w:p w:rsidR="005D6953" w:rsidRDefault="007D7CA5">
      <w:pPr>
        <w:adjustRightInd w:val="0"/>
        <w:snapToGrid w:val="0"/>
        <w:spacing w:line="579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四、售后服务需求</w:t>
      </w:r>
    </w:p>
    <w:p w:rsidR="005D6953" w:rsidRDefault="007D7CA5">
      <w:pPr>
        <w:adjustRightInd w:val="0"/>
        <w:snapToGrid w:val="0"/>
        <w:spacing w:line="579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整机质保1年，故障响应时间≤2h，现场技术培训。</w:t>
      </w:r>
    </w:p>
    <w:p w:rsidR="005D6953" w:rsidRDefault="005D6953" w:rsidP="007D7CA5">
      <w:pPr>
        <w:adjustRightInd w:val="0"/>
        <w:snapToGrid w:val="0"/>
        <w:spacing w:line="579" w:lineRule="exact"/>
        <w:ind w:firstLineChars="200" w:firstLine="562"/>
        <w:rPr>
          <w:rFonts w:ascii="仿宋_GB2312" w:eastAsia="仿宋_GB2312" w:cs="仿宋_GB2312"/>
          <w:b/>
          <w:sz w:val="28"/>
          <w:szCs w:val="28"/>
        </w:rPr>
        <w:sectPr w:rsidR="005D695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</w:p>
    <w:p w:rsidR="005D6953" w:rsidRDefault="007D7CA5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8</w:t>
      </w:r>
    </w:p>
    <w:p w:rsidR="005D6953" w:rsidRDefault="007D7CA5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设备名称：恒温水浴箱-1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用于水浴恒温加热等温度实验。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1.数字控制、显示温度和时间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2.温度范围：室温5℃～99℃</w:t>
      </w:r>
    </w:p>
    <w:p w:rsidR="005D6953" w:rsidRDefault="00F15C40" w:rsidP="00F15C4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F15C40">
        <w:rPr>
          <w:rFonts w:ascii="仿宋_GB2312" w:eastAsia="仿宋_GB2312" w:cs="仿宋_GB2312" w:hint="eastAsia"/>
          <w:kern w:val="0"/>
          <w:sz w:val="28"/>
          <w:szCs w:val="28"/>
        </w:rPr>
        <w:t>▲</w:t>
      </w:r>
      <w:r w:rsidR="007D7CA5" w:rsidRPr="00F15C40">
        <w:rPr>
          <w:rFonts w:ascii="仿宋_GB2312" w:eastAsia="仿宋_GB2312" w:cs="仿宋_GB2312" w:hint="eastAsia"/>
          <w:kern w:val="0"/>
          <w:sz w:val="28"/>
          <w:szCs w:val="28"/>
        </w:rPr>
        <w:t>3.</w:t>
      </w:r>
      <w:r w:rsidR="007D7CA5" w:rsidRPr="00387D50">
        <w:rPr>
          <w:rFonts w:ascii="仿宋_GB2312" w:eastAsia="仿宋_GB2312" w:cs="仿宋_GB2312" w:hint="eastAsia"/>
          <w:kern w:val="0"/>
          <w:sz w:val="28"/>
          <w:szCs w:val="28"/>
        </w:rPr>
        <w:t>温度增量：0.1℃；温度精度：±0</w:t>
      </w:r>
      <w:r w:rsidR="007D7CA5">
        <w:rPr>
          <w:rFonts w:ascii="仿宋_GB2312" w:eastAsia="仿宋_GB2312" w:cs="仿宋_GB2312" w:hint="eastAsia"/>
          <w:kern w:val="0"/>
          <w:sz w:val="28"/>
          <w:szCs w:val="28"/>
        </w:rPr>
        <w:t>.1℃；温度一致性：±0.1℃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★4.容量：≥20L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5.水量不足或者温度超过设定限值，自动切断加热保护，自动切断加热保护后，用户可以通过水浴箱背面按钮恢复加热功能；具有排水阀，用来排水；可选恒定水位装置、尖形顶盖(塑料或者不锈钢材质)、用于蒸发实验用的水平递减圆孔顶盖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▲6.内腔与外壳均采用AISI304不锈钢材质；加热元件嵌入耐热镍铬铁合金和耐腐蚀不锈钢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▲7.可选USB数据接口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1.恒温水浴箱    1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2.塑料盖子     1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5D695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整机质保1年，故障响应时间≤2h，现场技术培训。</w:t>
      </w:r>
    </w:p>
    <w:p w:rsidR="005D6953" w:rsidRDefault="007D7CA5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9</w:t>
      </w:r>
    </w:p>
    <w:p w:rsidR="005D6953" w:rsidRDefault="007D7CA5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设备名称：恒温水浴箱-1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用于水浴恒温加热温度实验。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1.数字控制、显示温度和时间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2.温度范围：室温5℃～99℃</w:t>
      </w:r>
    </w:p>
    <w:p w:rsidR="005D6953" w:rsidRDefault="00F15C40" w:rsidP="00F15C40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F15C40">
        <w:rPr>
          <w:rFonts w:ascii="仿宋_GB2312" w:eastAsia="仿宋_GB2312" w:cs="仿宋_GB2312" w:hint="eastAsia"/>
          <w:kern w:val="0"/>
          <w:sz w:val="28"/>
          <w:szCs w:val="28"/>
        </w:rPr>
        <w:t>▲</w:t>
      </w:r>
      <w:r w:rsidR="007D7CA5">
        <w:rPr>
          <w:rFonts w:ascii="仿宋_GB2312" w:eastAsia="仿宋_GB2312" w:cs="仿宋_GB2312" w:hint="eastAsia"/>
          <w:kern w:val="0"/>
          <w:sz w:val="28"/>
          <w:szCs w:val="28"/>
        </w:rPr>
        <w:t>3.温度增量：0.1℃；温度精度：±0.1℃；温度一致性：±0.1℃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★4.容量：≥12L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5.水量不足或者温度超过设定限值，自动切断加热保护，自动切断加热保护后，用户可以通过水浴箱背面按钮恢复加热功能；具有排水阀，用来排水；可选恒定水位装置、尖形顶盖(塑料或者不锈钢材质)、用于蒸发实验用的水平递减圆孔顶盖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▲6.内腔与外壳均采用AISI304不锈钢材质；加热元件嵌入耐热镍铬铁合金和耐腐蚀不锈钢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▲7.可选USB数据接口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1.恒温水浴箱    1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2.塑料盖子     1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5D695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整机质保1年，故障响应时间≤2h，现场技术培训。</w:t>
      </w:r>
    </w:p>
    <w:p w:rsidR="005D6953" w:rsidRDefault="007D7CA5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附件1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0</w:t>
      </w:r>
    </w:p>
    <w:p w:rsidR="005D6953" w:rsidRDefault="007D7CA5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设备名称：手动分液器-2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用于实验室标本分液。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▲1.分液范围：1μL～10 mL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2.内置计步器功能，实现无压力工作：即使被干扰，分液步骤仍可正常继续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3.脱卸杆位于中部:可单手将排空的分液管轻而易举地脱卸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4.适用于冗长连续分液，如离心管或微孔板加样，分装试剂，一次吸液，多次放液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★5.防污染分装放射性或腐蚀性的有毒液体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6.易挥发(例如乙醇)或黏稠(例如甘油)液体的精准移液</w:t>
      </w:r>
    </w:p>
    <w:p w:rsidR="00133757" w:rsidRDefault="00133757" w:rsidP="00133757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133757">
        <w:rPr>
          <w:rFonts w:ascii="仿宋_GB2312" w:eastAsia="仿宋_GB2312" w:cs="仿宋_GB2312" w:hint="eastAsia"/>
          <w:kern w:val="0"/>
          <w:sz w:val="28"/>
          <w:szCs w:val="28"/>
        </w:rPr>
        <w:t>▲7.每吸样一次，可连续分液100次，每次分液范围最小1μL/次，最大10 mL/次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1.手动分液器  1台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  <w:sectPr w:rsidR="005D6953">
          <w:pgSz w:w="11906" w:h="16838"/>
          <w:pgMar w:top="2098" w:right="1474" w:bottom="1985" w:left="1588" w:header="1701" w:footer="1435" w:gutter="0"/>
          <w:cols w:space="425"/>
          <w:docGrid w:type="linesAndChars" w:linePitch="312"/>
        </w:sect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整机质保1年，故障响应时间≤2h，现场技术培训。</w:t>
      </w:r>
    </w:p>
    <w:p w:rsidR="005D6953" w:rsidRDefault="007D7CA5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附件1</w:t>
      </w:r>
      <w:r w:rsidR="003162D8"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:rsidR="005D6953" w:rsidRDefault="007D7CA5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技术参数确认表</w:t>
      </w:r>
    </w:p>
    <w:p w:rsidR="005D6953" w:rsidRDefault="007D7CA5">
      <w:pPr>
        <w:spacing w:line="480" w:lineRule="exac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设备名称：石英全自动双重蒸馏水器-1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用于实验室拾取无菌无热超纯水使用。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二、主要技术参数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▲1.水源：市政自来水，进水压力 0.15～0.4MPa，温度 5～40℃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▲2.产水水质：一次蒸馏水或二次蒸馏水，一次蒸馏水相当于国标的3～4 级水，二次蒸馏水相当于国标的 2～3 级水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3.采用优质 GG-17石英玻璃制成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4.工作方式：全自动，设断水、过热保护功能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5.电控方式：采用大功率继电器，实现高低压分离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★6.产水量：≥1.6L/H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7.阳离子含量：&lt; 工作水源阳离子含量的 0.25%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8.阴离子含量：&lt; 工作水源阴离子含量的 0.25%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9.有机物含量：&lt; 工作水源有机物含量的 15%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10.SiO</w:t>
      </w:r>
      <w:r>
        <w:rPr>
          <w:rFonts w:ascii="仿宋_GB2312" w:eastAsia="仿宋_GB2312" w:cs="仿宋_GB2312" w:hint="eastAsia"/>
          <w:kern w:val="0"/>
          <w:sz w:val="28"/>
          <w:szCs w:val="28"/>
          <w:vertAlign w:val="subscript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:&lt; 工作水源 SiO</w:t>
      </w:r>
      <w:r>
        <w:rPr>
          <w:rFonts w:ascii="仿宋_GB2312" w:eastAsia="仿宋_GB2312" w:cs="仿宋_GB2312" w:hint="eastAsia"/>
          <w:kern w:val="0"/>
          <w:sz w:val="28"/>
          <w:szCs w:val="28"/>
          <w:vertAlign w:val="subscript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含量的0.25%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11.电导率：&lt;工作水源电导率的0.5%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三、单台配置需求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1.机座   1个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2.弧形架      4个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3.托架       1个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4.横烧瓶     2个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5.冷凝管     2个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6.加热管     2个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7.液位器     1个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8.橡胶管     3米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9.水位器     1个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10.弹簧       1个</w:t>
      </w:r>
    </w:p>
    <w:p w:rsidR="005D6953" w:rsidRDefault="007D7CA5">
      <w:pPr>
        <w:spacing w:line="480" w:lineRule="exact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5D6953" w:rsidRDefault="007D7CA5">
      <w:pPr>
        <w:spacing w:line="48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整机质保1年，故障响应时间≤2h，现场技术培训。</w:t>
      </w:r>
    </w:p>
    <w:sectPr w:rsidR="005D6953">
      <w:pgSz w:w="11906" w:h="16838"/>
      <w:pgMar w:top="2098" w:right="1474" w:bottom="1985" w:left="1588" w:header="1701" w:footer="1435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E7" w:rsidRDefault="000449E7">
      <w:r>
        <w:separator/>
      </w:r>
    </w:p>
  </w:endnote>
  <w:endnote w:type="continuationSeparator" w:id="0">
    <w:p w:rsidR="000449E7" w:rsidRDefault="0004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00"/>
    <w:family w:val="swiss"/>
    <w:pitch w:val="default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A9" w:rsidRDefault="00C93EA9">
    <w:pPr>
      <w:pStyle w:val="aa"/>
      <w:framePr w:wrap="around" w:vAnchor="text" w:hAnchor="margin" w:xAlign="outside" w:y="1"/>
      <w:rPr>
        <w:rStyle w:val="ad"/>
        <w:rFonts w:ascii="宋体" w:cs="宋体"/>
        <w:sz w:val="28"/>
        <w:szCs w:val="28"/>
      </w:rPr>
    </w:pPr>
    <w:r>
      <w:rPr>
        <w:rStyle w:val="ad"/>
        <w:rFonts w:ascii="宋体" w:hAnsi="宋体" w:cs="宋体"/>
        <w:sz w:val="28"/>
        <w:szCs w:val="28"/>
      </w:rPr>
      <w:t>—</w:t>
    </w:r>
    <w:r>
      <w:rPr>
        <w:rStyle w:val="ad"/>
        <w:rFonts w:ascii="宋体" w:hAnsi="宋体" w:cs="宋体"/>
        <w:sz w:val="28"/>
        <w:szCs w:val="28"/>
      </w:rPr>
      <w:fldChar w:fldCharType="begin"/>
    </w:r>
    <w:r>
      <w:rPr>
        <w:rStyle w:val="ad"/>
        <w:rFonts w:ascii="宋体" w:hAnsi="宋体" w:cs="宋体"/>
        <w:sz w:val="28"/>
        <w:szCs w:val="28"/>
      </w:rPr>
      <w:instrText xml:space="preserve">PAGE  </w:instrText>
    </w:r>
    <w:r>
      <w:rPr>
        <w:rStyle w:val="ad"/>
        <w:rFonts w:ascii="宋体" w:hAnsi="宋体" w:cs="宋体"/>
        <w:sz w:val="28"/>
        <w:szCs w:val="28"/>
      </w:rPr>
      <w:fldChar w:fldCharType="separate"/>
    </w:r>
    <w:r w:rsidR="008A1C63">
      <w:rPr>
        <w:rStyle w:val="ad"/>
        <w:rFonts w:ascii="宋体" w:hAnsi="宋体" w:cs="宋体"/>
        <w:noProof/>
        <w:sz w:val="28"/>
        <w:szCs w:val="28"/>
      </w:rPr>
      <w:t>2</w:t>
    </w:r>
    <w:r>
      <w:rPr>
        <w:rStyle w:val="ad"/>
        <w:rFonts w:ascii="宋体" w:hAnsi="宋体" w:cs="宋体"/>
        <w:sz w:val="28"/>
        <w:szCs w:val="28"/>
      </w:rPr>
      <w:fldChar w:fldCharType="end"/>
    </w:r>
    <w:r>
      <w:rPr>
        <w:rStyle w:val="ad"/>
        <w:rFonts w:ascii="宋体" w:hAnsi="宋体" w:cs="宋体"/>
        <w:sz w:val="28"/>
        <w:szCs w:val="28"/>
      </w:rPr>
      <w:t>—</w:t>
    </w:r>
  </w:p>
  <w:p w:rsidR="00C93EA9" w:rsidRDefault="00C93EA9">
    <w:pPr>
      <w:pStyle w:val="aa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A9" w:rsidRDefault="00C93EA9">
    <w:pPr>
      <w:pStyle w:val="aa"/>
      <w:rPr>
        <w:rStyle w:val="ad"/>
        <w:rFonts w:ascii="宋体" w:cs="宋体"/>
        <w:sz w:val="28"/>
        <w:szCs w:val="28"/>
      </w:rPr>
    </w:pPr>
    <w:r>
      <w:rPr>
        <w:rStyle w:val="ad"/>
        <w:rFonts w:ascii="宋体" w:hAnsi="宋体" w:cs="宋体"/>
        <w:sz w:val="28"/>
        <w:szCs w:val="28"/>
      </w:rPr>
      <w:t>—</w:t>
    </w:r>
    <w:r>
      <w:rPr>
        <w:rStyle w:val="ad"/>
        <w:rFonts w:ascii="宋体" w:hAnsi="宋体" w:cs="宋体"/>
        <w:sz w:val="28"/>
        <w:szCs w:val="28"/>
      </w:rPr>
      <w:fldChar w:fldCharType="begin"/>
    </w:r>
    <w:r>
      <w:rPr>
        <w:rStyle w:val="ad"/>
        <w:rFonts w:ascii="宋体" w:hAnsi="宋体" w:cs="宋体"/>
        <w:sz w:val="28"/>
        <w:szCs w:val="28"/>
      </w:rPr>
      <w:instrText xml:space="preserve">PAGE  </w:instrText>
    </w:r>
    <w:r>
      <w:rPr>
        <w:rStyle w:val="ad"/>
        <w:rFonts w:ascii="宋体" w:hAnsi="宋体" w:cs="宋体"/>
        <w:sz w:val="28"/>
        <w:szCs w:val="28"/>
      </w:rPr>
      <w:fldChar w:fldCharType="separate"/>
    </w:r>
    <w:r>
      <w:rPr>
        <w:rStyle w:val="ad"/>
        <w:rFonts w:ascii="宋体" w:hAnsi="宋体" w:cs="宋体"/>
        <w:sz w:val="28"/>
        <w:szCs w:val="28"/>
      </w:rPr>
      <w:t>8</w:t>
    </w:r>
    <w:r>
      <w:rPr>
        <w:rStyle w:val="ad"/>
        <w:rFonts w:ascii="宋体" w:hAnsi="宋体" w:cs="宋体"/>
        <w:sz w:val="28"/>
        <w:szCs w:val="28"/>
      </w:rPr>
      <w:fldChar w:fldCharType="end"/>
    </w:r>
    <w:r>
      <w:rPr>
        <w:rStyle w:val="ad"/>
        <w:rFonts w:ascii="宋体" w:hAnsi="宋体" w:cs="宋体"/>
        <w:sz w:val="28"/>
        <w:szCs w:val="28"/>
      </w:rPr>
      <w:t>—</w:t>
    </w:r>
  </w:p>
  <w:p w:rsidR="00C93EA9" w:rsidRDefault="00C93EA9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E7" w:rsidRDefault="000449E7">
      <w:r>
        <w:separator/>
      </w:r>
    </w:p>
  </w:footnote>
  <w:footnote w:type="continuationSeparator" w:id="0">
    <w:p w:rsidR="000449E7" w:rsidRDefault="00044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A9" w:rsidRDefault="00C93EA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AEA2F"/>
    <w:multiLevelType w:val="multilevel"/>
    <w:tmpl w:val="CF7AEA2F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1B"/>
    <w:multiLevelType w:val="multilevel"/>
    <w:tmpl w:val="0000001B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47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2"/>
    <w:rsid w:val="00001529"/>
    <w:rsid w:val="000319FF"/>
    <w:rsid w:val="00037A88"/>
    <w:rsid w:val="000449E7"/>
    <w:rsid w:val="000617EA"/>
    <w:rsid w:val="00061C12"/>
    <w:rsid w:val="0007247C"/>
    <w:rsid w:val="0007552F"/>
    <w:rsid w:val="00084998"/>
    <w:rsid w:val="000B1E35"/>
    <w:rsid w:val="000B3769"/>
    <w:rsid w:val="000C284B"/>
    <w:rsid w:val="000F7712"/>
    <w:rsid w:val="001043FB"/>
    <w:rsid w:val="0012153F"/>
    <w:rsid w:val="00133757"/>
    <w:rsid w:val="001358D8"/>
    <w:rsid w:val="00136E4E"/>
    <w:rsid w:val="00137B55"/>
    <w:rsid w:val="00141E1D"/>
    <w:rsid w:val="0014284F"/>
    <w:rsid w:val="0014594A"/>
    <w:rsid w:val="00150769"/>
    <w:rsid w:val="00153678"/>
    <w:rsid w:val="001572E2"/>
    <w:rsid w:val="00171991"/>
    <w:rsid w:val="00176932"/>
    <w:rsid w:val="0018569B"/>
    <w:rsid w:val="00186D22"/>
    <w:rsid w:val="001B0252"/>
    <w:rsid w:val="001C5BCC"/>
    <w:rsid w:val="002027D6"/>
    <w:rsid w:val="00217A6E"/>
    <w:rsid w:val="00221100"/>
    <w:rsid w:val="00235D1F"/>
    <w:rsid w:val="002457DE"/>
    <w:rsid w:val="00250729"/>
    <w:rsid w:val="00252603"/>
    <w:rsid w:val="002764EF"/>
    <w:rsid w:val="002A387A"/>
    <w:rsid w:val="002D1E76"/>
    <w:rsid w:val="002D20AD"/>
    <w:rsid w:val="002D2447"/>
    <w:rsid w:val="002F132E"/>
    <w:rsid w:val="002F2DE2"/>
    <w:rsid w:val="00305DCE"/>
    <w:rsid w:val="00310A9C"/>
    <w:rsid w:val="00315FF2"/>
    <w:rsid w:val="003162D8"/>
    <w:rsid w:val="00316924"/>
    <w:rsid w:val="00341FF3"/>
    <w:rsid w:val="00344178"/>
    <w:rsid w:val="00355AAC"/>
    <w:rsid w:val="003577E8"/>
    <w:rsid w:val="003652B4"/>
    <w:rsid w:val="00372461"/>
    <w:rsid w:val="003734A2"/>
    <w:rsid w:val="00386A55"/>
    <w:rsid w:val="00387D50"/>
    <w:rsid w:val="003A1FCF"/>
    <w:rsid w:val="003A44E7"/>
    <w:rsid w:val="003B284A"/>
    <w:rsid w:val="003B775B"/>
    <w:rsid w:val="003C3BAE"/>
    <w:rsid w:val="003F5ED9"/>
    <w:rsid w:val="00433678"/>
    <w:rsid w:val="00436C4C"/>
    <w:rsid w:val="0045132B"/>
    <w:rsid w:val="004611D6"/>
    <w:rsid w:val="00463B53"/>
    <w:rsid w:val="00467CEC"/>
    <w:rsid w:val="0047550C"/>
    <w:rsid w:val="00486983"/>
    <w:rsid w:val="004A4D16"/>
    <w:rsid w:val="004C0F65"/>
    <w:rsid w:val="004C5AC7"/>
    <w:rsid w:val="004D1016"/>
    <w:rsid w:val="004F737A"/>
    <w:rsid w:val="00503925"/>
    <w:rsid w:val="00504058"/>
    <w:rsid w:val="0051020E"/>
    <w:rsid w:val="00516821"/>
    <w:rsid w:val="00544576"/>
    <w:rsid w:val="0055029D"/>
    <w:rsid w:val="00552DAB"/>
    <w:rsid w:val="00557C65"/>
    <w:rsid w:val="00560537"/>
    <w:rsid w:val="00575192"/>
    <w:rsid w:val="0058055B"/>
    <w:rsid w:val="00584DF5"/>
    <w:rsid w:val="00593C44"/>
    <w:rsid w:val="00594412"/>
    <w:rsid w:val="005A3358"/>
    <w:rsid w:val="005A4257"/>
    <w:rsid w:val="005C692E"/>
    <w:rsid w:val="005C7E70"/>
    <w:rsid w:val="005D6953"/>
    <w:rsid w:val="005E1B37"/>
    <w:rsid w:val="006004D5"/>
    <w:rsid w:val="00611379"/>
    <w:rsid w:val="0063241A"/>
    <w:rsid w:val="006358B7"/>
    <w:rsid w:val="00640156"/>
    <w:rsid w:val="0065503E"/>
    <w:rsid w:val="00655C6C"/>
    <w:rsid w:val="00667A07"/>
    <w:rsid w:val="00680403"/>
    <w:rsid w:val="00687C0F"/>
    <w:rsid w:val="006B1620"/>
    <w:rsid w:val="006C0A0F"/>
    <w:rsid w:val="006C0CAF"/>
    <w:rsid w:val="006C1703"/>
    <w:rsid w:val="006C3781"/>
    <w:rsid w:val="006E714C"/>
    <w:rsid w:val="00701763"/>
    <w:rsid w:val="00716AC7"/>
    <w:rsid w:val="00725623"/>
    <w:rsid w:val="00725907"/>
    <w:rsid w:val="00761141"/>
    <w:rsid w:val="00770A9B"/>
    <w:rsid w:val="007B2F4F"/>
    <w:rsid w:val="007D4BD9"/>
    <w:rsid w:val="007D7CA5"/>
    <w:rsid w:val="007F05EA"/>
    <w:rsid w:val="007F451C"/>
    <w:rsid w:val="0080074D"/>
    <w:rsid w:val="00806351"/>
    <w:rsid w:val="008103A0"/>
    <w:rsid w:val="00817703"/>
    <w:rsid w:val="00850036"/>
    <w:rsid w:val="0087767D"/>
    <w:rsid w:val="00885836"/>
    <w:rsid w:val="008A1C63"/>
    <w:rsid w:val="008C3688"/>
    <w:rsid w:val="008E47D5"/>
    <w:rsid w:val="009123A8"/>
    <w:rsid w:val="00916BDA"/>
    <w:rsid w:val="00926670"/>
    <w:rsid w:val="00927968"/>
    <w:rsid w:val="00930DEF"/>
    <w:rsid w:val="00942748"/>
    <w:rsid w:val="009849E9"/>
    <w:rsid w:val="009A7776"/>
    <w:rsid w:val="009B5219"/>
    <w:rsid w:val="009B5A0D"/>
    <w:rsid w:val="009C7DB6"/>
    <w:rsid w:val="009D5477"/>
    <w:rsid w:val="009F6360"/>
    <w:rsid w:val="009F6E63"/>
    <w:rsid w:val="00A01A0F"/>
    <w:rsid w:val="00A12F4B"/>
    <w:rsid w:val="00A20BE9"/>
    <w:rsid w:val="00A3012D"/>
    <w:rsid w:val="00A665E6"/>
    <w:rsid w:val="00A75029"/>
    <w:rsid w:val="00A75CA7"/>
    <w:rsid w:val="00A914E3"/>
    <w:rsid w:val="00A95BD8"/>
    <w:rsid w:val="00AA0CE5"/>
    <w:rsid w:val="00AA2DFF"/>
    <w:rsid w:val="00AB2A39"/>
    <w:rsid w:val="00AD1960"/>
    <w:rsid w:val="00AF0731"/>
    <w:rsid w:val="00AF0F3F"/>
    <w:rsid w:val="00B00B47"/>
    <w:rsid w:val="00B1659B"/>
    <w:rsid w:val="00B26854"/>
    <w:rsid w:val="00B66C80"/>
    <w:rsid w:val="00B96BB8"/>
    <w:rsid w:val="00BB16FE"/>
    <w:rsid w:val="00BB6FE7"/>
    <w:rsid w:val="00BE272F"/>
    <w:rsid w:val="00BE2F50"/>
    <w:rsid w:val="00BF113E"/>
    <w:rsid w:val="00C66CA0"/>
    <w:rsid w:val="00C73C13"/>
    <w:rsid w:val="00C910F6"/>
    <w:rsid w:val="00C93EA9"/>
    <w:rsid w:val="00C95AF7"/>
    <w:rsid w:val="00CA1BE0"/>
    <w:rsid w:val="00CA706C"/>
    <w:rsid w:val="00CB69B8"/>
    <w:rsid w:val="00CD5987"/>
    <w:rsid w:val="00CF6B60"/>
    <w:rsid w:val="00D14AB8"/>
    <w:rsid w:val="00D340C2"/>
    <w:rsid w:val="00D36121"/>
    <w:rsid w:val="00D83C81"/>
    <w:rsid w:val="00D9630B"/>
    <w:rsid w:val="00DC1317"/>
    <w:rsid w:val="00DD0BC7"/>
    <w:rsid w:val="00DD73CD"/>
    <w:rsid w:val="00E1452D"/>
    <w:rsid w:val="00E150CA"/>
    <w:rsid w:val="00E707DD"/>
    <w:rsid w:val="00E71A57"/>
    <w:rsid w:val="00E849C3"/>
    <w:rsid w:val="00EB5607"/>
    <w:rsid w:val="00EB6244"/>
    <w:rsid w:val="00EC3C4D"/>
    <w:rsid w:val="00ED09B9"/>
    <w:rsid w:val="00EF1F8F"/>
    <w:rsid w:val="00EF4AB9"/>
    <w:rsid w:val="00EF64B1"/>
    <w:rsid w:val="00F14E74"/>
    <w:rsid w:val="00F15C40"/>
    <w:rsid w:val="00F274AC"/>
    <w:rsid w:val="00F4241F"/>
    <w:rsid w:val="00F459BD"/>
    <w:rsid w:val="00F50126"/>
    <w:rsid w:val="00F572F4"/>
    <w:rsid w:val="00F70017"/>
    <w:rsid w:val="00F77A1F"/>
    <w:rsid w:val="00F8012C"/>
    <w:rsid w:val="00F85A65"/>
    <w:rsid w:val="00FF5876"/>
    <w:rsid w:val="01906C78"/>
    <w:rsid w:val="109A30DF"/>
    <w:rsid w:val="2A4E1EC2"/>
    <w:rsid w:val="2C3B7F62"/>
    <w:rsid w:val="4D0E6876"/>
    <w:rsid w:val="61BD19C4"/>
    <w:rsid w:val="68355632"/>
    <w:rsid w:val="701E27BE"/>
    <w:rsid w:val="76E34E19"/>
    <w:rsid w:val="7A494879"/>
    <w:rsid w:val="7AC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  <w:rPr>
      <w:rFonts w:ascii="Calibri" w:hAnsi="Calibri" w:cs="Calibri"/>
      <w:kern w:val="10"/>
      <w:sz w:val="21"/>
      <w:szCs w:val="21"/>
    </w:rPr>
  </w:style>
  <w:style w:type="paragraph" w:styleId="1">
    <w:name w:val="heading 1"/>
    <w:basedOn w:val="a3"/>
    <w:next w:val="a3"/>
    <w:link w:val="1Char"/>
    <w:qFormat/>
    <w:pPr>
      <w:keepNext/>
      <w:keepLines/>
      <w:numPr>
        <w:numId w:val="1"/>
      </w:numPr>
      <w:adjustRightInd w:val="0"/>
      <w:snapToGrid w:val="0"/>
      <w:spacing w:beforeLines="100" w:afterLines="50"/>
      <w:ind w:left="0" w:firstLine="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val="zh-CN"/>
    </w:rPr>
  </w:style>
  <w:style w:type="paragraph" w:styleId="2">
    <w:name w:val="heading 2"/>
    <w:basedOn w:val="a3"/>
    <w:next w:val="a3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afterLines="50"/>
      <w:outlineLvl w:val="1"/>
    </w:pPr>
    <w:rPr>
      <w:rFonts w:ascii="Times New Roman" w:eastAsia="黑体" w:hAnsi="Times New Roman" w:cs="Times New Roman"/>
      <w:b/>
      <w:bCs/>
      <w:kern w:val="2"/>
      <w:sz w:val="30"/>
      <w:szCs w:val="32"/>
      <w:lang w:val="zh-CN"/>
    </w:rPr>
  </w:style>
  <w:style w:type="paragraph" w:styleId="3">
    <w:name w:val="heading 3"/>
    <w:basedOn w:val="a3"/>
    <w:next w:val="a3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afterLines="50"/>
      <w:outlineLvl w:val="2"/>
    </w:pPr>
    <w:rPr>
      <w:rFonts w:ascii="Times New Roman" w:eastAsia="黑体" w:hAnsi="Times New Roman" w:cs="Times New Roman"/>
      <w:b/>
      <w:bCs/>
      <w:kern w:val="2"/>
      <w:sz w:val="28"/>
      <w:szCs w:val="32"/>
      <w:lang w:val="zh-CN"/>
    </w:rPr>
  </w:style>
  <w:style w:type="paragraph" w:styleId="5">
    <w:name w:val="heading 5"/>
    <w:basedOn w:val="a3"/>
    <w:next w:val="a3"/>
    <w:link w:val="5Char"/>
    <w:qFormat/>
    <w:pPr>
      <w:keepNext/>
      <w:keepLines/>
      <w:numPr>
        <w:ilvl w:val="4"/>
        <w:numId w:val="1"/>
      </w:numPr>
      <w:adjustRightInd w:val="0"/>
      <w:snapToGrid w:val="0"/>
      <w:spacing w:beforeLines="25" w:afterLines="25" w:line="300" w:lineRule="auto"/>
      <w:ind w:firstLine="0"/>
      <w:outlineLvl w:val="4"/>
    </w:pPr>
    <w:rPr>
      <w:rFonts w:ascii="Times New Roman" w:hAnsi="Times New Roman" w:cs="Times New Roman"/>
      <w:bCs/>
      <w:kern w:val="2"/>
      <w:sz w:val="24"/>
      <w:szCs w:val="28"/>
      <w:lang w:val="zh-CN"/>
    </w:rPr>
  </w:style>
  <w:style w:type="paragraph" w:styleId="6">
    <w:name w:val="heading 6"/>
    <w:basedOn w:val="a3"/>
    <w:next w:val="a3"/>
    <w:link w:val="6Char"/>
    <w:qFormat/>
    <w:pPr>
      <w:keepNext/>
      <w:keepLines/>
      <w:numPr>
        <w:ilvl w:val="5"/>
        <w:numId w:val="1"/>
      </w:numPr>
      <w:adjustRightInd w:val="0"/>
      <w:snapToGrid w:val="0"/>
      <w:spacing w:before="240" w:after="64" w:line="319" w:lineRule="auto"/>
      <w:ind w:firstLine="0"/>
      <w:outlineLvl w:val="5"/>
    </w:pPr>
    <w:rPr>
      <w:rFonts w:ascii="Cambria" w:hAnsi="Cambria" w:cs="Times New Roman"/>
      <w:b/>
      <w:bCs/>
      <w:kern w:val="2"/>
      <w:sz w:val="24"/>
      <w:szCs w:val="24"/>
      <w:lang w:val="zh-CN"/>
    </w:rPr>
  </w:style>
  <w:style w:type="paragraph" w:styleId="7">
    <w:name w:val="heading 7"/>
    <w:basedOn w:val="a3"/>
    <w:next w:val="a3"/>
    <w:link w:val="7Char"/>
    <w:qFormat/>
    <w:pPr>
      <w:keepNext/>
      <w:keepLines/>
      <w:numPr>
        <w:ilvl w:val="6"/>
        <w:numId w:val="1"/>
      </w:numPr>
      <w:adjustRightInd w:val="0"/>
      <w:snapToGrid w:val="0"/>
      <w:spacing w:before="240" w:after="64" w:line="319" w:lineRule="auto"/>
      <w:ind w:firstLine="0"/>
      <w:outlineLvl w:val="6"/>
    </w:pPr>
    <w:rPr>
      <w:rFonts w:cs="Times New Roman"/>
      <w:b/>
      <w:bCs/>
      <w:kern w:val="2"/>
      <w:sz w:val="24"/>
      <w:szCs w:val="24"/>
      <w:lang w:val="zh-CN"/>
    </w:rPr>
  </w:style>
  <w:style w:type="paragraph" w:styleId="8">
    <w:name w:val="heading 8"/>
    <w:basedOn w:val="a3"/>
    <w:next w:val="a3"/>
    <w:link w:val="8Char"/>
    <w:qFormat/>
    <w:pPr>
      <w:keepNext/>
      <w:keepLines/>
      <w:numPr>
        <w:ilvl w:val="7"/>
        <w:numId w:val="1"/>
      </w:numPr>
      <w:tabs>
        <w:tab w:val="left" w:pos="4351"/>
      </w:tabs>
      <w:adjustRightInd w:val="0"/>
      <w:snapToGrid w:val="0"/>
      <w:spacing w:before="240" w:after="64" w:line="319" w:lineRule="auto"/>
      <w:outlineLvl w:val="7"/>
    </w:pPr>
    <w:rPr>
      <w:rFonts w:ascii="Cambria" w:hAnsi="Cambria" w:cs="Times New Roman"/>
      <w:kern w:val="2"/>
      <w:sz w:val="24"/>
      <w:szCs w:val="24"/>
      <w:lang w:val="zh-CN"/>
    </w:rPr>
  </w:style>
  <w:style w:type="paragraph" w:styleId="9">
    <w:name w:val="heading 9"/>
    <w:basedOn w:val="a3"/>
    <w:next w:val="a3"/>
    <w:link w:val="9Char"/>
    <w:uiPriority w:val="9"/>
    <w:qFormat/>
    <w:pPr>
      <w:keepNext/>
      <w:keepLines/>
      <w:numPr>
        <w:ilvl w:val="8"/>
        <w:numId w:val="2"/>
      </w:numPr>
      <w:tabs>
        <w:tab w:val="clear" w:pos="4777"/>
      </w:tabs>
      <w:adjustRightInd w:val="0"/>
      <w:snapToGrid w:val="0"/>
      <w:spacing w:beforeLines="25" w:afterLines="25" w:line="320" w:lineRule="auto"/>
      <w:ind w:left="1584" w:hanging="1584"/>
      <w:outlineLvl w:val="8"/>
    </w:pPr>
    <w:rPr>
      <w:rFonts w:ascii="Calibri Light" w:hAnsi="Calibri Light" w:cs="Times New Roman"/>
      <w:kern w:val="2"/>
      <w:lang w:val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ocument Map"/>
    <w:basedOn w:val="a3"/>
    <w:link w:val="Char"/>
    <w:uiPriority w:val="99"/>
    <w:semiHidden/>
    <w:unhideWhenUsed/>
    <w:qFormat/>
    <w:rPr>
      <w:rFonts w:ascii="宋体" w:cs="Times New Roman"/>
      <w:sz w:val="18"/>
      <w:szCs w:val="18"/>
      <w:lang w:val="zh-CN"/>
    </w:rPr>
  </w:style>
  <w:style w:type="paragraph" w:styleId="a8">
    <w:name w:val="Date"/>
    <w:basedOn w:val="a3"/>
    <w:next w:val="a3"/>
    <w:link w:val="Char0"/>
    <w:uiPriority w:val="99"/>
    <w:unhideWhenUsed/>
    <w:qFormat/>
    <w:pPr>
      <w:ind w:leftChars="2500" w:left="100"/>
    </w:pPr>
  </w:style>
  <w:style w:type="paragraph" w:styleId="a9">
    <w:name w:val="Balloon Text"/>
    <w:basedOn w:val="a3"/>
    <w:link w:val="Char1"/>
    <w:uiPriority w:val="99"/>
    <w:semiHidden/>
    <w:qFormat/>
    <w:rPr>
      <w:sz w:val="18"/>
      <w:szCs w:val="18"/>
    </w:rPr>
  </w:style>
  <w:style w:type="paragraph" w:styleId="aa">
    <w:name w:val="footer"/>
    <w:basedOn w:val="a3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3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2">
    <w:name w:val="footnote text"/>
    <w:basedOn w:val="a3"/>
    <w:link w:val="Char4"/>
    <w:qFormat/>
    <w:pPr>
      <w:numPr>
        <w:ilvl w:val="4"/>
        <w:numId w:val="2"/>
      </w:numPr>
      <w:adjustRightInd w:val="0"/>
      <w:snapToGrid w:val="0"/>
      <w:spacing w:beforeLines="25" w:afterLines="25" w:line="300" w:lineRule="auto"/>
    </w:pPr>
    <w:rPr>
      <w:rFonts w:ascii="Times New Roman" w:eastAsia="黑体" w:hAnsi="Times New Roman" w:cs="Times New Roman"/>
      <w:kern w:val="2"/>
      <w:sz w:val="18"/>
      <w:szCs w:val="18"/>
      <w:lang w:val="zh-CN"/>
    </w:rPr>
  </w:style>
  <w:style w:type="table" w:styleId="ac">
    <w:name w:val="Table Grid"/>
    <w:basedOn w:val="a5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4"/>
    <w:uiPriority w:val="99"/>
    <w:qFormat/>
  </w:style>
  <w:style w:type="character" w:customStyle="1" w:styleId="Char3">
    <w:name w:val="页眉 Char"/>
    <w:basedOn w:val="a4"/>
    <w:link w:val="ab"/>
    <w:uiPriority w:val="99"/>
    <w:rPr>
      <w:sz w:val="18"/>
      <w:szCs w:val="18"/>
    </w:rPr>
  </w:style>
  <w:style w:type="character" w:customStyle="1" w:styleId="Char2">
    <w:name w:val="页脚 Char"/>
    <w:basedOn w:val="a4"/>
    <w:link w:val="aa"/>
    <w:uiPriority w:val="99"/>
    <w:qFormat/>
    <w:rPr>
      <w:sz w:val="18"/>
      <w:szCs w:val="18"/>
    </w:rPr>
  </w:style>
  <w:style w:type="character" w:customStyle="1" w:styleId="Char1">
    <w:name w:val="批注框文本 Char"/>
    <w:basedOn w:val="a4"/>
    <w:link w:val="a9"/>
    <w:uiPriority w:val="99"/>
    <w:semiHidden/>
    <w:qFormat/>
    <w:rPr>
      <w:rFonts w:ascii="Calibri" w:eastAsia="宋体" w:hAnsi="Calibri" w:cs="Calibri"/>
      <w:kern w:val="10"/>
      <w:sz w:val="18"/>
      <w:szCs w:val="18"/>
    </w:rPr>
  </w:style>
  <w:style w:type="paragraph" w:customStyle="1" w:styleId="ae">
    <w:name w:val="大标题"/>
    <w:basedOn w:val="a3"/>
    <w:qFormat/>
    <w:pPr>
      <w:adjustRightInd w:val="0"/>
      <w:snapToGrid w:val="0"/>
      <w:spacing w:before="20" w:after="20"/>
      <w:jc w:val="center"/>
    </w:pPr>
    <w:rPr>
      <w:rFonts w:ascii="Times New Roman" w:hAnsi="Times New Roman" w:cs="Times New Roman"/>
      <w:color w:val="000000"/>
      <w:spacing w:val="-8"/>
      <w:kern w:val="0"/>
      <w:sz w:val="44"/>
      <w:szCs w:val="32"/>
    </w:rPr>
  </w:style>
  <w:style w:type="character" w:customStyle="1" w:styleId="Char0">
    <w:name w:val="日期 Char"/>
    <w:basedOn w:val="a4"/>
    <w:link w:val="a8"/>
    <w:uiPriority w:val="99"/>
    <w:qFormat/>
    <w:rPr>
      <w:rFonts w:ascii="Calibri" w:eastAsia="宋体" w:hAnsi="Calibri" w:cs="Calibri"/>
      <w:kern w:val="10"/>
      <w:szCs w:val="21"/>
    </w:rPr>
  </w:style>
  <w:style w:type="table" w:customStyle="1" w:styleId="10">
    <w:name w:val="网格型1"/>
    <w:basedOn w:val="a5"/>
    <w:qFormat/>
    <w:locked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4"/>
    <w:link w:val="1"/>
    <w:qFormat/>
    <w:rPr>
      <w:rFonts w:ascii="Times New Roman" w:eastAsia="黑体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basedOn w:val="a4"/>
    <w:link w:val="2"/>
    <w:rPr>
      <w:rFonts w:ascii="Times New Roman" w:eastAsia="黑体" w:hAnsi="Times New Roman" w:cs="Times New Roman"/>
      <w:b/>
      <w:bCs/>
      <w:sz w:val="30"/>
      <w:szCs w:val="32"/>
      <w:lang w:val="zh-CN" w:eastAsia="zh-CN"/>
    </w:rPr>
  </w:style>
  <w:style w:type="character" w:customStyle="1" w:styleId="3Char">
    <w:name w:val="标题 3 Char"/>
    <w:basedOn w:val="a4"/>
    <w:link w:val="3"/>
    <w:qFormat/>
    <w:rPr>
      <w:rFonts w:ascii="Times New Roman" w:eastAsia="黑体" w:hAnsi="Times New Roman" w:cs="Times New Roman"/>
      <w:b/>
      <w:bCs/>
      <w:sz w:val="28"/>
      <w:szCs w:val="32"/>
      <w:lang w:val="zh-CN" w:eastAsia="zh-CN"/>
    </w:rPr>
  </w:style>
  <w:style w:type="character" w:customStyle="1" w:styleId="5Char">
    <w:name w:val="标题 5 Char"/>
    <w:basedOn w:val="a4"/>
    <w:link w:val="5"/>
    <w:qFormat/>
    <w:rPr>
      <w:rFonts w:ascii="Times New Roman" w:eastAsia="宋体" w:hAnsi="Times New Roman" w:cs="Times New Roman"/>
      <w:bCs/>
      <w:sz w:val="24"/>
      <w:szCs w:val="28"/>
      <w:lang w:val="zh-CN" w:eastAsia="zh-CN"/>
    </w:rPr>
  </w:style>
  <w:style w:type="character" w:customStyle="1" w:styleId="6Char">
    <w:name w:val="标题 6 Char"/>
    <w:basedOn w:val="a4"/>
    <w:link w:val="6"/>
    <w:qFormat/>
    <w:rPr>
      <w:rFonts w:ascii="Cambria" w:eastAsia="宋体" w:hAnsi="Cambria" w:cs="Times New Roman"/>
      <w:b/>
      <w:bCs/>
      <w:sz w:val="24"/>
      <w:szCs w:val="24"/>
      <w:lang w:val="zh-CN" w:eastAsia="zh-CN"/>
    </w:rPr>
  </w:style>
  <w:style w:type="character" w:customStyle="1" w:styleId="7Char">
    <w:name w:val="标题 7 Char"/>
    <w:basedOn w:val="a4"/>
    <w:link w:val="7"/>
    <w:qFormat/>
    <w:rPr>
      <w:rFonts w:ascii="Calibri" w:eastAsia="宋体" w:hAnsi="Calibri" w:cs="Times New Roman"/>
      <w:b/>
      <w:bCs/>
      <w:sz w:val="24"/>
      <w:szCs w:val="24"/>
      <w:lang w:val="zh-CN" w:eastAsia="zh-CN"/>
    </w:rPr>
  </w:style>
  <w:style w:type="character" w:customStyle="1" w:styleId="8Char">
    <w:name w:val="标题 8 Char"/>
    <w:basedOn w:val="a4"/>
    <w:link w:val="8"/>
    <w:qFormat/>
    <w:rPr>
      <w:rFonts w:ascii="Cambria" w:eastAsia="宋体" w:hAnsi="Cambria" w:cs="Times New Roman"/>
      <w:sz w:val="24"/>
      <w:szCs w:val="24"/>
      <w:lang w:val="zh-CN" w:eastAsia="zh-CN"/>
    </w:rPr>
  </w:style>
  <w:style w:type="character" w:customStyle="1" w:styleId="9Char">
    <w:name w:val="标题 9 Char"/>
    <w:basedOn w:val="a4"/>
    <w:link w:val="9"/>
    <w:uiPriority w:val="9"/>
    <w:qFormat/>
    <w:rPr>
      <w:rFonts w:ascii="Calibri Light" w:eastAsia="宋体" w:hAnsi="Calibri Light" w:cs="Times New Roman"/>
      <w:szCs w:val="21"/>
      <w:lang w:val="zh-CN" w:eastAsia="zh-CN"/>
    </w:rPr>
  </w:style>
  <w:style w:type="paragraph" w:customStyle="1" w:styleId="11">
    <w:name w:val="列出段落1"/>
    <w:basedOn w:val="a3"/>
    <w:pPr>
      <w:adjustRightInd w:val="0"/>
      <w:snapToGrid w:val="0"/>
      <w:spacing w:beforeLines="25" w:afterLines="25" w:line="300" w:lineRule="auto"/>
      <w:ind w:firstLine="420"/>
    </w:pPr>
    <w:rPr>
      <w:rFonts w:ascii="Times New Roman" w:hAnsi="Times New Roman" w:cs="Arial"/>
      <w:kern w:val="2"/>
      <w:sz w:val="24"/>
      <w:szCs w:val="22"/>
    </w:rPr>
  </w:style>
  <w:style w:type="character" w:customStyle="1" w:styleId="Char4">
    <w:name w:val="脚注文本 Char"/>
    <w:basedOn w:val="a4"/>
    <w:link w:val="a2"/>
    <w:qFormat/>
    <w:rPr>
      <w:rFonts w:ascii="Times New Roman" w:eastAsia="黑体" w:hAnsi="Times New Roman" w:cs="Times New Roman"/>
      <w:sz w:val="18"/>
      <w:szCs w:val="18"/>
      <w:lang w:val="zh-CN" w:eastAsia="zh-CN"/>
    </w:rPr>
  </w:style>
  <w:style w:type="paragraph" w:customStyle="1" w:styleId="a">
    <w:name w:val="二级条标题"/>
    <w:basedOn w:val="a3"/>
    <w:next w:val="a3"/>
    <w:qFormat/>
    <w:pPr>
      <w:widowControl/>
      <w:numPr>
        <w:numId w:val="2"/>
      </w:numPr>
      <w:tabs>
        <w:tab w:val="left" w:pos="0"/>
        <w:tab w:val="left" w:pos="1260"/>
        <w:tab w:val="left" w:pos="1680"/>
      </w:tabs>
      <w:ind w:left="1680" w:hanging="420"/>
      <w:outlineLvl w:val="3"/>
    </w:pPr>
    <w:rPr>
      <w:rFonts w:ascii="黑体" w:cs="Times New Roman"/>
      <w:kern w:val="2"/>
      <w:szCs w:val="22"/>
    </w:rPr>
  </w:style>
  <w:style w:type="paragraph" w:customStyle="1" w:styleId="a1">
    <w:name w:val="示例×："/>
    <w:basedOn w:val="a3"/>
    <w:next w:val="a3"/>
    <w:qFormat/>
    <w:pPr>
      <w:numPr>
        <w:ilvl w:val="2"/>
        <w:numId w:val="2"/>
      </w:numPr>
      <w:tabs>
        <w:tab w:val="left" w:pos="0"/>
        <w:tab w:val="left" w:pos="630"/>
        <w:tab w:val="left" w:pos="760"/>
      </w:tabs>
      <w:autoSpaceDE w:val="0"/>
      <w:autoSpaceDN w:val="0"/>
      <w:adjustRightInd w:val="0"/>
      <w:snapToGrid w:val="0"/>
      <w:spacing w:beforeLines="25" w:afterLines="25" w:line="300" w:lineRule="auto"/>
      <w:ind w:left="20" w:firstLine="380"/>
    </w:pPr>
    <w:rPr>
      <w:rFonts w:ascii="宋体" w:hAnsi="Times New Roman" w:cs="Times New Roman"/>
      <w:kern w:val="2"/>
      <w:sz w:val="18"/>
      <w:szCs w:val="20"/>
    </w:rPr>
  </w:style>
  <w:style w:type="paragraph" w:customStyle="1" w:styleId="a0">
    <w:name w:val="其他标准称谓"/>
    <w:qFormat/>
    <w:pPr>
      <w:numPr>
        <w:ilvl w:val="1"/>
        <w:numId w:val="2"/>
      </w:numPr>
      <w:tabs>
        <w:tab w:val="left" w:pos="0"/>
      </w:tabs>
      <w:spacing w:line="0" w:lineRule="atLeast"/>
      <w:ind w:left="576" w:hanging="576"/>
      <w:jc w:val="distribute"/>
    </w:pPr>
    <w:rPr>
      <w:rFonts w:ascii="黑体" w:hAnsi="宋体"/>
      <w:kern w:val="2"/>
      <w:sz w:val="52"/>
      <w:szCs w:val="22"/>
    </w:rPr>
  </w:style>
  <w:style w:type="character" w:customStyle="1" w:styleId="Char">
    <w:name w:val="文档结构图 Char"/>
    <w:basedOn w:val="a4"/>
    <w:link w:val="a7"/>
    <w:uiPriority w:val="99"/>
    <w:semiHidden/>
    <w:qFormat/>
    <w:rPr>
      <w:rFonts w:ascii="宋体" w:eastAsia="宋体" w:hAnsi="Calibri" w:cs="Times New Roman"/>
      <w:kern w:val="10"/>
      <w:sz w:val="18"/>
      <w:szCs w:val="18"/>
      <w:lang w:val="zh-CN" w:eastAsia="zh-CN"/>
    </w:rPr>
  </w:style>
  <w:style w:type="character" w:customStyle="1" w:styleId="font91">
    <w:name w:val="font91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61">
    <w:name w:val="font61"/>
    <w:qFormat/>
    <w:rPr>
      <w:rFonts w:ascii="微软雅黑" w:eastAsia="微软雅黑" w:hAnsi="微软雅黑" w:cs="微软雅黑"/>
      <w:b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81">
    <w:name w:val="font81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0">
    <w:name w:val="日期 Char1"/>
    <w:uiPriority w:val="99"/>
    <w:semiHidden/>
    <w:rPr>
      <w:rFonts w:cs="Calibri"/>
      <w:kern w:val="10"/>
      <w:sz w:val="21"/>
      <w:szCs w:val="21"/>
    </w:rPr>
  </w:style>
  <w:style w:type="character" w:customStyle="1" w:styleId="Char11">
    <w:name w:val="页眉 Char1"/>
    <w:uiPriority w:val="99"/>
    <w:semiHidden/>
    <w:qFormat/>
    <w:rPr>
      <w:rFonts w:cs="Calibri"/>
      <w:kern w:val="10"/>
      <w:sz w:val="18"/>
      <w:szCs w:val="18"/>
    </w:rPr>
  </w:style>
  <w:style w:type="character" w:customStyle="1" w:styleId="Char12">
    <w:name w:val="页脚 Char1"/>
    <w:uiPriority w:val="99"/>
    <w:semiHidden/>
    <w:qFormat/>
    <w:rPr>
      <w:rFonts w:cs="Calibri"/>
      <w:kern w:val="10"/>
      <w:sz w:val="18"/>
      <w:szCs w:val="18"/>
    </w:rPr>
  </w:style>
  <w:style w:type="character" w:customStyle="1" w:styleId="Char13">
    <w:name w:val="批注框文本 Char1"/>
    <w:uiPriority w:val="99"/>
    <w:semiHidden/>
    <w:qFormat/>
    <w:rPr>
      <w:rFonts w:cs="Calibri"/>
      <w:kern w:val="10"/>
      <w:sz w:val="18"/>
      <w:szCs w:val="18"/>
    </w:rPr>
  </w:style>
  <w:style w:type="paragraph" w:styleId="af">
    <w:name w:val="List Paragraph"/>
    <w:basedOn w:val="a3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微软雅黑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  <w:rPr>
      <w:rFonts w:ascii="Calibri" w:hAnsi="Calibri" w:cs="Calibri"/>
      <w:kern w:val="10"/>
      <w:sz w:val="21"/>
      <w:szCs w:val="21"/>
    </w:rPr>
  </w:style>
  <w:style w:type="paragraph" w:styleId="1">
    <w:name w:val="heading 1"/>
    <w:basedOn w:val="a3"/>
    <w:next w:val="a3"/>
    <w:link w:val="1Char"/>
    <w:qFormat/>
    <w:pPr>
      <w:keepNext/>
      <w:keepLines/>
      <w:numPr>
        <w:numId w:val="1"/>
      </w:numPr>
      <w:adjustRightInd w:val="0"/>
      <w:snapToGrid w:val="0"/>
      <w:spacing w:beforeLines="100" w:afterLines="50"/>
      <w:ind w:left="0" w:firstLine="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val="zh-CN"/>
    </w:rPr>
  </w:style>
  <w:style w:type="paragraph" w:styleId="2">
    <w:name w:val="heading 2"/>
    <w:basedOn w:val="a3"/>
    <w:next w:val="a3"/>
    <w:link w:val="2Char"/>
    <w:qFormat/>
    <w:pPr>
      <w:keepNext/>
      <w:keepLines/>
      <w:numPr>
        <w:ilvl w:val="1"/>
        <w:numId w:val="1"/>
      </w:numPr>
      <w:adjustRightInd w:val="0"/>
      <w:snapToGrid w:val="0"/>
      <w:spacing w:beforeLines="100" w:afterLines="50"/>
      <w:outlineLvl w:val="1"/>
    </w:pPr>
    <w:rPr>
      <w:rFonts w:ascii="Times New Roman" w:eastAsia="黑体" w:hAnsi="Times New Roman" w:cs="Times New Roman"/>
      <w:b/>
      <w:bCs/>
      <w:kern w:val="2"/>
      <w:sz w:val="30"/>
      <w:szCs w:val="32"/>
      <w:lang w:val="zh-CN"/>
    </w:rPr>
  </w:style>
  <w:style w:type="paragraph" w:styleId="3">
    <w:name w:val="heading 3"/>
    <w:basedOn w:val="a3"/>
    <w:next w:val="a3"/>
    <w:link w:val="3Char"/>
    <w:qFormat/>
    <w:pPr>
      <w:keepNext/>
      <w:keepLines/>
      <w:numPr>
        <w:ilvl w:val="2"/>
        <w:numId w:val="1"/>
      </w:numPr>
      <w:adjustRightInd w:val="0"/>
      <w:snapToGrid w:val="0"/>
      <w:spacing w:beforeLines="100" w:afterLines="50"/>
      <w:outlineLvl w:val="2"/>
    </w:pPr>
    <w:rPr>
      <w:rFonts w:ascii="Times New Roman" w:eastAsia="黑体" w:hAnsi="Times New Roman" w:cs="Times New Roman"/>
      <w:b/>
      <w:bCs/>
      <w:kern w:val="2"/>
      <w:sz w:val="28"/>
      <w:szCs w:val="32"/>
      <w:lang w:val="zh-CN"/>
    </w:rPr>
  </w:style>
  <w:style w:type="paragraph" w:styleId="5">
    <w:name w:val="heading 5"/>
    <w:basedOn w:val="a3"/>
    <w:next w:val="a3"/>
    <w:link w:val="5Char"/>
    <w:qFormat/>
    <w:pPr>
      <w:keepNext/>
      <w:keepLines/>
      <w:numPr>
        <w:ilvl w:val="4"/>
        <w:numId w:val="1"/>
      </w:numPr>
      <w:adjustRightInd w:val="0"/>
      <w:snapToGrid w:val="0"/>
      <w:spacing w:beforeLines="25" w:afterLines="25" w:line="300" w:lineRule="auto"/>
      <w:ind w:firstLine="0"/>
      <w:outlineLvl w:val="4"/>
    </w:pPr>
    <w:rPr>
      <w:rFonts w:ascii="Times New Roman" w:hAnsi="Times New Roman" w:cs="Times New Roman"/>
      <w:bCs/>
      <w:kern w:val="2"/>
      <w:sz w:val="24"/>
      <w:szCs w:val="28"/>
      <w:lang w:val="zh-CN"/>
    </w:rPr>
  </w:style>
  <w:style w:type="paragraph" w:styleId="6">
    <w:name w:val="heading 6"/>
    <w:basedOn w:val="a3"/>
    <w:next w:val="a3"/>
    <w:link w:val="6Char"/>
    <w:qFormat/>
    <w:pPr>
      <w:keepNext/>
      <w:keepLines/>
      <w:numPr>
        <w:ilvl w:val="5"/>
        <w:numId w:val="1"/>
      </w:numPr>
      <w:adjustRightInd w:val="0"/>
      <w:snapToGrid w:val="0"/>
      <w:spacing w:before="240" w:after="64" w:line="319" w:lineRule="auto"/>
      <w:ind w:firstLine="0"/>
      <w:outlineLvl w:val="5"/>
    </w:pPr>
    <w:rPr>
      <w:rFonts w:ascii="Cambria" w:hAnsi="Cambria" w:cs="Times New Roman"/>
      <w:b/>
      <w:bCs/>
      <w:kern w:val="2"/>
      <w:sz w:val="24"/>
      <w:szCs w:val="24"/>
      <w:lang w:val="zh-CN"/>
    </w:rPr>
  </w:style>
  <w:style w:type="paragraph" w:styleId="7">
    <w:name w:val="heading 7"/>
    <w:basedOn w:val="a3"/>
    <w:next w:val="a3"/>
    <w:link w:val="7Char"/>
    <w:qFormat/>
    <w:pPr>
      <w:keepNext/>
      <w:keepLines/>
      <w:numPr>
        <w:ilvl w:val="6"/>
        <w:numId w:val="1"/>
      </w:numPr>
      <w:adjustRightInd w:val="0"/>
      <w:snapToGrid w:val="0"/>
      <w:spacing w:before="240" w:after="64" w:line="319" w:lineRule="auto"/>
      <w:ind w:firstLine="0"/>
      <w:outlineLvl w:val="6"/>
    </w:pPr>
    <w:rPr>
      <w:rFonts w:cs="Times New Roman"/>
      <w:b/>
      <w:bCs/>
      <w:kern w:val="2"/>
      <w:sz w:val="24"/>
      <w:szCs w:val="24"/>
      <w:lang w:val="zh-CN"/>
    </w:rPr>
  </w:style>
  <w:style w:type="paragraph" w:styleId="8">
    <w:name w:val="heading 8"/>
    <w:basedOn w:val="a3"/>
    <w:next w:val="a3"/>
    <w:link w:val="8Char"/>
    <w:qFormat/>
    <w:pPr>
      <w:keepNext/>
      <w:keepLines/>
      <w:numPr>
        <w:ilvl w:val="7"/>
        <w:numId w:val="1"/>
      </w:numPr>
      <w:tabs>
        <w:tab w:val="left" w:pos="4351"/>
      </w:tabs>
      <w:adjustRightInd w:val="0"/>
      <w:snapToGrid w:val="0"/>
      <w:spacing w:before="240" w:after="64" w:line="319" w:lineRule="auto"/>
      <w:outlineLvl w:val="7"/>
    </w:pPr>
    <w:rPr>
      <w:rFonts w:ascii="Cambria" w:hAnsi="Cambria" w:cs="Times New Roman"/>
      <w:kern w:val="2"/>
      <w:sz w:val="24"/>
      <w:szCs w:val="24"/>
      <w:lang w:val="zh-CN"/>
    </w:rPr>
  </w:style>
  <w:style w:type="paragraph" w:styleId="9">
    <w:name w:val="heading 9"/>
    <w:basedOn w:val="a3"/>
    <w:next w:val="a3"/>
    <w:link w:val="9Char"/>
    <w:uiPriority w:val="9"/>
    <w:qFormat/>
    <w:pPr>
      <w:keepNext/>
      <w:keepLines/>
      <w:numPr>
        <w:ilvl w:val="8"/>
        <w:numId w:val="2"/>
      </w:numPr>
      <w:tabs>
        <w:tab w:val="clear" w:pos="4777"/>
      </w:tabs>
      <w:adjustRightInd w:val="0"/>
      <w:snapToGrid w:val="0"/>
      <w:spacing w:beforeLines="25" w:afterLines="25" w:line="320" w:lineRule="auto"/>
      <w:ind w:left="1584" w:hanging="1584"/>
      <w:outlineLvl w:val="8"/>
    </w:pPr>
    <w:rPr>
      <w:rFonts w:ascii="Calibri Light" w:hAnsi="Calibri Light" w:cs="Times New Roman"/>
      <w:kern w:val="2"/>
      <w:lang w:val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ocument Map"/>
    <w:basedOn w:val="a3"/>
    <w:link w:val="Char"/>
    <w:uiPriority w:val="99"/>
    <w:semiHidden/>
    <w:unhideWhenUsed/>
    <w:qFormat/>
    <w:rPr>
      <w:rFonts w:ascii="宋体" w:cs="Times New Roman"/>
      <w:sz w:val="18"/>
      <w:szCs w:val="18"/>
      <w:lang w:val="zh-CN"/>
    </w:rPr>
  </w:style>
  <w:style w:type="paragraph" w:styleId="a8">
    <w:name w:val="Date"/>
    <w:basedOn w:val="a3"/>
    <w:next w:val="a3"/>
    <w:link w:val="Char0"/>
    <w:uiPriority w:val="99"/>
    <w:unhideWhenUsed/>
    <w:qFormat/>
    <w:pPr>
      <w:ind w:leftChars="2500" w:left="100"/>
    </w:pPr>
  </w:style>
  <w:style w:type="paragraph" w:styleId="a9">
    <w:name w:val="Balloon Text"/>
    <w:basedOn w:val="a3"/>
    <w:link w:val="Char1"/>
    <w:uiPriority w:val="99"/>
    <w:semiHidden/>
    <w:qFormat/>
    <w:rPr>
      <w:sz w:val="18"/>
      <w:szCs w:val="18"/>
    </w:rPr>
  </w:style>
  <w:style w:type="paragraph" w:styleId="aa">
    <w:name w:val="footer"/>
    <w:basedOn w:val="a3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3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2">
    <w:name w:val="footnote text"/>
    <w:basedOn w:val="a3"/>
    <w:link w:val="Char4"/>
    <w:qFormat/>
    <w:pPr>
      <w:numPr>
        <w:ilvl w:val="4"/>
        <w:numId w:val="2"/>
      </w:numPr>
      <w:adjustRightInd w:val="0"/>
      <w:snapToGrid w:val="0"/>
      <w:spacing w:beforeLines="25" w:afterLines="25" w:line="300" w:lineRule="auto"/>
    </w:pPr>
    <w:rPr>
      <w:rFonts w:ascii="Times New Roman" w:eastAsia="黑体" w:hAnsi="Times New Roman" w:cs="Times New Roman"/>
      <w:kern w:val="2"/>
      <w:sz w:val="18"/>
      <w:szCs w:val="18"/>
      <w:lang w:val="zh-CN"/>
    </w:rPr>
  </w:style>
  <w:style w:type="table" w:styleId="ac">
    <w:name w:val="Table Grid"/>
    <w:basedOn w:val="a5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4"/>
    <w:uiPriority w:val="99"/>
    <w:qFormat/>
  </w:style>
  <w:style w:type="character" w:customStyle="1" w:styleId="Char3">
    <w:name w:val="页眉 Char"/>
    <w:basedOn w:val="a4"/>
    <w:link w:val="ab"/>
    <w:uiPriority w:val="99"/>
    <w:rPr>
      <w:sz w:val="18"/>
      <w:szCs w:val="18"/>
    </w:rPr>
  </w:style>
  <w:style w:type="character" w:customStyle="1" w:styleId="Char2">
    <w:name w:val="页脚 Char"/>
    <w:basedOn w:val="a4"/>
    <w:link w:val="aa"/>
    <w:uiPriority w:val="99"/>
    <w:qFormat/>
    <w:rPr>
      <w:sz w:val="18"/>
      <w:szCs w:val="18"/>
    </w:rPr>
  </w:style>
  <w:style w:type="character" w:customStyle="1" w:styleId="Char1">
    <w:name w:val="批注框文本 Char"/>
    <w:basedOn w:val="a4"/>
    <w:link w:val="a9"/>
    <w:uiPriority w:val="99"/>
    <w:semiHidden/>
    <w:qFormat/>
    <w:rPr>
      <w:rFonts w:ascii="Calibri" w:eastAsia="宋体" w:hAnsi="Calibri" w:cs="Calibri"/>
      <w:kern w:val="10"/>
      <w:sz w:val="18"/>
      <w:szCs w:val="18"/>
    </w:rPr>
  </w:style>
  <w:style w:type="paragraph" w:customStyle="1" w:styleId="ae">
    <w:name w:val="大标题"/>
    <w:basedOn w:val="a3"/>
    <w:qFormat/>
    <w:pPr>
      <w:adjustRightInd w:val="0"/>
      <w:snapToGrid w:val="0"/>
      <w:spacing w:before="20" w:after="20"/>
      <w:jc w:val="center"/>
    </w:pPr>
    <w:rPr>
      <w:rFonts w:ascii="Times New Roman" w:hAnsi="Times New Roman" w:cs="Times New Roman"/>
      <w:color w:val="000000"/>
      <w:spacing w:val="-8"/>
      <w:kern w:val="0"/>
      <w:sz w:val="44"/>
      <w:szCs w:val="32"/>
    </w:rPr>
  </w:style>
  <w:style w:type="character" w:customStyle="1" w:styleId="Char0">
    <w:name w:val="日期 Char"/>
    <w:basedOn w:val="a4"/>
    <w:link w:val="a8"/>
    <w:uiPriority w:val="99"/>
    <w:qFormat/>
    <w:rPr>
      <w:rFonts w:ascii="Calibri" w:eastAsia="宋体" w:hAnsi="Calibri" w:cs="Calibri"/>
      <w:kern w:val="10"/>
      <w:szCs w:val="21"/>
    </w:rPr>
  </w:style>
  <w:style w:type="table" w:customStyle="1" w:styleId="10">
    <w:name w:val="网格型1"/>
    <w:basedOn w:val="a5"/>
    <w:qFormat/>
    <w:locked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4"/>
    <w:link w:val="1"/>
    <w:qFormat/>
    <w:rPr>
      <w:rFonts w:ascii="Times New Roman" w:eastAsia="黑体" w:hAnsi="Times New Roman" w:cs="Times New Roman"/>
      <w:b/>
      <w:bCs/>
      <w:kern w:val="44"/>
      <w:sz w:val="32"/>
      <w:szCs w:val="44"/>
      <w:lang w:val="zh-CN" w:eastAsia="zh-CN"/>
    </w:rPr>
  </w:style>
  <w:style w:type="character" w:customStyle="1" w:styleId="2Char">
    <w:name w:val="标题 2 Char"/>
    <w:basedOn w:val="a4"/>
    <w:link w:val="2"/>
    <w:rPr>
      <w:rFonts w:ascii="Times New Roman" w:eastAsia="黑体" w:hAnsi="Times New Roman" w:cs="Times New Roman"/>
      <w:b/>
      <w:bCs/>
      <w:sz w:val="30"/>
      <w:szCs w:val="32"/>
      <w:lang w:val="zh-CN" w:eastAsia="zh-CN"/>
    </w:rPr>
  </w:style>
  <w:style w:type="character" w:customStyle="1" w:styleId="3Char">
    <w:name w:val="标题 3 Char"/>
    <w:basedOn w:val="a4"/>
    <w:link w:val="3"/>
    <w:qFormat/>
    <w:rPr>
      <w:rFonts w:ascii="Times New Roman" w:eastAsia="黑体" w:hAnsi="Times New Roman" w:cs="Times New Roman"/>
      <w:b/>
      <w:bCs/>
      <w:sz w:val="28"/>
      <w:szCs w:val="32"/>
      <w:lang w:val="zh-CN" w:eastAsia="zh-CN"/>
    </w:rPr>
  </w:style>
  <w:style w:type="character" w:customStyle="1" w:styleId="5Char">
    <w:name w:val="标题 5 Char"/>
    <w:basedOn w:val="a4"/>
    <w:link w:val="5"/>
    <w:qFormat/>
    <w:rPr>
      <w:rFonts w:ascii="Times New Roman" w:eastAsia="宋体" w:hAnsi="Times New Roman" w:cs="Times New Roman"/>
      <w:bCs/>
      <w:sz w:val="24"/>
      <w:szCs w:val="28"/>
      <w:lang w:val="zh-CN" w:eastAsia="zh-CN"/>
    </w:rPr>
  </w:style>
  <w:style w:type="character" w:customStyle="1" w:styleId="6Char">
    <w:name w:val="标题 6 Char"/>
    <w:basedOn w:val="a4"/>
    <w:link w:val="6"/>
    <w:qFormat/>
    <w:rPr>
      <w:rFonts w:ascii="Cambria" w:eastAsia="宋体" w:hAnsi="Cambria" w:cs="Times New Roman"/>
      <w:b/>
      <w:bCs/>
      <w:sz w:val="24"/>
      <w:szCs w:val="24"/>
      <w:lang w:val="zh-CN" w:eastAsia="zh-CN"/>
    </w:rPr>
  </w:style>
  <w:style w:type="character" w:customStyle="1" w:styleId="7Char">
    <w:name w:val="标题 7 Char"/>
    <w:basedOn w:val="a4"/>
    <w:link w:val="7"/>
    <w:qFormat/>
    <w:rPr>
      <w:rFonts w:ascii="Calibri" w:eastAsia="宋体" w:hAnsi="Calibri" w:cs="Times New Roman"/>
      <w:b/>
      <w:bCs/>
      <w:sz w:val="24"/>
      <w:szCs w:val="24"/>
      <w:lang w:val="zh-CN" w:eastAsia="zh-CN"/>
    </w:rPr>
  </w:style>
  <w:style w:type="character" w:customStyle="1" w:styleId="8Char">
    <w:name w:val="标题 8 Char"/>
    <w:basedOn w:val="a4"/>
    <w:link w:val="8"/>
    <w:qFormat/>
    <w:rPr>
      <w:rFonts w:ascii="Cambria" w:eastAsia="宋体" w:hAnsi="Cambria" w:cs="Times New Roman"/>
      <w:sz w:val="24"/>
      <w:szCs w:val="24"/>
      <w:lang w:val="zh-CN" w:eastAsia="zh-CN"/>
    </w:rPr>
  </w:style>
  <w:style w:type="character" w:customStyle="1" w:styleId="9Char">
    <w:name w:val="标题 9 Char"/>
    <w:basedOn w:val="a4"/>
    <w:link w:val="9"/>
    <w:uiPriority w:val="9"/>
    <w:qFormat/>
    <w:rPr>
      <w:rFonts w:ascii="Calibri Light" w:eastAsia="宋体" w:hAnsi="Calibri Light" w:cs="Times New Roman"/>
      <w:szCs w:val="21"/>
      <w:lang w:val="zh-CN" w:eastAsia="zh-CN"/>
    </w:rPr>
  </w:style>
  <w:style w:type="paragraph" w:customStyle="1" w:styleId="11">
    <w:name w:val="列出段落1"/>
    <w:basedOn w:val="a3"/>
    <w:pPr>
      <w:adjustRightInd w:val="0"/>
      <w:snapToGrid w:val="0"/>
      <w:spacing w:beforeLines="25" w:afterLines="25" w:line="300" w:lineRule="auto"/>
      <w:ind w:firstLine="420"/>
    </w:pPr>
    <w:rPr>
      <w:rFonts w:ascii="Times New Roman" w:hAnsi="Times New Roman" w:cs="Arial"/>
      <w:kern w:val="2"/>
      <w:sz w:val="24"/>
      <w:szCs w:val="22"/>
    </w:rPr>
  </w:style>
  <w:style w:type="character" w:customStyle="1" w:styleId="Char4">
    <w:name w:val="脚注文本 Char"/>
    <w:basedOn w:val="a4"/>
    <w:link w:val="a2"/>
    <w:qFormat/>
    <w:rPr>
      <w:rFonts w:ascii="Times New Roman" w:eastAsia="黑体" w:hAnsi="Times New Roman" w:cs="Times New Roman"/>
      <w:sz w:val="18"/>
      <w:szCs w:val="18"/>
      <w:lang w:val="zh-CN" w:eastAsia="zh-CN"/>
    </w:rPr>
  </w:style>
  <w:style w:type="paragraph" w:customStyle="1" w:styleId="a">
    <w:name w:val="二级条标题"/>
    <w:basedOn w:val="a3"/>
    <w:next w:val="a3"/>
    <w:qFormat/>
    <w:pPr>
      <w:widowControl/>
      <w:numPr>
        <w:numId w:val="2"/>
      </w:numPr>
      <w:tabs>
        <w:tab w:val="left" w:pos="0"/>
        <w:tab w:val="left" w:pos="1260"/>
        <w:tab w:val="left" w:pos="1680"/>
      </w:tabs>
      <w:ind w:left="1680" w:hanging="420"/>
      <w:outlineLvl w:val="3"/>
    </w:pPr>
    <w:rPr>
      <w:rFonts w:ascii="黑体" w:cs="Times New Roman"/>
      <w:kern w:val="2"/>
      <w:szCs w:val="22"/>
    </w:rPr>
  </w:style>
  <w:style w:type="paragraph" w:customStyle="1" w:styleId="a1">
    <w:name w:val="示例×："/>
    <w:basedOn w:val="a3"/>
    <w:next w:val="a3"/>
    <w:qFormat/>
    <w:pPr>
      <w:numPr>
        <w:ilvl w:val="2"/>
        <w:numId w:val="2"/>
      </w:numPr>
      <w:tabs>
        <w:tab w:val="left" w:pos="0"/>
        <w:tab w:val="left" w:pos="630"/>
        <w:tab w:val="left" w:pos="760"/>
      </w:tabs>
      <w:autoSpaceDE w:val="0"/>
      <w:autoSpaceDN w:val="0"/>
      <w:adjustRightInd w:val="0"/>
      <w:snapToGrid w:val="0"/>
      <w:spacing w:beforeLines="25" w:afterLines="25" w:line="300" w:lineRule="auto"/>
      <w:ind w:left="20" w:firstLine="380"/>
    </w:pPr>
    <w:rPr>
      <w:rFonts w:ascii="宋体" w:hAnsi="Times New Roman" w:cs="Times New Roman"/>
      <w:kern w:val="2"/>
      <w:sz w:val="18"/>
      <w:szCs w:val="20"/>
    </w:rPr>
  </w:style>
  <w:style w:type="paragraph" w:customStyle="1" w:styleId="a0">
    <w:name w:val="其他标准称谓"/>
    <w:qFormat/>
    <w:pPr>
      <w:numPr>
        <w:ilvl w:val="1"/>
        <w:numId w:val="2"/>
      </w:numPr>
      <w:tabs>
        <w:tab w:val="left" w:pos="0"/>
      </w:tabs>
      <w:spacing w:line="0" w:lineRule="atLeast"/>
      <w:ind w:left="576" w:hanging="576"/>
      <w:jc w:val="distribute"/>
    </w:pPr>
    <w:rPr>
      <w:rFonts w:ascii="黑体" w:hAnsi="宋体"/>
      <w:kern w:val="2"/>
      <w:sz w:val="52"/>
      <w:szCs w:val="22"/>
    </w:rPr>
  </w:style>
  <w:style w:type="character" w:customStyle="1" w:styleId="Char">
    <w:name w:val="文档结构图 Char"/>
    <w:basedOn w:val="a4"/>
    <w:link w:val="a7"/>
    <w:uiPriority w:val="99"/>
    <w:semiHidden/>
    <w:qFormat/>
    <w:rPr>
      <w:rFonts w:ascii="宋体" w:eastAsia="宋体" w:hAnsi="Calibri" w:cs="Times New Roman"/>
      <w:kern w:val="10"/>
      <w:sz w:val="18"/>
      <w:szCs w:val="18"/>
      <w:lang w:val="zh-CN" w:eastAsia="zh-CN"/>
    </w:rPr>
  </w:style>
  <w:style w:type="character" w:customStyle="1" w:styleId="font91">
    <w:name w:val="font91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61">
    <w:name w:val="font61"/>
    <w:qFormat/>
    <w:rPr>
      <w:rFonts w:ascii="微软雅黑" w:eastAsia="微软雅黑" w:hAnsi="微软雅黑" w:cs="微软雅黑"/>
      <w:b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81">
    <w:name w:val="font81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0">
    <w:name w:val="日期 Char1"/>
    <w:uiPriority w:val="99"/>
    <w:semiHidden/>
    <w:rPr>
      <w:rFonts w:cs="Calibri"/>
      <w:kern w:val="10"/>
      <w:sz w:val="21"/>
      <w:szCs w:val="21"/>
    </w:rPr>
  </w:style>
  <w:style w:type="character" w:customStyle="1" w:styleId="Char11">
    <w:name w:val="页眉 Char1"/>
    <w:uiPriority w:val="99"/>
    <w:semiHidden/>
    <w:qFormat/>
    <w:rPr>
      <w:rFonts w:cs="Calibri"/>
      <w:kern w:val="10"/>
      <w:sz w:val="18"/>
      <w:szCs w:val="18"/>
    </w:rPr>
  </w:style>
  <w:style w:type="character" w:customStyle="1" w:styleId="Char12">
    <w:name w:val="页脚 Char1"/>
    <w:uiPriority w:val="99"/>
    <w:semiHidden/>
    <w:qFormat/>
    <w:rPr>
      <w:rFonts w:cs="Calibri"/>
      <w:kern w:val="10"/>
      <w:sz w:val="18"/>
      <w:szCs w:val="18"/>
    </w:rPr>
  </w:style>
  <w:style w:type="character" w:customStyle="1" w:styleId="Char13">
    <w:name w:val="批注框文本 Char1"/>
    <w:uiPriority w:val="99"/>
    <w:semiHidden/>
    <w:qFormat/>
    <w:rPr>
      <w:rFonts w:cs="Calibri"/>
      <w:kern w:val="10"/>
      <w:sz w:val="18"/>
      <w:szCs w:val="18"/>
    </w:rPr>
  </w:style>
  <w:style w:type="paragraph" w:styleId="af">
    <w:name w:val="List Paragraph"/>
    <w:basedOn w:val="a3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微软雅黑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A38DA-3D01-4506-84D4-9CA67C04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</Words>
  <Characters>3294</Characters>
  <Application>Microsoft Office Word</Application>
  <DocSecurity>0</DocSecurity>
  <Lines>27</Lines>
  <Paragraphs>7</Paragraphs>
  <ScaleCrop>false</ScaleCrop>
  <Company>xq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Administrator</cp:lastModifiedBy>
  <cp:revision>2</cp:revision>
  <cp:lastPrinted>2021-11-08T01:15:00Z</cp:lastPrinted>
  <dcterms:created xsi:type="dcterms:W3CDTF">2021-11-12T02:21:00Z</dcterms:created>
  <dcterms:modified xsi:type="dcterms:W3CDTF">2021-11-12T02:21:00Z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45842AAEBD4D41FF806707E61EAC3AF2</vt:lpwstr>
  </property>
</Properties>
</file>