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仿宋_GB2312" w:hAnsi="黑体" w:eastAsia="仿宋_GB2312"/>
          <w:sz w:val="32"/>
          <w:szCs w:val="28"/>
        </w:rPr>
      </w:pPr>
      <w:bookmarkStart w:id="0" w:name="_GoBack"/>
      <w:bookmarkEnd w:id="0"/>
      <w:r>
        <w:rPr>
          <w:rFonts w:hint="eastAsia" w:ascii="黑体" w:hAnsi="黑体" w:eastAsia="黑体" w:cs="仿宋_GB2312"/>
          <w:kern w:val="0"/>
          <w:sz w:val="32"/>
          <w:szCs w:val="32"/>
        </w:rPr>
        <w:t>附件1</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4"/>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药剂科</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微波真空干燥箱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1台</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48.2万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1305"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用于中药浸膏的干燥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真空泵安装位置距微波干燥箱安装位置有一定距离需要通过一段管道连接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D级洁净区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合同签订后70天内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95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8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1.微波干燥箱</w:t>
            </w:r>
          </w:p>
        </w:tc>
        <w:tc>
          <w:tcPr>
            <w:tcW w:w="5954"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★1.1微波功率≥20KW；高度＜2.4m</w:t>
            </w:r>
          </w:p>
        </w:tc>
        <w:tc>
          <w:tcPr>
            <w:tcW w:w="2551"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根据实际生产需要</w:t>
            </w:r>
          </w:p>
        </w:tc>
        <w:tc>
          <w:tcPr>
            <w:tcW w:w="2800"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★1.2烘盘：高度≥7cm，数量≥8只，总有效装载量≥40kg</w:t>
            </w:r>
          </w:p>
        </w:tc>
        <w:tc>
          <w:tcPr>
            <w:tcW w:w="2551"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根据实际生产需要</w:t>
            </w:r>
          </w:p>
        </w:tc>
        <w:tc>
          <w:tcPr>
            <w:tcW w:w="2800"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▲1.3磁控管冷却方式：风冷</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1.4含中药浸膏鼓泡自动处理装置</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2.真空泵</w:t>
            </w: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▲2.1含水箱和冷凝器</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329"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11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29"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微波真空干燥箱</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9329"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val="zh-CN" w:bidi="zh-CN"/>
              </w:rPr>
              <w:t>真空泵</w:t>
            </w:r>
            <w:r>
              <w:rPr>
                <w:rFonts w:hint="eastAsia" w:cs="宋体" w:asciiTheme="minorEastAsia" w:hAnsiTheme="minorEastAsia"/>
                <w:kern w:val="0"/>
                <w:szCs w:val="21"/>
                <w:lang w:bidi="zh-CN"/>
              </w:rPr>
              <w:t>（</w:t>
            </w:r>
            <w:r>
              <w:rPr>
                <w:rFonts w:hint="eastAsia" w:cs="Arial" w:asciiTheme="minorEastAsia" w:hAnsiTheme="minorEastAsia"/>
                <w:kern w:val="0"/>
                <w:szCs w:val="21"/>
                <w:lang w:val="zh-CN" w:bidi="zh-CN"/>
              </w:rPr>
              <w:t>含水箱和冷凝器</w:t>
            </w:r>
            <w:r>
              <w:rPr>
                <w:rFonts w:hint="eastAsia" w:cs="宋体" w:asciiTheme="minorEastAsia" w:hAnsiTheme="minorEastAsia"/>
                <w:kern w:val="0"/>
                <w:szCs w:val="21"/>
                <w:lang w:bidi="zh-CN"/>
              </w:rPr>
              <w:t>）</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保修年限</w:t>
            </w:r>
          </w:p>
        </w:tc>
        <w:tc>
          <w:tcPr>
            <w:tcW w:w="11305"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耗材及零配件</w:t>
            </w:r>
          </w:p>
        </w:tc>
        <w:tc>
          <w:tcPr>
            <w:tcW w:w="11305"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故障响应时间</w:t>
            </w:r>
          </w:p>
        </w:tc>
        <w:tc>
          <w:tcPr>
            <w:tcW w:w="11305"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配件供应时间</w:t>
            </w:r>
          </w:p>
        </w:tc>
        <w:tc>
          <w:tcPr>
            <w:tcW w:w="11305"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维修资料</w:t>
            </w:r>
          </w:p>
        </w:tc>
        <w:tc>
          <w:tcPr>
            <w:tcW w:w="11305"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pPr>
            <w:r>
              <w:rPr>
                <w:rFonts w:hint="eastAsia"/>
              </w:rPr>
              <w:t>升级</w:t>
            </w:r>
          </w:p>
        </w:tc>
        <w:tc>
          <w:tcPr>
            <w:tcW w:w="11305" w:type="dxa"/>
            <w:gridSpan w:val="5"/>
          </w:tcPr>
          <w:p>
            <w:r>
              <w:rPr>
                <w:rFonts w:hint="eastAsia"/>
              </w:rPr>
              <w:t>软件终身免费升级</w:t>
            </w:r>
          </w:p>
        </w:tc>
      </w:tr>
    </w:tbl>
    <w:p>
      <w:pPr>
        <w:widowControl/>
        <w:spacing w:line="0" w:lineRule="atLeast"/>
        <w:rPr>
          <w:sz w:val="22"/>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p>
    <w:p>
      <w:pPr>
        <w:spacing w:line="579" w:lineRule="exact"/>
        <w:rPr>
          <w:rFonts w:ascii="仿宋_GB2312" w:hAnsi="黑体" w:eastAsia="仿宋_GB2312"/>
          <w:sz w:val="32"/>
          <w:szCs w:val="28"/>
        </w:rPr>
      </w:pPr>
      <w:r>
        <w:rPr>
          <w:rFonts w:hint="eastAsia" w:ascii="黑体" w:hAnsi="黑体" w:eastAsia="黑体" w:cs="仿宋_GB2312"/>
          <w:kern w:val="0"/>
          <w:sz w:val="32"/>
          <w:szCs w:val="32"/>
        </w:rPr>
        <w:t>附件2</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4"/>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药剂科</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洁具烘干臭氧灭菌柜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3台</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12.6万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1305"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用于洁净区清洁工具烘干消毒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设备尺寸重量或拆装后的尺寸重量可通过药学部电梯运输并安装至洁净区。药学部电梯门宽高：1.1×2.1m；电梯轿厢长宽高：2.1×1.5×2.4m；电梯运载重量：1600kg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95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8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★1.内腔容积：≥560L，高度＜2.3m</w:t>
            </w:r>
          </w:p>
        </w:tc>
        <w:tc>
          <w:tcPr>
            <w:tcW w:w="2551"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根据实际生产需要</w:t>
            </w:r>
          </w:p>
        </w:tc>
        <w:tc>
          <w:tcPr>
            <w:tcW w:w="2800"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容积越大越好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▲2.柜体内外材质：</w:t>
            </w:r>
            <w:r>
              <w:rPr>
                <w:rFonts w:cs="Times New Roman" w:asciiTheme="minorEastAsia" w:hAnsiTheme="minorEastAsia"/>
                <w:kern w:val="0"/>
                <w:szCs w:val="21"/>
                <w:lang w:bidi="zh-CN"/>
              </w:rPr>
              <w:t>304</w:t>
            </w:r>
            <w:r>
              <w:rPr>
                <w:rFonts w:hint="eastAsia" w:cs="Times New Roman" w:asciiTheme="minorEastAsia" w:hAnsiTheme="minorEastAsia"/>
                <w:kern w:val="0"/>
                <w:szCs w:val="21"/>
                <w:lang w:bidi="zh-CN"/>
              </w:rPr>
              <w:t>不锈钢</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★3.具有热风自动循环烘干及臭氧灭菌功能；烘干最高温度≥75℃，臭氧量≥2g/h</w:t>
            </w:r>
          </w:p>
        </w:tc>
        <w:tc>
          <w:tcPr>
            <w:tcW w:w="2551"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根据实际生产需要</w:t>
            </w: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329"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11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29" w:type="dxa"/>
            <w:gridSpan w:val="4"/>
            <w:vAlign w:val="center"/>
          </w:tcPr>
          <w:p>
            <w:pPr>
              <w:jc w:val="center"/>
              <w:rPr>
                <w:rFonts w:cs="宋体" w:asciiTheme="minorEastAsia" w:hAnsiTheme="minorEastAsia"/>
                <w:kern w:val="0"/>
                <w:szCs w:val="21"/>
                <w:lang w:val="zh-CN" w:bidi="zh-CN"/>
              </w:rPr>
            </w:pPr>
            <w:r>
              <w:rPr>
                <w:rFonts w:hint="eastAsia" w:cs="华文中宋" w:asciiTheme="minorEastAsia" w:hAnsiTheme="minorEastAsia"/>
                <w:kern w:val="0"/>
                <w:szCs w:val="21"/>
                <w:lang w:val="zh-CN" w:bidi="zh-CN"/>
              </w:rPr>
              <w:t>洁具烘干臭氧灭菌柜</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保修年限</w:t>
            </w:r>
          </w:p>
        </w:tc>
        <w:tc>
          <w:tcPr>
            <w:tcW w:w="11305" w:type="dxa"/>
            <w:gridSpan w:val="5"/>
          </w:tcPr>
          <w:p>
            <w:pPr>
              <w:jc w:val="left"/>
              <w:rPr>
                <w:rFonts w:asciiTheme="minorEastAsia" w:hAnsiTheme="minorEastAsia"/>
              </w:rPr>
            </w:pPr>
            <w:r>
              <w:rPr>
                <w:rFonts w:hint="eastAsia" w:asciiTheme="minorEastAsia" w:hAnsiTheme="minor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耗材及零配件</w:t>
            </w:r>
          </w:p>
        </w:tc>
        <w:tc>
          <w:tcPr>
            <w:tcW w:w="11305"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故障响应时间</w:t>
            </w:r>
          </w:p>
        </w:tc>
        <w:tc>
          <w:tcPr>
            <w:tcW w:w="11305"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配件供应时间</w:t>
            </w:r>
          </w:p>
        </w:tc>
        <w:tc>
          <w:tcPr>
            <w:tcW w:w="11305"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维修资料</w:t>
            </w:r>
          </w:p>
        </w:tc>
        <w:tc>
          <w:tcPr>
            <w:tcW w:w="11305"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pPr>
            <w:r>
              <w:rPr>
                <w:rFonts w:hint="eastAsia"/>
              </w:rPr>
              <w:t>升级</w:t>
            </w:r>
          </w:p>
        </w:tc>
        <w:tc>
          <w:tcPr>
            <w:tcW w:w="11305" w:type="dxa"/>
            <w:gridSpan w:val="5"/>
          </w:tcPr>
          <w:p>
            <w:r>
              <w:rPr>
                <w:rFonts w:hint="eastAsia"/>
              </w:rPr>
              <w:t>软件终身免费升级</w:t>
            </w:r>
          </w:p>
        </w:tc>
      </w:tr>
    </w:tbl>
    <w:p>
      <w:pPr>
        <w:widowControl/>
        <w:spacing w:line="0" w:lineRule="atLeast"/>
        <w:rPr>
          <w:sz w:val="22"/>
        </w:rPr>
        <w:sectPr>
          <w:pgSz w:w="16838" w:h="11906" w:orient="landscape"/>
          <w:pgMar w:top="1800" w:right="1440" w:bottom="1800" w:left="1440" w:header="851" w:footer="992" w:gutter="0"/>
          <w:cols w:space="425" w:num="1"/>
          <w:docGrid w:type="lines" w:linePitch="312" w:charSpace="0"/>
        </w:sectPr>
      </w:pPr>
    </w:p>
    <w:p>
      <w:pPr>
        <w:spacing w:line="579" w:lineRule="exact"/>
        <w:rPr>
          <w:rFonts w:ascii="仿宋_GB2312" w:hAnsi="黑体" w:eastAsia="仿宋_GB2312"/>
          <w:sz w:val="32"/>
          <w:szCs w:val="28"/>
        </w:rPr>
      </w:pPr>
      <w:r>
        <w:rPr>
          <w:rFonts w:hint="eastAsia" w:ascii="黑体" w:hAnsi="黑体" w:eastAsia="黑体" w:cs="仿宋_GB2312"/>
          <w:kern w:val="0"/>
          <w:sz w:val="32"/>
          <w:szCs w:val="32"/>
        </w:rPr>
        <w:t>附件3</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4"/>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药剂科</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过氧化氢雾化消毒器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2台</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26万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1305"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用于洁净区空气消毒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设备尺寸重量或拆装后的尺寸重量可通过药学部电梯运输至洁净区。药学部电梯门宽高：1.1×2.1m；电梯轿厢长宽高：2.1×1.5×2.4m；电梯运载重量：1600kg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D级洁净区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95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8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★1.消毒空间≥500m³，灭菌级别Log6</w:t>
            </w:r>
            <w:r>
              <w:rPr>
                <w:rFonts w:cs="Times New Roman" w:asciiTheme="minorEastAsia" w:hAnsiTheme="minorEastAsia"/>
                <w:kern w:val="0"/>
                <w:szCs w:val="21"/>
                <w:lang w:bidi="zh-CN"/>
              </w:rPr>
              <w:t xml:space="preserve"> </w:t>
            </w:r>
            <w:r>
              <w:rPr>
                <w:rFonts w:hint="eastAsia" w:cs="Times New Roman" w:asciiTheme="minorEastAsia" w:hAnsiTheme="minorEastAsia"/>
                <w:kern w:val="0"/>
                <w:szCs w:val="21"/>
                <w:lang w:bidi="zh-CN"/>
              </w:rPr>
              <w:t>或以上</w:t>
            </w:r>
          </w:p>
        </w:tc>
        <w:tc>
          <w:tcPr>
            <w:tcW w:w="2551"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根据实际生产需要</w:t>
            </w:r>
          </w:p>
        </w:tc>
        <w:tc>
          <w:tcPr>
            <w:tcW w:w="2800"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消毒空间越大越好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★2.可移动式</w:t>
            </w:r>
          </w:p>
        </w:tc>
        <w:tc>
          <w:tcPr>
            <w:tcW w:w="2551"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根据实际生产需要</w:t>
            </w: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▲3.过氧化氢溶液（7.5%）：用量＜10ml/m³，可达到Log6灭菌级别</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4.最大装药量≥5L</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329"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11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29" w:type="dxa"/>
            <w:gridSpan w:val="4"/>
            <w:vAlign w:val="center"/>
          </w:tcPr>
          <w:p>
            <w:pPr>
              <w:jc w:val="center"/>
              <w:rPr>
                <w:rFonts w:cs="宋体" w:asciiTheme="minorEastAsia" w:hAnsiTheme="minorEastAsia"/>
                <w:kern w:val="0"/>
                <w:szCs w:val="21"/>
                <w:lang w:val="zh-CN" w:bidi="zh-CN"/>
              </w:rPr>
            </w:pPr>
            <w:r>
              <w:rPr>
                <w:rFonts w:hint="eastAsia" w:cs="华文中宋" w:asciiTheme="minorEastAsia" w:hAnsiTheme="minorEastAsia"/>
                <w:kern w:val="0"/>
                <w:szCs w:val="21"/>
                <w:lang w:val="zh-CN" w:bidi="zh-CN"/>
              </w:rPr>
              <w:t>过氧化氢雾化消毒器</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9329" w:type="dxa"/>
            <w:gridSpan w:val="4"/>
            <w:vAlign w:val="center"/>
          </w:tcPr>
          <w:p>
            <w:pPr>
              <w:jc w:val="center"/>
              <w:rPr>
                <w:rFonts w:cs="宋体" w:asciiTheme="minorEastAsia" w:hAnsiTheme="minorEastAsia"/>
                <w:kern w:val="0"/>
                <w:szCs w:val="21"/>
                <w:highlight w:val="yellow"/>
                <w:lang w:val="zh-CN" w:bidi="zh-CN"/>
              </w:rPr>
            </w:pPr>
            <w:r>
              <w:rPr>
                <w:rFonts w:hint="eastAsia" w:cs="宋体" w:asciiTheme="minorEastAsia" w:hAnsiTheme="minorEastAsia"/>
                <w:kern w:val="0"/>
                <w:szCs w:val="21"/>
                <w:highlight w:val="yellow"/>
                <w:lang w:val="zh-CN" w:bidi="zh-CN"/>
              </w:rPr>
              <w:t>过氧化氢溶液</w:t>
            </w:r>
          </w:p>
        </w:tc>
        <w:tc>
          <w:tcPr>
            <w:tcW w:w="1116" w:type="dxa"/>
            <w:vAlign w:val="center"/>
          </w:tcPr>
          <w:p>
            <w:pPr>
              <w:jc w:val="center"/>
              <w:rPr>
                <w:rFonts w:cs="宋体" w:asciiTheme="minorEastAsia" w:hAnsiTheme="minorEastAsia"/>
                <w:kern w:val="0"/>
                <w:szCs w:val="21"/>
                <w:highlight w:val="yellow"/>
                <w:lang w:val="zh-CN" w:bidi="zh-CN"/>
              </w:rPr>
            </w:pPr>
            <w:r>
              <w:rPr>
                <w:rFonts w:hint="eastAsia" w:cs="宋体" w:asciiTheme="minorEastAsia" w:hAnsiTheme="minorEastAsia"/>
                <w:kern w:val="0"/>
                <w:szCs w:val="21"/>
                <w:highlight w:val="yellow"/>
                <w:lang w:val="zh-CN" w:bidi="zh-CN"/>
              </w:rPr>
              <w:t>1</w:t>
            </w:r>
          </w:p>
        </w:tc>
        <w:tc>
          <w:tcPr>
            <w:tcW w:w="1684" w:type="dxa"/>
            <w:vAlign w:val="center"/>
          </w:tcPr>
          <w:p>
            <w:pPr>
              <w:jc w:val="center"/>
              <w:rPr>
                <w:rFonts w:cs="宋体" w:asciiTheme="minorEastAsia" w:hAnsiTheme="minorEastAsia"/>
                <w:kern w:val="0"/>
                <w:szCs w:val="21"/>
                <w:highlight w:val="yellow"/>
                <w:lang w:val="zh-CN" w:bidi="zh-CN"/>
              </w:rPr>
            </w:pPr>
            <w:r>
              <w:rPr>
                <w:rFonts w:hint="eastAsia" w:cs="宋体" w:asciiTheme="minorEastAsia" w:hAnsiTheme="minorEastAsia"/>
                <w:kern w:val="0"/>
                <w:szCs w:val="21"/>
                <w:highlight w:val="yellow"/>
                <w:lang w:val="zh-CN" w:bidi="zh-CN"/>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保修年限</w:t>
            </w:r>
          </w:p>
        </w:tc>
        <w:tc>
          <w:tcPr>
            <w:tcW w:w="11305" w:type="dxa"/>
            <w:gridSpan w:val="5"/>
          </w:tcPr>
          <w:p>
            <w:pPr>
              <w:jc w:val="left"/>
              <w:rPr>
                <w:rFonts w:asciiTheme="minorEastAsia" w:hAnsiTheme="minorEastAsia"/>
              </w:rPr>
            </w:pPr>
            <w:r>
              <w:rPr>
                <w:rFonts w:hint="eastAsia" w:asciiTheme="minorEastAsia" w:hAnsiTheme="minor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耗材及零配件</w:t>
            </w:r>
          </w:p>
        </w:tc>
        <w:tc>
          <w:tcPr>
            <w:tcW w:w="11305"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故障响应时间</w:t>
            </w:r>
          </w:p>
        </w:tc>
        <w:tc>
          <w:tcPr>
            <w:tcW w:w="11305"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配件供应时间</w:t>
            </w:r>
          </w:p>
        </w:tc>
        <w:tc>
          <w:tcPr>
            <w:tcW w:w="11305"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维修资料</w:t>
            </w:r>
          </w:p>
        </w:tc>
        <w:tc>
          <w:tcPr>
            <w:tcW w:w="11305"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pPr>
            <w:r>
              <w:rPr>
                <w:rFonts w:hint="eastAsia"/>
              </w:rPr>
              <w:t>升级</w:t>
            </w:r>
          </w:p>
        </w:tc>
        <w:tc>
          <w:tcPr>
            <w:tcW w:w="11305" w:type="dxa"/>
            <w:gridSpan w:val="5"/>
          </w:tcPr>
          <w:p>
            <w:r>
              <w:rPr>
                <w:rFonts w:hint="eastAsia"/>
              </w:rPr>
              <w:t>软件终身免费升级</w:t>
            </w:r>
          </w:p>
        </w:tc>
      </w:tr>
    </w:tbl>
    <w:p>
      <w:pPr>
        <w:widowControl/>
        <w:spacing w:line="0" w:lineRule="atLeast"/>
        <w:rPr>
          <w:sz w:val="22"/>
        </w:rPr>
        <w:sectPr>
          <w:pgSz w:w="16838" w:h="11906" w:orient="landscape"/>
          <w:pgMar w:top="1800" w:right="1440" w:bottom="1800" w:left="1440" w:header="851" w:footer="992" w:gutter="0"/>
          <w:cols w:space="425" w:num="1"/>
          <w:docGrid w:type="lines" w:linePitch="312" w:charSpace="0"/>
        </w:sectPr>
      </w:pPr>
    </w:p>
    <w:p>
      <w:pPr>
        <w:spacing w:line="579" w:lineRule="exact"/>
        <w:rPr>
          <w:rFonts w:ascii="仿宋_GB2312" w:hAnsi="黑体" w:eastAsia="仿宋_GB2312"/>
          <w:sz w:val="32"/>
          <w:szCs w:val="28"/>
        </w:rPr>
      </w:pPr>
      <w:r>
        <w:rPr>
          <w:rFonts w:hint="eastAsia" w:ascii="黑体" w:hAnsi="黑体" w:eastAsia="黑体" w:cs="仿宋_GB2312"/>
          <w:kern w:val="0"/>
          <w:sz w:val="32"/>
          <w:szCs w:val="32"/>
        </w:rPr>
        <w:t>附件4</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4"/>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药剂科</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酶标仪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1台</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49万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1305"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用于荧光、化学发光检测和紫外吸收光检测，包括：ELISA检测、蛋白质定量，钙流检测、分子间相互作用、报告基因检（luciferase、GFP、DLR、GUS）、ATP检测等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2m</w:t>
            </w:r>
            <w:r>
              <w:rPr>
                <w:rFonts w:hint="eastAsia" w:cs="Times New Roman" w:asciiTheme="minorEastAsia" w:hAnsiTheme="minorEastAsia"/>
                <w:kern w:val="0"/>
                <w:szCs w:val="21"/>
                <w:vertAlign w:val="superscript"/>
                <w:lang w:val="zh-CN" w:bidi="zh-CN"/>
              </w:rPr>
              <w:t>2</w:t>
            </w:r>
            <w:r>
              <w:rPr>
                <w:rFonts w:hint="eastAsia" w:cs="Times New Roman" w:asciiTheme="minorEastAsia" w:hAnsiTheme="minorEastAsia"/>
                <w:kern w:val="0"/>
                <w:szCs w:val="21"/>
                <w:lang w:val="zh-CN" w:bidi="zh-CN"/>
              </w:rPr>
              <w:t>水平桌面，电源插座3个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95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8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★1.检测器：具有≥3个独立检测器，用于光吸收、荧光(包含FRET)、化学发光(辉光和闪光)等检测功能，可以升级时间分辨荧光(TR-FRET)、Alphascreen/AlphaLIS检测功能</w:t>
            </w:r>
          </w:p>
        </w:tc>
        <w:tc>
          <w:tcPr>
            <w:tcW w:w="2551" w:type="dxa"/>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保证各种应用都能达到最佳的检测灵敏度</w:t>
            </w:r>
          </w:p>
        </w:tc>
        <w:tc>
          <w:tcPr>
            <w:tcW w:w="2800"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独立检测器越多越好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★2.支持光吸收、荧光、时间分辨荧光和化学发光的全光谱扫描，包括四光栅光路和滤光片光路</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▲3.读板类型：光吸收支持6～384孔板，荧光和化学发光支持6～1536孔板</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▲4.光吸收检测：双光栅，波长范围210～1000nm，杂散光＜0.005% at230nm</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▲5.荧光检测：激发波长范围200～1000nm，发射波长范围270～840nm，激发光带宽：最小激发带宽≤5nm，最小发射带宽≤12nm，最小Stokes位移18nm</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6.化学发光检测：波长范围360～670nm（光谱扫描范围270-840nm）；独立的化学发光光路，化学发光灵敏度＜8amol ATP/孔</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化学发光灵敏度数值越小灵敏度越高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7.控制和高级分析功能二合一，实时显示运行结果，一键选择列表、板布局等多种直观数据显示方式</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8.中文、英文等9种语言选择设置，Windows 直观界面，图标按钮显示基于SQL 数据库</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9.智能化自动填充铺板布局，可自定义测量模板及命名、颜色设置</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10.软件可控制仪器进板出板、孵育、震荡以及内置自动分液器的冲洗、分液操作，可实现同步分液和信号测量功能，满足多步骤快速动力学反应的需要</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11.自动孔间光程校准；数据测量及分析过程可包括：扣减本底、定量曲线拟合，动力学计算，临界值分析和质控等；自动保存标准曲线</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12.具有结果报告输出功能，xls, pdf, txt，xml 格式，一键输出excel 表格，支持报告email 发送</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bidi="zh-CN"/>
              </w:rPr>
            </w:pPr>
            <w:r>
              <w:rPr>
                <w:rFonts w:hint="eastAsia" w:cs="Arial" w:asciiTheme="minorEastAsia" w:hAnsiTheme="minorEastAsia"/>
                <w:kern w:val="0"/>
                <w:szCs w:val="21"/>
                <w:lang w:bidi="zh-CN"/>
              </w:rPr>
              <w:t>品牌台式电脑</w:t>
            </w:r>
          </w:p>
        </w:tc>
        <w:tc>
          <w:tcPr>
            <w:tcW w:w="5954" w:type="dxa"/>
            <w:gridSpan w:val="2"/>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13.64位Win8.1 操作系统，四核，2GHz以上CPU，固态硬盘≥14G，内存≥8G，USB接口，光驱，显示器分辨率≥1280×1024</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329"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11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29" w:type="dxa"/>
            <w:gridSpan w:val="4"/>
            <w:vAlign w:val="center"/>
          </w:tcPr>
          <w:p>
            <w:pPr>
              <w:jc w:val="center"/>
              <w:rPr>
                <w:rFonts w:cs="宋体" w:asciiTheme="minorEastAsia" w:hAnsiTheme="minorEastAsia"/>
                <w:kern w:val="0"/>
                <w:szCs w:val="21"/>
                <w:lang w:val="zh-CN" w:bidi="zh-CN"/>
              </w:rPr>
            </w:pPr>
            <w:r>
              <w:rPr>
                <w:rFonts w:hint="eastAsia" w:hAnsi="宋体"/>
                <w:szCs w:val="21"/>
              </w:rPr>
              <w:t>主机</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9329" w:type="dxa"/>
            <w:gridSpan w:val="4"/>
            <w:vAlign w:val="center"/>
          </w:tcPr>
          <w:p>
            <w:pPr>
              <w:jc w:val="center"/>
              <w:rPr>
                <w:rFonts w:cs="宋体" w:asciiTheme="minorEastAsia" w:hAnsiTheme="minorEastAsia"/>
                <w:kern w:val="0"/>
                <w:szCs w:val="21"/>
                <w:lang w:val="zh-CN" w:bidi="zh-CN"/>
              </w:rPr>
            </w:pPr>
            <w:r>
              <w:rPr>
                <w:rFonts w:hint="eastAsia"/>
                <w:szCs w:val="21"/>
              </w:rPr>
              <w:t>紫外</w:t>
            </w:r>
            <w:r>
              <w:rPr>
                <w:szCs w:val="21"/>
              </w:rPr>
              <w:t>可见光吸收</w:t>
            </w:r>
            <w:r>
              <w:rPr>
                <w:rFonts w:hint="eastAsia"/>
                <w:szCs w:val="21"/>
              </w:rPr>
              <w:t>检测模块</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val="zh-CN"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3</w:t>
            </w:r>
          </w:p>
        </w:tc>
        <w:tc>
          <w:tcPr>
            <w:tcW w:w="9329" w:type="dxa"/>
            <w:gridSpan w:val="4"/>
            <w:vAlign w:val="center"/>
          </w:tcPr>
          <w:p>
            <w:pPr>
              <w:jc w:val="center"/>
              <w:rPr>
                <w:rFonts w:cs="宋体" w:asciiTheme="minorEastAsia" w:hAnsiTheme="minorEastAsia"/>
                <w:kern w:val="0"/>
                <w:szCs w:val="21"/>
                <w:lang w:val="zh-CN" w:bidi="zh-CN"/>
              </w:rPr>
            </w:pPr>
            <w:r>
              <w:rPr>
                <w:szCs w:val="21"/>
              </w:rPr>
              <w:t>荧光</w:t>
            </w:r>
            <w:r>
              <w:rPr>
                <w:rFonts w:hint="eastAsia"/>
                <w:szCs w:val="21"/>
              </w:rPr>
              <w:t>检测模块</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4</w:t>
            </w:r>
          </w:p>
        </w:tc>
        <w:tc>
          <w:tcPr>
            <w:tcW w:w="9329" w:type="dxa"/>
            <w:gridSpan w:val="4"/>
            <w:vAlign w:val="center"/>
          </w:tcPr>
          <w:p>
            <w:pPr>
              <w:jc w:val="center"/>
              <w:rPr>
                <w:rFonts w:cs="宋体" w:asciiTheme="minorEastAsia" w:hAnsiTheme="minorEastAsia"/>
                <w:kern w:val="0"/>
                <w:szCs w:val="21"/>
                <w:lang w:val="zh-CN" w:bidi="zh-CN"/>
              </w:rPr>
            </w:pPr>
            <w:r>
              <w:rPr>
                <w:rFonts w:hint="eastAsia"/>
                <w:szCs w:val="21"/>
              </w:rPr>
              <w:t>化学发光</w:t>
            </w:r>
            <w:r>
              <w:rPr>
                <w:szCs w:val="21"/>
              </w:rPr>
              <w:t>检测模块</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5</w:t>
            </w:r>
          </w:p>
        </w:tc>
        <w:tc>
          <w:tcPr>
            <w:tcW w:w="9329" w:type="dxa"/>
            <w:gridSpan w:val="4"/>
            <w:vAlign w:val="center"/>
          </w:tcPr>
          <w:p>
            <w:pPr>
              <w:jc w:val="center"/>
              <w:rPr>
                <w:rFonts w:cs="宋体" w:asciiTheme="minorEastAsia" w:hAnsiTheme="minorEastAsia"/>
                <w:kern w:val="0"/>
                <w:szCs w:val="21"/>
                <w:lang w:val="zh-CN" w:bidi="zh-CN"/>
              </w:rPr>
            </w:pPr>
            <w:r>
              <w:rPr>
                <w:szCs w:val="21"/>
              </w:rPr>
              <w:t>配套科研版高级分析软件</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6</w:t>
            </w:r>
          </w:p>
        </w:tc>
        <w:tc>
          <w:tcPr>
            <w:tcW w:w="9329" w:type="dxa"/>
            <w:gridSpan w:val="4"/>
            <w:vAlign w:val="center"/>
          </w:tcPr>
          <w:p>
            <w:pPr>
              <w:jc w:val="center"/>
              <w:rPr>
                <w:rFonts w:cs="宋体" w:asciiTheme="minorEastAsia" w:hAnsiTheme="minorEastAsia"/>
                <w:kern w:val="0"/>
                <w:szCs w:val="21"/>
                <w:lang w:val="zh-CN" w:bidi="zh-CN"/>
              </w:rPr>
            </w:pPr>
            <w:r>
              <w:rPr>
                <w:rFonts w:hint="eastAsia" w:asciiTheme="minorEastAsia" w:hAnsiTheme="minorEastAsia"/>
                <w:szCs w:val="21"/>
              </w:rPr>
              <w:t>96</w:t>
            </w:r>
            <w:r>
              <w:rPr>
                <w:rFonts w:hint="eastAsia"/>
                <w:szCs w:val="21"/>
              </w:rPr>
              <w:t>孔带盖适配器</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7</w:t>
            </w:r>
          </w:p>
        </w:tc>
        <w:tc>
          <w:tcPr>
            <w:tcW w:w="9329" w:type="dxa"/>
            <w:gridSpan w:val="4"/>
            <w:vAlign w:val="center"/>
          </w:tcPr>
          <w:p>
            <w:pPr>
              <w:jc w:val="center"/>
              <w:rPr>
                <w:rFonts w:cs="宋体" w:asciiTheme="minorEastAsia" w:hAnsiTheme="minorEastAsia"/>
                <w:kern w:val="0"/>
                <w:szCs w:val="21"/>
                <w:lang w:val="zh-CN" w:bidi="zh-CN"/>
              </w:rPr>
            </w:pPr>
            <w:r>
              <w:rPr>
                <w:rFonts w:hint="eastAsia"/>
                <w:szCs w:val="21"/>
              </w:rPr>
              <w:t>台式电脑</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保修年限</w:t>
            </w:r>
          </w:p>
        </w:tc>
        <w:tc>
          <w:tcPr>
            <w:tcW w:w="11305" w:type="dxa"/>
            <w:gridSpan w:val="5"/>
          </w:tcPr>
          <w:p>
            <w:pPr>
              <w:jc w:val="left"/>
              <w:rPr>
                <w:rFonts w:asciiTheme="minorEastAsia" w:hAnsiTheme="minorEastAsia"/>
              </w:rPr>
            </w:pPr>
            <w:r>
              <w:rPr>
                <w:rFonts w:hint="eastAsia" w:asciiTheme="minorEastAsia" w:hAnsiTheme="minor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耗材及零配件</w:t>
            </w:r>
          </w:p>
        </w:tc>
        <w:tc>
          <w:tcPr>
            <w:tcW w:w="11305"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故障响应时间</w:t>
            </w:r>
          </w:p>
        </w:tc>
        <w:tc>
          <w:tcPr>
            <w:tcW w:w="11305"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配件供应时间</w:t>
            </w:r>
          </w:p>
        </w:tc>
        <w:tc>
          <w:tcPr>
            <w:tcW w:w="11305"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维修资料</w:t>
            </w:r>
          </w:p>
        </w:tc>
        <w:tc>
          <w:tcPr>
            <w:tcW w:w="11305"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pPr>
            <w:r>
              <w:rPr>
                <w:rFonts w:hint="eastAsia"/>
              </w:rPr>
              <w:t>升级</w:t>
            </w:r>
          </w:p>
        </w:tc>
        <w:tc>
          <w:tcPr>
            <w:tcW w:w="11305" w:type="dxa"/>
            <w:gridSpan w:val="5"/>
          </w:tcPr>
          <w:p>
            <w:r>
              <w:rPr>
                <w:rFonts w:hint="eastAsia"/>
              </w:rPr>
              <w:t>软件终身免费升级</w:t>
            </w:r>
          </w:p>
        </w:tc>
      </w:tr>
    </w:tbl>
    <w:p>
      <w:pPr>
        <w:widowControl/>
        <w:spacing w:line="0" w:lineRule="atLeast"/>
        <w:rPr>
          <w:sz w:val="22"/>
        </w:rPr>
        <w:sectPr>
          <w:pgSz w:w="16838" w:h="11906" w:orient="landscape"/>
          <w:pgMar w:top="1800" w:right="1440" w:bottom="1800" w:left="1440" w:header="851" w:footer="992" w:gutter="0"/>
          <w:cols w:space="425" w:num="1"/>
          <w:docGrid w:type="lines" w:linePitch="312" w:charSpace="0"/>
        </w:sectPr>
      </w:pPr>
    </w:p>
    <w:p>
      <w:pPr>
        <w:spacing w:line="579" w:lineRule="exact"/>
        <w:rPr>
          <w:rFonts w:ascii="仿宋_GB2312" w:hAnsi="黑体" w:eastAsia="仿宋_GB2312"/>
          <w:sz w:val="32"/>
          <w:szCs w:val="28"/>
        </w:rPr>
      </w:pPr>
      <w:r>
        <w:rPr>
          <w:rFonts w:hint="eastAsia" w:ascii="黑体" w:hAnsi="黑体" w:eastAsia="黑体" w:cs="仿宋_GB2312"/>
          <w:kern w:val="0"/>
          <w:sz w:val="32"/>
          <w:szCs w:val="32"/>
        </w:rPr>
        <w:t>附件5</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4"/>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药剂科</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旋片式真空泵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1台</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0.21万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1305"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用于对密封容器抽除气体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95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8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★1.抽气速率≥4L/s</w:t>
            </w:r>
          </w:p>
        </w:tc>
        <w:tc>
          <w:tcPr>
            <w:tcW w:w="2551" w:type="dxa"/>
            <w:vAlign w:val="center"/>
          </w:tcPr>
          <w:p>
            <w:pPr>
              <w:jc w:val="left"/>
              <w:rPr>
                <w:rFonts w:cs="Times New Roman" w:asciiTheme="minorEastAsia" w:hAnsiTheme="minorEastAsia"/>
                <w:kern w:val="0"/>
                <w:szCs w:val="21"/>
                <w:lang w:bidi="zh-CN"/>
              </w:rPr>
            </w:pPr>
          </w:p>
        </w:tc>
        <w:tc>
          <w:tcPr>
            <w:tcW w:w="2800"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▲2.转速≥1400r/min</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▲3.容油量≥1.2L</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4.电机功率≥0.55kw</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329"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11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29" w:type="dxa"/>
            <w:gridSpan w:val="4"/>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旋片式真空泵</w:t>
            </w:r>
          </w:p>
        </w:tc>
        <w:tc>
          <w:tcPr>
            <w:tcW w:w="1116"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1</w:t>
            </w:r>
            <w:r>
              <w:rPr>
                <w:rFonts w:cs="宋体" w:asciiTheme="minorEastAsia" w:hAnsiTheme="minorEastAsia"/>
                <w:kern w:val="0"/>
                <w:szCs w:val="21"/>
                <w:lang w:bidi="zh-CN"/>
              </w:rPr>
              <w:t xml:space="preserve"> </w:t>
            </w:r>
          </w:p>
        </w:tc>
        <w:tc>
          <w:tcPr>
            <w:tcW w:w="168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保修年限</w:t>
            </w:r>
          </w:p>
        </w:tc>
        <w:tc>
          <w:tcPr>
            <w:tcW w:w="11305" w:type="dxa"/>
            <w:gridSpan w:val="5"/>
          </w:tcPr>
          <w:p>
            <w:pPr>
              <w:jc w:val="left"/>
              <w:rPr>
                <w:rFonts w:asciiTheme="minorEastAsia" w:hAnsiTheme="minorEastAsia"/>
              </w:rPr>
            </w:pPr>
            <w:r>
              <w:rPr>
                <w:rFonts w:hint="eastAsia" w:asciiTheme="minorEastAsia" w:hAnsiTheme="minorEastAsia"/>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耗材及零配件</w:t>
            </w:r>
          </w:p>
        </w:tc>
        <w:tc>
          <w:tcPr>
            <w:tcW w:w="11305"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故障响应时间</w:t>
            </w:r>
          </w:p>
        </w:tc>
        <w:tc>
          <w:tcPr>
            <w:tcW w:w="11305"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配件供应时间</w:t>
            </w:r>
          </w:p>
        </w:tc>
        <w:tc>
          <w:tcPr>
            <w:tcW w:w="11305"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维修资料</w:t>
            </w:r>
          </w:p>
        </w:tc>
        <w:tc>
          <w:tcPr>
            <w:tcW w:w="11305"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pPr>
            <w:r>
              <w:rPr>
                <w:rFonts w:hint="eastAsia"/>
              </w:rPr>
              <w:t>升级</w:t>
            </w:r>
          </w:p>
        </w:tc>
        <w:tc>
          <w:tcPr>
            <w:tcW w:w="11305" w:type="dxa"/>
            <w:gridSpan w:val="5"/>
          </w:tcPr>
          <w:p>
            <w:r>
              <w:rPr>
                <w:rFonts w:hint="eastAsia"/>
              </w:rPr>
              <w:t>软件终身免费升级</w:t>
            </w:r>
          </w:p>
        </w:tc>
      </w:tr>
    </w:tbl>
    <w:p>
      <w:pPr>
        <w:widowControl/>
        <w:spacing w:line="0" w:lineRule="atLeast"/>
        <w:rPr>
          <w:sz w:val="22"/>
        </w:rPr>
        <w:sectPr>
          <w:pgSz w:w="16838" w:h="11906" w:orient="landscape"/>
          <w:pgMar w:top="1800" w:right="1440" w:bottom="1800" w:left="1440" w:header="851" w:footer="992" w:gutter="0"/>
          <w:cols w:space="425" w:num="1"/>
          <w:docGrid w:type="lines" w:linePitch="312" w:charSpace="0"/>
        </w:sectPr>
      </w:pPr>
    </w:p>
    <w:p>
      <w:pPr>
        <w:spacing w:line="579" w:lineRule="exact"/>
        <w:rPr>
          <w:rFonts w:ascii="仿宋_GB2312" w:hAnsi="黑体" w:eastAsia="仿宋_GB2312"/>
          <w:sz w:val="32"/>
          <w:szCs w:val="28"/>
        </w:rPr>
      </w:pPr>
      <w:r>
        <w:rPr>
          <w:rFonts w:hint="eastAsia" w:ascii="黑体" w:hAnsi="黑体" w:eastAsia="黑体" w:cs="仿宋_GB2312"/>
          <w:kern w:val="0"/>
          <w:sz w:val="32"/>
          <w:szCs w:val="32"/>
        </w:rPr>
        <w:t>附件6</w:t>
      </w:r>
    </w:p>
    <w:p>
      <w:pPr>
        <w:spacing w:line="620" w:lineRule="exact"/>
        <w:jc w:val="center"/>
        <w:rPr>
          <w:rFonts w:ascii="方正小标宋简体" w:hAnsi="Calibri" w:eastAsia="方正小标宋简体" w:cs="Calibri"/>
          <w:kern w:val="10"/>
          <w:sz w:val="32"/>
          <w:szCs w:val="32"/>
        </w:rPr>
      </w:pPr>
      <w:r>
        <w:rPr>
          <w:rFonts w:hint="eastAsia" w:ascii="方正小标宋简体" w:hAnsi="Calibri" w:eastAsia="方正小标宋简体" w:cs="Calibri"/>
          <w:kern w:val="10"/>
          <w:sz w:val="32"/>
          <w:szCs w:val="32"/>
        </w:rPr>
        <w:t>技术参数确认表</w:t>
      </w:r>
    </w:p>
    <w:tbl>
      <w:tblPr>
        <w:tblStyle w:val="4"/>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需求部门</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药剂科</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设备名称</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十万分之一天平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    量</w:t>
            </w:r>
          </w:p>
        </w:tc>
        <w:tc>
          <w:tcPr>
            <w:tcW w:w="5731" w:type="dxa"/>
            <w:vAlign w:val="center"/>
          </w:tcPr>
          <w:p>
            <w:pPr>
              <w:jc w:val="center"/>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1台</w:t>
            </w:r>
          </w:p>
        </w:tc>
        <w:tc>
          <w:tcPr>
            <w:tcW w:w="277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预算金额</w:t>
            </w:r>
          </w:p>
        </w:tc>
        <w:tc>
          <w:tcPr>
            <w:tcW w:w="2800" w:type="dxa"/>
            <w:gridSpan w:val="2"/>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4万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cs="华文中宋" w:asciiTheme="minorEastAsia" w:hAnsiTheme="minorEastAsia"/>
                <w:b/>
                <w:kern w:val="0"/>
                <w:szCs w:val="21"/>
                <w:lang w:val="zh-CN" w:bidi="zh-CN"/>
              </w:rPr>
            </w:pPr>
            <w:r>
              <w:rPr>
                <w:rFonts w:hint="eastAsia" w:cs="Times New Roman" w:asciiTheme="minorEastAsia" w:hAnsiTheme="minorEastAsia"/>
                <w:b/>
                <w:kern w:val="0"/>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设备用途及使用范围</w:t>
            </w:r>
          </w:p>
        </w:tc>
        <w:tc>
          <w:tcPr>
            <w:tcW w:w="11305" w:type="dxa"/>
            <w:gridSpan w:val="5"/>
            <w:vAlign w:val="center"/>
          </w:tcPr>
          <w:p>
            <w:pPr>
              <w:jc w:val="left"/>
              <w:rPr>
                <w:rFonts w:cs="华文中宋" w:asciiTheme="minorEastAsia" w:hAnsiTheme="minorEastAsia"/>
                <w:kern w:val="0"/>
                <w:szCs w:val="21"/>
                <w:lang w:val="zh-CN" w:bidi="zh-CN"/>
              </w:rPr>
            </w:pPr>
            <w:r>
              <w:rPr>
                <w:rFonts w:hint="eastAsia" w:cs="华文中宋" w:asciiTheme="minorEastAsia" w:hAnsiTheme="minorEastAsia"/>
                <w:kern w:val="0"/>
                <w:szCs w:val="21"/>
                <w:lang w:val="zh-CN" w:bidi="zh-CN"/>
              </w:rPr>
              <w:t>用于药品、样品等称量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安装场地</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使用环境</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交付时间</w:t>
            </w:r>
          </w:p>
        </w:tc>
        <w:tc>
          <w:tcPr>
            <w:tcW w:w="11305" w:type="dxa"/>
            <w:gridSpan w:val="5"/>
            <w:vAlign w:val="center"/>
          </w:tcPr>
          <w:p>
            <w:pPr>
              <w:jc w:val="left"/>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主要配置或模块名称</w:t>
            </w:r>
          </w:p>
        </w:tc>
        <w:tc>
          <w:tcPr>
            <w:tcW w:w="5954"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具体性能与参数要求</w:t>
            </w:r>
          </w:p>
        </w:tc>
        <w:tc>
          <w:tcPr>
            <w:tcW w:w="2551"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核心参数设置理由</w:t>
            </w:r>
          </w:p>
        </w:tc>
        <w:tc>
          <w:tcPr>
            <w:tcW w:w="2800" w:type="dxa"/>
            <w:gridSpan w:val="2"/>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jc w:val="left"/>
              <w:rPr>
                <w:rFonts w:cs="Times New Roman" w:asciiTheme="minorEastAsia" w:hAnsiTheme="minorEastAsia"/>
                <w:kern w:val="0"/>
                <w:szCs w:val="21"/>
                <w:lang w:bidi="zh-CN"/>
              </w:rPr>
            </w:pPr>
            <w:r>
              <w:rPr>
                <w:rFonts w:hint="eastAsia" w:cs="Times New Roman" w:asciiTheme="minorEastAsia" w:hAnsiTheme="minorEastAsia"/>
                <w:kern w:val="0"/>
                <w:szCs w:val="21"/>
                <w:lang w:bidi="zh-CN"/>
              </w:rPr>
              <w:t>▲1.量程：≥50g</w:t>
            </w:r>
          </w:p>
        </w:tc>
        <w:tc>
          <w:tcPr>
            <w:tcW w:w="2551" w:type="dxa"/>
            <w:vAlign w:val="center"/>
          </w:tcPr>
          <w:p>
            <w:pPr>
              <w:jc w:val="left"/>
              <w:rPr>
                <w:rFonts w:cs="Times New Roman" w:asciiTheme="minorEastAsia" w:hAnsiTheme="minorEastAsia"/>
                <w:kern w:val="0"/>
                <w:szCs w:val="21"/>
                <w:lang w:bidi="zh-CN"/>
              </w:rPr>
            </w:pPr>
          </w:p>
        </w:tc>
        <w:tc>
          <w:tcPr>
            <w:tcW w:w="2800" w:type="dxa"/>
            <w:gridSpan w:val="2"/>
            <w:vAlign w:val="center"/>
          </w:tcPr>
          <w:p>
            <w:pPr>
              <w:jc w:val="left"/>
              <w:rPr>
                <w:rFonts w:cs="Times New Roman"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★2.可读性（精度）：0.01mg</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3.秤盘尺寸：Ø≥80mm</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4.重复性（满载量程）：≤±0.02mg</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★5.校准方式：温度和时间触发的全自动内校</w:t>
            </w:r>
          </w:p>
        </w:tc>
        <w:tc>
          <w:tcPr>
            <w:tcW w:w="2551" w:type="dxa"/>
            <w:vAlign w:val="center"/>
          </w:tcPr>
          <w:p>
            <w:pPr>
              <w:widowControl/>
              <w:jc w:val="left"/>
              <w:rPr>
                <w:rFonts w:cs="Arial" w:asciiTheme="minorEastAsia" w:hAnsiTheme="minorEastAsia"/>
                <w:kern w:val="0"/>
                <w:szCs w:val="21"/>
                <w:lang w:bidi="zh-CN"/>
              </w:rPr>
            </w:pPr>
            <w:r>
              <w:rPr>
                <w:rFonts w:hint="eastAsia" w:cs="Arial" w:asciiTheme="minorEastAsia" w:hAnsiTheme="minorEastAsia"/>
                <w:kern w:val="0"/>
                <w:szCs w:val="21"/>
                <w:lang w:bidi="zh-CN"/>
              </w:rPr>
              <w:t>保证称量时的准确性</w:t>
            </w: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6.具有可完全拆卸的防静电玻璃防风罩</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▲7.具有电脑直连功能，称量数据可直接传输到电子表格或者文本如Microsoft® Excel 或Word 等格式的文档中</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Align w:val="center"/>
          </w:tcPr>
          <w:p>
            <w:pPr>
              <w:jc w:val="center"/>
              <w:rPr>
                <w:rFonts w:cs="Times New Roman" w:asciiTheme="minorEastAsia" w:hAnsiTheme="minorEastAsia"/>
                <w:kern w:val="0"/>
                <w:szCs w:val="21"/>
                <w:lang w:val="zh-CN" w:bidi="zh-CN"/>
              </w:rPr>
            </w:pPr>
          </w:p>
        </w:tc>
        <w:tc>
          <w:tcPr>
            <w:tcW w:w="5954" w:type="dxa"/>
            <w:gridSpan w:val="2"/>
            <w:vAlign w:val="center"/>
          </w:tcPr>
          <w:p>
            <w:pPr>
              <w:widowControl/>
              <w:jc w:val="left"/>
              <w:rPr>
                <w:rFonts w:cs="Arial" w:asciiTheme="minorEastAsia" w:hAnsiTheme="minorEastAsia"/>
                <w:kern w:val="0"/>
                <w:szCs w:val="21"/>
                <w:lang w:bidi="zh-CN"/>
              </w:rPr>
            </w:pPr>
            <w:r>
              <w:rPr>
                <w:rFonts w:hint="eastAsia" w:cs="Times New Roman" w:asciiTheme="minorEastAsia" w:hAnsiTheme="minorEastAsia"/>
                <w:kern w:val="0"/>
                <w:szCs w:val="21"/>
                <w:lang w:bidi="zh-CN"/>
              </w:rPr>
              <w:t>8.具有密码保护功能</w:t>
            </w:r>
          </w:p>
        </w:tc>
        <w:tc>
          <w:tcPr>
            <w:tcW w:w="2551" w:type="dxa"/>
            <w:vAlign w:val="center"/>
          </w:tcPr>
          <w:p>
            <w:pPr>
              <w:widowControl/>
              <w:jc w:val="left"/>
              <w:rPr>
                <w:rFonts w:cs="Arial" w:asciiTheme="minorEastAsia" w:hAnsiTheme="minorEastAsia"/>
                <w:kern w:val="0"/>
                <w:szCs w:val="21"/>
                <w:lang w:bidi="zh-CN"/>
              </w:rPr>
            </w:pPr>
          </w:p>
        </w:tc>
        <w:tc>
          <w:tcPr>
            <w:tcW w:w="2800" w:type="dxa"/>
            <w:gridSpan w:val="2"/>
            <w:vAlign w:val="center"/>
          </w:tcPr>
          <w:p>
            <w:pPr>
              <w:widowControl/>
              <w:jc w:val="left"/>
              <w:rPr>
                <w:rFonts w:cs="Arial" w:asciiTheme="minorEastAsia" w:hAnsiTheme="minorEastAsia"/>
                <w:kern w:val="0"/>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widowControl/>
              <w:jc w:val="center"/>
              <w:rPr>
                <w:rFonts w:cs="Arial" w:asciiTheme="minorEastAsia" w:hAnsiTheme="minorEastAsia"/>
                <w:b/>
                <w:kern w:val="0"/>
                <w:szCs w:val="21"/>
                <w:lang w:bidi="zh-CN"/>
              </w:rPr>
            </w:pPr>
            <w:r>
              <w:rPr>
                <w:rFonts w:hint="eastAsia" w:cs="Times New Roman" w:asciiTheme="minorEastAsia" w:hAnsiTheme="minorEastAsia"/>
                <w:b/>
                <w:kern w:val="0"/>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序号</w:t>
            </w:r>
          </w:p>
        </w:tc>
        <w:tc>
          <w:tcPr>
            <w:tcW w:w="9329" w:type="dxa"/>
            <w:gridSpan w:val="4"/>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设备配置名称</w:t>
            </w:r>
          </w:p>
        </w:tc>
        <w:tc>
          <w:tcPr>
            <w:tcW w:w="1116"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数量</w:t>
            </w:r>
          </w:p>
        </w:tc>
        <w:tc>
          <w:tcPr>
            <w:tcW w:w="1684" w:type="dxa"/>
            <w:vAlign w:val="center"/>
          </w:tcPr>
          <w:p>
            <w:pPr>
              <w:jc w:val="center"/>
              <w:rPr>
                <w:rFonts w:cs="Times New Roman" w:asciiTheme="minorEastAsia" w:hAnsiTheme="minorEastAsia"/>
                <w:kern w:val="0"/>
                <w:szCs w:val="21"/>
                <w:lang w:val="zh-CN" w:bidi="zh-CN"/>
              </w:rPr>
            </w:pPr>
            <w:r>
              <w:rPr>
                <w:rFonts w:hint="eastAsia" w:cs="Times New Roman" w:asciiTheme="minorEastAsia" w:hAnsiTheme="minorEastAsia"/>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9329"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十万分之一天平</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cs="宋体" w:asciiTheme="minorEastAsia" w:hAnsiTheme="minorEastAsia"/>
                <w:kern w:val="0"/>
                <w:szCs w:val="21"/>
                <w:lang w:bidi="zh-CN"/>
              </w:rPr>
            </w:pPr>
            <w:r>
              <w:rPr>
                <w:rFonts w:hint="eastAsia" w:cs="宋体" w:asciiTheme="minorEastAsia" w:hAnsiTheme="minorEastAsia"/>
                <w:kern w:val="0"/>
                <w:szCs w:val="21"/>
                <w:lang w:bidi="zh-CN"/>
              </w:rPr>
              <w:t>2</w:t>
            </w:r>
          </w:p>
        </w:tc>
        <w:tc>
          <w:tcPr>
            <w:tcW w:w="9329" w:type="dxa"/>
            <w:gridSpan w:val="4"/>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防风罩</w:t>
            </w:r>
          </w:p>
        </w:tc>
        <w:tc>
          <w:tcPr>
            <w:tcW w:w="1116"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1</w:t>
            </w:r>
          </w:p>
        </w:tc>
        <w:tc>
          <w:tcPr>
            <w:tcW w:w="1684" w:type="dxa"/>
            <w:vAlign w:val="center"/>
          </w:tcPr>
          <w:p>
            <w:pPr>
              <w:jc w:val="center"/>
              <w:rPr>
                <w:rFonts w:cs="宋体" w:asciiTheme="minorEastAsia" w:hAnsiTheme="minorEastAsia"/>
                <w:kern w:val="0"/>
                <w:szCs w:val="21"/>
                <w:lang w:val="zh-CN" w:bidi="zh-CN"/>
              </w:rPr>
            </w:pPr>
            <w:r>
              <w:rPr>
                <w:rFonts w:hint="eastAsia" w:cs="宋体" w:asciiTheme="minorEastAsia" w:hAnsiTheme="minorEastAsia"/>
                <w:kern w:val="0"/>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cs="Times New Roman" w:asciiTheme="minorEastAsia" w:hAnsiTheme="minorEastAsia"/>
                <w:b/>
                <w:kern w:val="0"/>
                <w:szCs w:val="21"/>
                <w:lang w:val="zh-CN" w:bidi="zh-CN"/>
              </w:rPr>
            </w:pPr>
            <w:r>
              <w:rPr>
                <w:rFonts w:hint="eastAsia" w:cs="Times New Roman" w:asciiTheme="minorEastAsia" w:hAnsiTheme="minorEastAsia"/>
                <w:b/>
                <w:kern w:val="0"/>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保修年限</w:t>
            </w:r>
          </w:p>
        </w:tc>
        <w:tc>
          <w:tcPr>
            <w:tcW w:w="11305" w:type="dxa"/>
            <w:gridSpan w:val="5"/>
          </w:tcPr>
          <w:p>
            <w:pPr>
              <w:jc w:val="left"/>
              <w:rPr>
                <w:rFonts w:asciiTheme="minorEastAsia" w:hAnsiTheme="minorEastAsia"/>
              </w:rPr>
            </w:pPr>
            <w:r>
              <w:rPr>
                <w:rFonts w:hint="eastAsia" w:asciiTheme="minorEastAsia" w:hAnsiTheme="minorEastAsia"/>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耗材及零配件</w:t>
            </w:r>
          </w:p>
        </w:tc>
        <w:tc>
          <w:tcPr>
            <w:tcW w:w="11305" w:type="dxa"/>
            <w:gridSpan w:val="5"/>
          </w:tcPr>
          <w:p>
            <w:pPr>
              <w:jc w:val="left"/>
              <w:rPr>
                <w:rFonts w:asciiTheme="minorEastAsia" w:hAnsiTheme="minorEastAsia"/>
              </w:rPr>
            </w:pPr>
            <w:r>
              <w:rPr>
                <w:rFonts w:hint="eastAsia" w:asciiTheme="minorEastAsia" w:hAnsiTheme="minorEastAsia"/>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故障响应时间</w:t>
            </w:r>
          </w:p>
        </w:tc>
        <w:tc>
          <w:tcPr>
            <w:tcW w:w="11305" w:type="dxa"/>
            <w:gridSpan w:val="5"/>
          </w:tcPr>
          <w:p>
            <w:pPr>
              <w:jc w:val="left"/>
              <w:rPr>
                <w:rFonts w:asciiTheme="minorEastAsia" w:hAnsiTheme="minorEastAsia"/>
              </w:rPr>
            </w:pPr>
            <w:r>
              <w:rPr>
                <w:rFonts w:hint="eastAsia" w:asciiTheme="minorEastAsia" w:hAnsiTheme="minorEastAsia"/>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Theme="minorEastAsia" w:hAnsiTheme="minorEastAsia"/>
              </w:rPr>
            </w:pPr>
            <w:r>
              <w:rPr>
                <w:rFonts w:hint="eastAsia" w:asciiTheme="minorEastAsia" w:hAnsiTheme="minorEastAsia"/>
              </w:rPr>
              <w:t>配件供应时间</w:t>
            </w:r>
          </w:p>
        </w:tc>
        <w:tc>
          <w:tcPr>
            <w:tcW w:w="11305" w:type="dxa"/>
            <w:gridSpan w:val="5"/>
          </w:tcPr>
          <w:p>
            <w:pPr>
              <w:jc w:val="left"/>
              <w:rPr>
                <w:rFonts w:asciiTheme="minorEastAsia" w:hAnsiTheme="minorEastAsia"/>
              </w:rPr>
            </w:pPr>
            <w:r>
              <w:rPr>
                <w:rFonts w:hint="eastAsia" w:asciiTheme="minorEastAsia" w:hAnsiTheme="minorEastAsi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Theme="minorEastAsia" w:hAnsiTheme="minorEastAsia"/>
              </w:rPr>
            </w:pPr>
            <w:r>
              <w:rPr>
                <w:rFonts w:hint="eastAsia" w:asciiTheme="minorEastAsia" w:hAnsiTheme="minorEastAsia"/>
              </w:rPr>
              <w:t>维修资料</w:t>
            </w:r>
          </w:p>
        </w:tc>
        <w:tc>
          <w:tcPr>
            <w:tcW w:w="11305" w:type="dxa"/>
            <w:gridSpan w:val="5"/>
          </w:tcPr>
          <w:p>
            <w:pPr>
              <w:jc w:val="left"/>
              <w:rPr>
                <w:rFonts w:asciiTheme="minorEastAsia" w:hAnsiTheme="minorEastAsia"/>
              </w:rPr>
            </w:pPr>
            <w:r>
              <w:rPr>
                <w:rFonts w:hint="eastAsia" w:asciiTheme="minorEastAsia" w:hAnsiTheme="minorEastAsia"/>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pPr>
            <w:r>
              <w:rPr>
                <w:rFonts w:hint="eastAsia"/>
              </w:rPr>
              <w:t>升级</w:t>
            </w:r>
          </w:p>
        </w:tc>
        <w:tc>
          <w:tcPr>
            <w:tcW w:w="11305" w:type="dxa"/>
            <w:gridSpan w:val="5"/>
          </w:tcPr>
          <w:p>
            <w:r>
              <w:rPr>
                <w:rFonts w:hint="eastAsia"/>
              </w:rPr>
              <w:t>软件终身免费升级</w:t>
            </w:r>
          </w:p>
        </w:tc>
      </w:tr>
    </w:tbl>
    <w:p>
      <w:pPr>
        <w:spacing w:line="579" w:lineRule="exact"/>
        <w:rPr>
          <w:sz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cs="宋体"/>
        <w:sz w:val="28"/>
        <w:szCs w:val="28"/>
      </w:rPr>
    </w:pPr>
    <w:r>
      <w:rPr>
        <w:rStyle w:val="6"/>
        <w:rFonts w:ascii="宋体" w:hAnsi="宋体" w:cs="宋体"/>
        <w:sz w:val="28"/>
        <w:szCs w:val="28"/>
      </w:rPr>
      <w:t>—</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7</w:t>
    </w:r>
    <w:r>
      <w:rPr>
        <w:rStyle w:val="6"/>
        <w:rFonts w:ascii="宋体" w:hAnsi="宋体" w:cs="宋体"/>
        <w:sz w:val="28"/>
        <w:szCs w:val="28"/>
      </w:rPr>
      <w:fldChar w:fldCharType="end"/>
    </w:r>
    <w:r>
      <w:rPr>
        <w:rStyle w:val="6"/>
        <w:rFonts w:ascii="宋体" w:hAnsi="宋体" w:cs="宋体"/>
        <w:sz w:val="28"/>
        <w:szCs w:val="28"/>
      </w:rPr>
      <w:t>—</w:t>
    </w:r>
  </w:p>
  <w:p>
    <w:pPr>
      <w:pStyle w:val="2"/>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jI5MzYzZjFjMjcxODZiYjgyZjVjNDhhM2E0NGMifQ=="/>
  </w:docVars>
  <w:rsids>
    <w:rsidRoot w:val="00287E88"/>
    <w:rsid w:val="00005C5B"/>
    <w:rsid w:val="000221DA"/>
    <w:rsid w:val="000742B8"/>
    <w:rsid w:val="00074F5D"/>
    <w:rsid w:val="0009773C"/>
    <w:rsid w:val="000A024A"/>
    <w:rsid w:val="000E539C"/>
    <w:rsid w:val="00122C76"/>
    <w:rsid w:val="001333F5"/>
    <w:rsid w:val="0015692F"/>
    <w:rsid w:val="001605D0"/>
    <w:rsid w:val="001731BF"/>
    <w:rsid w:val="001908CC"/>
    <w:rsid w:val="001F7587"/>
    <w:rsid w:val="002011AE"/>
    <w:rsid w:val="00220F1B"/>
    <w:rsid w:val="00284A46"/>
    <w:rsid w:val="00287E88"/>
    <w:rsid w:val="00293C12"/>
    <w:rsid w:val="00295260"/>
    <w:rsid w:val="00295775"/>
    <w:rsid w:val="002C3735"/>
    <w:rsid w:val="002D397F"/>
    <w:rsid w:val="003179B5"/>
    <w:rsid w:val="00342468"/>
    <w:rsid w:val="0037356B"/>
    <w:rsid w:val="003B4B9F"/>
    <w:rsid w:val="003C0860"/>
    <w:rsid w:val="003D03E5"/>
    <w:rsid w:val="003D7FE5"/>
    <w:rsid w:val="00423672"/>
    <w:rsid w:val="004300A5"/>
    <w:rsid w:val="004727EF"/>
    <w:rsid w:val="00480B58"/>
    <w:rsid w:val="004C7548"/>
    <w:rsid w:val="00502F7E"/>
    <w:rsid w:val="00513DE8"/>
    <w:rsid w:val="0051542D"/>
    <w:rsid w:val="00542B84"/>
    <w:rsid w:val="00553C65"/>
    <w:rsid w:val="0055545C"/>
    <w:rsid w:val="00574889"/>
    <w:rsid w:val="005830D7"/>
    <w:rsid w:val="005C14EB"/>
    <w:rsid w:val="005D52A3"/>
    <w:rsid w:val="00610AC8"/>
    <w:rsid w:val="006236AA"/>
    <w:rsid w:val="006365FB"/>
    <w:rsid w:val="00650D7C"/>
    <w:rsid w:val="00667E9D"/>
    <w:rsid w:val="00670785"/>
    <w:rsid w:val="00683086"/>
    <w:rsid w:val="006850D8"/>
    <w:rsid w:val="0070446E"/>
    <w:rsid w:val="007229DE"/>
    <w:rsid w:val="007776DB"/>
    <w:rsid w:val="00782665"/>
    <w:rsid w:val="007A7A90"/>
    <w:rsid w:val="007C798B"/>
    <w:rsid w:val="007E09AA"/>
    <w:rsid w:val="007E6BDB"/>
    <w:rsid w:val="008232ED"/>
    <w:rsid w:val="008A57FC"/>
    <w:rsid w:val="00940449"/>
    <w:rsid w:val="009D54EE"/>
    <w:rsid w:val="009E0AD9"/>
    <w:rsid w:val="009E3AD4"/>
    <w:rsid w:val="00A02FB3"/>
    <w:rsid w:val="00A04E4B"/>
    <w:rsid w:val="00A12A3F"/>
    <w:rsid w:val="00A21F39"/>
    <w:rsid w:val="00A55AB2"/>
    <w:rsid w:val="00A965F2"/>
    <w:rsid w:val="00AE098A"/>
    <w:rsid w:val="00AF32E7"/>
    <w:rsid w:val="00AF476C"/>
    <w:rsid w:val="00B032A0"/>
    <w:rsid w:val="00B1424B"/>
    <w:rsid w:val="00B17B07"/>
    <w:rsid w:val="00B53DAE"/>
    <w:rsid w:val="00B90924"/>
    <w:rsid w:val="00BC0D37"/>
    <w:rsid w:val="00BD0D16"/>
    <w:rsid w:val="00BF319F"/>
    <w:rsid w:val="00C03786"/>
    <w:rsid w:val="00C06A9E"/>
    <w:rsid w:val="00C07899"/>
    <w:rsid w:val="00C25483"/>
    <w:rsid w:val="00C34842"/>
    <w:rsid w:val="00C450B3"/>
    <w:rsid w:val="00C84B2B"/>
    <w:rsid w:val="00C9743C"/>
    <w:rsid w:val="00D06911"/>
    <w:rsid w:val="00D25DC5"/>
    <w:rsid w:val="00D5378C"/>
    <w:rsid w:val="00D55984"/>
    <w:rsid w:val="00D6683E"/>
    <w:rsid w:val="00DB546B"/>
    <w:rsid w:val="00DD5625"/>
    <w:rsid w:val="00DE1ECC"/>
    <w:rsid w:val="00DE74BF"/>
    <w:rsid w:val="00EC12BF"/>
    <w:rsid w:val="00ED7339"/>
    <w:rsid w:val="00ED7A9F"/>
    <w:rsid w:val="00FB10FE"/>
    <w:rsid w:val="00FC7F1F"/>
    <w:rsid w:val="518C51D2"/>
    <w:rsid w:val="583A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6506-114D-42BB-A11C-2CBC5A346D3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3135</Words>
  <Characters>3513</Characters>
  <Lines>32</Lines>
  <Paragraphs>9</Paragraphs>
  <TotalTime>707</TotalTime>
  <ScaleCrop>false</ScaleCrop>
  <LinksUpToDate>false</LinksUpToDate>
  <CharactersWithSpaces>3552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2021-07-20T02:51:00Z</dcterms:created>
  <dc:creator>Administrator</dc:creator>
  <cp:lastModifiedBy>Administrator</cp:lastModifiedBy>
  <cp:lastPrinted>2021-11-19T03:48:00Z</cp:lastPrinted>
  <dcterms:modified xsi:type="dcterms:W3CDTF">2022-11-03T02:53:25Z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960C2BECB8BE4881A0FD163276A6F77B</vt:lpwstr>
  </property>
</Properties>
</file>