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16"/>
      </w:pPr>
    </w:p>
    <w:p/>
    <w:p>
      <w:pPr>
        <w:spacing w:before="1560" w:beforeLines="650" w:line="480" w:lineRule="auto"/>
        <w:jc w:val="center"/>
        <w:rPr>
          <w:rFonts w:ascii="方正小标宋简体" w:eastAsia="方正小标宋简体"/>
          <w:bCs/>
          <w:sz w:val="96"/>
          <w:szCs w:val="96"/>
        </w:rPr>
      </w:pPr>
      <w:r>
        <w:rPr>
          <w:rFonts w:hint="eastAsia" w:ascii="方正小标宋简体" w:eastAsia="方正小标宋简体"/>
          <w:sz w:val="96"/>
          <w:szCs w:val="96"/>
        </w:rPr>
        <w:t>公开招标文件</w:t>
      </w:r>
    </w:p>
    <w:p/>
    <w:p>
      <w:pPr>
        <w:pStyle w:val="16"/>
      </w:pPr>
    </w:p>
    <w:p/>
    <w:p>
      <w:pPr>
        <w:pStyle w:val="17"/>
      </w:pPr>
    </w:p>
    <w:p>
      <w:pPr>
        <w:pStyle w:val="16"/>
      </w:pPr>
    </w:p>
    <w:p/>
    <w:p>
      <w:pPr>
        <w:pStyle w:val="16"/>
      </w:pPr>
    </w:p>
    <w:p/>
    <w:p>
      <w:pPr>
        <w:spacing w:line="560" w:lineRule="exact"/>
        <w:ind w:firstLine="1800" w:firstLineChars="500"/>
        <w:jc w:val="both"/>
        <w:rPr>
          <w:bCs/>
          <w:sz w:val="36"/>
          <w:szCs w:val="36"/>
        </w:rPr>
      </w:pPr>
      <w:r>
        <w:rPr>
          <w:bCs/>
          <w:sz w:val="36"/>
          <w:szCs w:val="36"/>
        </w:rPr>
        <w:t>项目名称：</w:t>
      </w:r>
      <w:r>
        <w:rPr>
          <w:rFonts w:hint="eastAsia"/>
          <w:bCs/>
          <w:sz w:val="36"/>
          <w:szCs w:val="36"/>
          <w:u w:val="single"/>
        </w:rPr>
        <w:t>显示器（8M）</w:t>
      </w:r>
    </w:p>
    <w:p>
      <w:pPr>
        <w:spacing w:line="560" w:lineRule="exact"/>
        <w:ind w:firstLine="1800" w:firstLineChars="500"/>
        <w:jc w:val="both"/>
        <w:rPr>
          <w:rFonts w:hint="eastAsia" w:eastAsia="宋体"/>
          <w:bCs/>
          <w:sz w:val="36"/>
          <w:szCs w:val="36"/>
          <w:lang w:val="en-US" w:eastAsia="zh-CN"/>
        </w:rPr>
      </w:pPr>
      <w:r>
        <w:rPr>
          <w:bCs/>
          <w:sz w:val="36"/>
          <w:szCs w:val="36"/>
        </w:rPr>
        <w:t>项目编号：</w:t>
      </w:r>
      <w:r>
        <w:rPr>
          <w:rFonts w:hint="eastAsia"/>
          <w:bCs/>
          <w:sz w:val="36"/>
          <w:szCs w:val="36"/>
          <w:u w:val="single"/>
        </w:rPr>
        <w:t>2024-JL13(04)-W10011</w:t>
      </w:r>
    </w:p>
    <w:p>
      <w:pPr>
        <w:jc w:val="center"/>
        <w:rPr>
          <w:rFonts w:eastAsia="华文中宋"/>
          <w:bCs/>
          <w:sz w:val="36"/>
          <w:szCs w:val="36"/>
        </w:rPr>
      </w:pPr>
    </w:p>
    <w:p>
      <w:pPr>
        <w:pStyle w:val="17"/>
        <w:rPr>
          <w:rFonts w:eastAsia="华文中宋"/>
          <w:bCs/>
          <w:sz w:val="36"/>
          <w:szCs w:val="36"/>
        </w:rPr>
      </w:pPr>
    </w:p>
    <w:p>
      <w:pPr>
        <w:rPr>
          <w:rFonts w:eastAsia="华文中宋"/>
          <w:bCs/>
          <w:sz w:val="36"/>
          <w:szCs w:val="36"/>
        </w:rPr>
      </w:pPr>
    </w:p>
    <w:p>
      <w:pPr>
        <w:pStyle w:val="17"/>
      </w:pPr>
    </w:p>
    <w:p>
      <w:pPr>
        <w:jc w:val="center"/>
        <w:rPr>
          <w:rFonts w:eastAsia="华文中宋"/>
          <w:bCs/>
          <w:sz w:val="36"/>
          <w:szCs w:val="36"/>
        </w:rPr>
      </w:pPr>
    </w:p>
    <w:p>
      <w:pPr>
        <w:jc w:val="center"/>
        <w:rPr>
          <w:rFonts w:hint="eastAsia" w:eastAsia="宋体"/>
          <w:bCs/>
          <w:spacing w:val="-26"/>
          <w:sz w:val="36"/>
          <w:szCs w:val="36"/>
          <w:lang w:eastAsia="zh-CN"/>
        </w:rPr>
      </w:pPr>
      <w:r>
        <w:rPr>
          <w:rFonts w:hint="eastAsia"/>
          <w:bCs/>
          <w:sz w:val="36"/>
          <w:szCs w:val="36"/>
          <w:u w:val="single"/>
          <w:lang w:eastAsia="zh-CN"/>
        </w:rPr>
        <w:t>物资采购中心</w:t>
      </w:r>
    </w:p>
    <w:p>
      <w:pPr>
        <w:jc w:val="center"/>
        <w:rPr>
          <w:bCs/>
          <w:sz w:val="36"/>
          <w:szCs w:val="36"/>
        </w:rPr>
      </w:pPr>
      <w:r>
        <w:rPr>
          <w:rFonts w:hint="eastAsia"/>
          <w:bCs/>
          <w:sz w:val="36"/>
          <w:szCs w:val="36"/>
          <w:u w:val="single"/>
          <w:lang w:val="en-US" w:eastAsia="zh-CN"/>
        </w:rPr>
        <w:t xml:space="preserve"> 2024</w:t>
      </w:r>
      <w:r>
        <w:rPr>
          <w:bCs/>
          <w:sz w:val="36"/>
          <w:szCs w:val="36"/>
          <w:u w:val="single"/>
        </w:rPr>
        <w:t xml:space="preserve"> </w:t>
      </w:r>
      <w:r>
        <w:rPr>
          <w:bCs/>
          <w:sz w:val="36"/>
          <w:szCs w:val="36"/>
        </w:rPr>
        <w:t>年</w:t>
      </w:r>
      <w:r>
        <w:rPr>
          <w:bCs/>
          <w:sz w:val="36"/>
          <w:szCs w:val="36"/>
          <w:u w:val="single"/>
        </w:rPr>
        <w:t xml:space="preserve"> </w:t>
      </w:r>
      <w:r>
        <w:rPr>
          <w:rFonts w:hint="eastAsia"/>
          <w:bCs/>
          <w:sz w:val="36"/>
          <w:szCs w:val="36"/>
          <w:u w:val="single"/>
          <w:lang w:val="en-US" w:eastAsia="zh-CN"/>
        </w:rPr>
        <w:t>3</w:t>
      </w:r>
      <w:r>
        <w:rPr>
          <w:rFonts w:hint="eastAsia"/>
          <w:bCs/>
          <w:sz w:val="36"/>
          <w:szCs w:val="36"/>
        </w:rPr>
        <w:t>月</w:t>
      </w:r>
    </w:p>
    <w:p>
      <w:pPr>
        <w:pStyle w:val="16"/>
      </w:pPr>
    </w:p>
    <w:p/>
    <w:p>
      <w:pPr>
        <w:pStyle w:val="16"/>
      </w:pPr>
    </w:p>
    <w:p/>
    <w:p>
      <w:pPr>
        <w:widowControl/>
        <w:jc w:val="left"/>
        <w:rPr>
          <w:rFonts w:ascii="黑体" w:hAnsi="黑体" w:eastAsia="黑体" w:cs="黑体"/>
          <w:bCs/>
          <w:sz w:val="44"/>
          <w:szCs w:val="44"/>
        </w:rPr>
      </w:pPr>
    </w:p>
    <w:p>
      <w:pPr>
        <w:spacing w:after="240" w:afterLines="100" w:line="560" w:lineRule="exact"/>
        <w:jc w:val="center"/>
        <w:rPr>
          <w:rFonts w:hint="eastAsia"/>
          <w:bCs/>
          <w:sz w:val="36"/>
          <w:szCs w:val="36"/>
        </w:rPr>
        <w:sectPr>
          <w:headerReference r:id="rId3" w:type="default"/>
          <w:pgSz w:w="11906" w:h="16838"/>
          <w:pgMar w:top="1418" w:right="1134" w:bottom="1418" w:left="1418" w:header="850" w:footer="851" w:gutter="0"/>
          <w:pgNumType w:start="1"/>
          <w:cols w:space="720" w:num="1"/>
        </w:sectPr>
      </w:pPr>
    </w:p>
    <w:p>
      <w:pPr>
        <w:spacing w:after="240" w:afterLines="100" w:line="560" w:lineRule="exact"/>
        <w:jc w:val="center"/>
        <w:rPr>
          <w:rFonts w:ascii="仿宋_GB2312" w:eastAsia="仿宋_GB2312"/>
          <w:bCs/>
          <w:sz w:val="36"/>
          <w:szCs w:val="36"/>
        </w:rPr>
      </w:pPr>
      <w:r>
        <w:rPr>
          <w:rFonts w:hint="eastAsia"/>
          <w:bCs/>
          <w:sz w:val="36"/>
          <w:szCs w:val="36"/>
        </w:rPr>
        <w:t>特别提示：投标注意事项</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color w:val="auto"/>
          <w:szCs w:val="28"/>
        </w:rPr>
        <w:t>一、投标供应商应当诚实守信,不得虚假投标。请认真阅读通用部分第三章投标文件内容及格式中“供应商承诺及书面声明”，并签字确认。评审委员会和采购机构视情核实投标资料真伪，一经核实虚假投标行为，将按照无效投标处理，并依法依规予以处罚，将违规情形报告采购管理部门。</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color w:val="auto"/>
          <w:szCs w:val="28"/>
        </w:rPr>
        <w:t>二、投标供应商应当特别留意招标文件上载明的投标起始截止时间，提前或逾期送达的投标文件将被拒收，投标时授权代表须随身携带身份证、法定代表人授权证明和</w:t>
      </w:r>
      <w:r>
        <w:rPr>
          <w:rFonts w:hint="eastAsia" w:ascii="仿宋_GB2312" w:eastAsia="仿宋_GB2312"/>
          <w:b/>
          <w:bCs w:val="0"/>
          <w:color w:val="FF0000"/>
          <w:szCs w:val="28"/>
        </w:rPr>
        <w:t>授权代表</w:t>
      </w:r>
      <w:r>
        <w:rPr>
          <w:rFonts w:hint="eastAsia" w:ascii="仿宋_GB2312" w:eastAsia="仿宋_GB2312"/>
          <w:b/>
          <w:bCs w:val="0"/>
          <w:color w:val="FF0000"/>
          <w:szCs w:val="28"/>
          <w:highlight w:val="none"/>
        </w:rPr>
        <w:t>在投标前4个月内（不含投标当月）连续3个月由投标供应商缴纳社保证明材料。代缴社保证明材料不予认可。</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color w:val="auto"/>
          <w:szCs w:val="28"/>
        </w:rPr>
        <w:t>三、投标供应商以汇款或银行保函形式缴纳投标保证金，保证金应当由其单位银行账户汇出并在投标截止时间前到达采购机构指定账户。未按规定提交投标保证金或保函的，投标无效。</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color w:val="auto"/>
          <w:szCs w:val="28"/>
        </w:rPr>
        <w:t>四、请仔细检查招标文件要求提交相关证书的有效期。</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color w:val="auto"/>
          <w:szCs w:val="28"/>
        </w:rPr>
        <w:t>五、请仔细检查投标文件是否按要求盖单位公章、签名、签署日期、胶装成册、密封。投标文件需要法定代表人签名处可以签字或盖章（签名章和方章均可），需要投标授权代表签名处须签字。</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color w:val="auto"/>
          <w:szCs w:val="28"/>
        </w:rPr>
        <w:t>六、带“★”号条款均为实质性响应指标要求，必须全部响应。若有一项带“★”条款未响应或不满足，均视为非实质性响应招标文件，按无效投标处理。</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color w:val="auto"/>
          <w:szCs w:val="28"/>
        </w:rPr>
        <w:t>七、《价格文件》一式三份，单独密封在一个信封内，信封表面标明“价格文件”“开标时启封”字样，注明“投标供应商名称”“项目名称”“项目编号”“包号”等信息，投标时单独密封递交。投标供应商如未按上述要求单独递交《价格文件》，投标将被拒绝。投标文件中除《价格文件》和《易损易耗件清单》外，其他部分不得有任何涉及本次投标报价的信息，否则视为无效投标。</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color w:val="auto"/>
          <w:szCs w:val="28"/>
        </w:rPr>
        <w:t>八、投标供应商编制投标文件，应当按照招标文件通用部分第三章投标文件内容及格式中附件表格要求，认真填写《资格证明文件索引表》、《商务评审索引表》和《技术评审索引表》，并按规定填写响应情况和相关证明材料在投标文件中位置页码；评审时评委会依据投标文件，对投标供应商填写的内容进行审核确认。未填写索引表投标无效。</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color w:val="auto"/>
          <w:szCs w:val="28"/>
        </w:rPr>
        <w:t>九、投标供应商提供会计师事务所出具的近3年审计报告应当包含报告正文、资产负债表、利润表、现金流量表及所有者权益变动表（无所有者权益表的提供书面说明）、附注和会计师事务所营业执照，报告正文应当有会计师事务所公章，2个注册会计师的签字和盖章。军队单位、事业单位无法提供审计报告的，可由上级管理部门批复的决算（或内部会计报表）代替。</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color w:val="auto"/>
          <w:szCs w:val="28"/>
        </w:rPr>
        <w:t>十、投标供应商如有两个以上名称且在投标文件中同时出现的，应当提供其为同一单位的书面证明材料。</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color w:val="auto"/>
          <w:szCs w:val="28"/>
        </w:rPr>
        <w:t>十一、文件中“近*年/月”、“最近*年/月”、“前*年/月”均是指以投标截止时间为基准点向前推算。投标截止时间在6月1日（不含）前，近三年财务报表指上年度之前的三年</w:t>
      </w:r>
      <w:r>
        <w:rPr>
          <w:rFonts w:ascii="仿宋_GB2312" w:eastAsia="仿宋_GB2312"/>
          <w:bCs/>
          <w:color w:val="auto"/>
          <w:szCs w:val="28"/>
        </w:rPr>
        <w:t xml:space="preserve"> </w:t>
      </w:r>
      <w:r>
        <w:rPr>
          <w:rFonts w:hint="eastAsia" w:ascii="仿宋_GB2312" w:eastAsia="仿宋_GB2312"/>
          <w:bCs/>
          <w:color w:val="auto"/>
          <w:szCs w:val="28"/>
        </w:rPr>
        <w:t>(不含上年度)，投标截止时间在6月1日（含）后，近三年财务报表指本年度之前的三年（含上年度），特别说明除外。</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color w:val="auto"/>
          <w:szCs w:val="28"/>
        </w:rPr>
        <w:t>十二、本次招标、投标、评标均以包为单位，投标供应商应当对所投包内所有产品和数量进行投标报价，否则视为无效投标。</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color w:val="auto"/>
          <w:szCs w:val="28"/>
        </w:rPr>
        <w:t>十三、投标文件中相关复印资料应当清晰、可辨认，投标中请自带原件备查，如资料模糊且不能现场提供原件，视为该项资料无效。</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color w:val="auto"/>
          <w:szCs w:val="28"/>
        </w:rPr>
        <w:t>十四、供应商发现购买招标文件时提交的相关资料被盗用或复制，应当遵循法律途径解决，追究侵权者责任。</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color w:val="auto"/>
          <w:szCs w:val="28"/>
        </w:rPr>
        <w:t>十五、本招标文件主要依据国家军队采购相关法规规定拟制，军队相关规定未明确事项可参照政府采购相关法规规定，最终解释权归军委后勤保障部采购管理局。对招标文件有疑问的，由编制招标文件的采购机构书面解释澄清。</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szCs w:val="28"/>
        </w:rPr>
        <w:t>十六、招标文件通用部分为本招标文件的一般性说明，与专用部分均为招标文件的组成部分。通用部分已明确但专用部分再次明确的，以专用部分为准。</w:t>
      </w:r>
    </w:p>
    <w:p>
      <w:pPr>
        <w:widowControl/>
        <w:jc w:val="left"/>
        <w:rPr>
          <w:rFonts w:ascii="黑体" w:hAnsi="黑体" w:eastAsia="黑体" w:cs="黑体"/>
          <w:bCs/>
          <w:sz w:val="44"/>
          <w:szCs w:val="44"/>
        </w:rPr>
      </w:pPr>
      <w:r>
        <w:rPr>
          <w:rFonts w:ascii="黑体" w:hAnsi="黑体" w:eastAsia="黑体" w:cs="黑体"/>
          <w:bCs/>
          <w:sz w:val="44"/>
          <w:szCs w:val="44"/>
        </w:rPr>
        <w:br w:type="page"/>
      </w:r>
    </w:p>
    <w:p>
      <w:pPr>
        <w:pStyle w:val="22"/>
        <w:adjustRightInd w:val="0"/>
        <w:snapToGrid w:val="0"/>
        <w:spacing w:line="560" w:lineRule="exact"/>
        <w:jc w:val="center"/>
        <w:rPr>
          <w:rFonts w:ascii="黑体" w:hAnsi="黑体" w:eastAsia="黑体" w:cs="黑体"/>
          <w:bCs/>
          <w:sz w:val="44"/>
          <w:szCs w:val="44"/>
        </w:rPr>
      </w:pPr>
      <w:r>
        <w:rPr>
          <w:rFonts w:hint="eastAsia" w:ascii="黑体" w:hAnsi="黑体" w:eastAsia="黑体" w:cs="黑体"/>
          <w:bCs/>
          <w:sz w:val="44"/>
          <w:szCs w:val="44"/>
        </w:rPr>
        <w:t>目   录</w:t>
      </w:r>
    </w:p>
    <w:p>
      <w:pPr>
        <w:pStyle w:val="22"/>
        <w:adjustRightInd w:val="0"/>
        <w:snapToGrid w:val="0"/>
        <w:spacing w:before="240" w:beforeLines="100" w:after="240" w:afterLines="100" w:line="360" w:lineRule="auto"/>
        <w:jc w:val="center"/>
        <w:rPr>
          <w:rFonts w:ascii="华文中宋" w:hAnsi="华文中宋" w:eastAsia="华文中宋" w:cs="华文中宋"/>
          <w:bCs/>
          <w:sz w:val="40"/>
          <w:szCs w:val="40"/>
        </w:rPr>
      </w:pPr>
      <w:r>
        <w:rPr>
          <w:rFonts w:hint="eastAsia" w:ascii="华文中宋" w:hAnsi="华文中宋" w:eastAsia="华文中宋" w:cs="华文中宋"/>
          <w:bCs/>
          <w:sz w:val="40"/>
          <w:szCs w:val="40"/>
        </w:rPr>
        <w:t>一、通用部分</w:t>
      </w:r>
      <w:r>
        <w:rPr>
          <w:rFonts w:hAnsi="宋体" w:cs="宋体"/>
          <w:bCs/>
          <w:sz w:val="28"/>
          <w:szCs w:val="28"/>
        </w:rPr>
        <w:fldChar w:fldCharType="begin"/>
      </w:r>
      <w:r>
        <w:rPr>
          <w:rFonts w:hAnsi="宋体" w:cs="宋体"/>
          <w:bCs/>
          <w:sz w:val="28"/>
          <w:szCs w:val="28"/>
        </w:rPr>
        <w:instrText xml:space="preserve"> TOC \o "1-3" \h \z \u </w:instrText>
      </w:r>
      <w:r>
        <w:rPr>
          <w:rFonts w:hAnsi="宋体" w:cs="宋体"/>
          <w:bCs/>
          <w:sz w:val="28"/>
          <w:szCs w:val="28"/>
        </w:rPr>
        <w:fldChar w:fldCharType="separate"/>
      </w:r>
    </w:p>
    <w:p>
      <w:pPr>
        <w:pStyle w:val="34"/>
        <w:tabs>
          <w:tab w:val="right" w:leader="dot" w:pos="9344"/>
        </w:tabs>
        <w:rPr>
          <w:rFonts w:ascii="宋体" w:hAnsi="宋体" w:eastAsia="宋体" w:cstheme="minorBidi"/>
          <w:b w:val="0"/>
          <w:szCs w:val="28"/>
        </w:rPr>
      </w:pPr>
      <w:r>
        <w:fldChar w:fldCharType="begin"/>
      </w:r>
      <w:r>
        <w:instrText xml:space="preserve"> HYPERLINK \l "_Toc132190595" </w:instrText>
      </w:r>
      <w:r>
        <w:fldChar w:fldCharType="separate"/>
      </w:r>
      <w:r>
        <w:rPr>
          <w:rStyle w:val="48"/>
          <w:rFonts w:ascii="宋体" w:hAnsi="宋体" w:eastAsia="宋体"/>
          <w:color w:val="auto"/>
          <w:szCs w:val="28"/>
          <w:lang w:val="zh-CN"/>
        </w:rPr>
        <w:t>第一章 投标供应商</w:t>
      </w:r>
      <w:r>
        <w:rPr>
          <w:rStyle w:val="48"/>
          <w:rFonts w:ascii="宋体" w:hAnsi="宋体" w:eastAsia="宋体"/>
          <w:color w:val="auto"/>
          <w:szCs w:val="28"/>
        </w:rPr>
        <w:t>须知</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_Toc132190595 \h </w:instrText>
      </w:r>
      <w:r>
        <w:rPr>
          <w:rFonts w:ascii="宋体" w:hAnsi="宋体" w:eastAsia="宋体"/>
          <w:szCs w:val="28"/>
        </w:rPr>
        <w:fldChar w:fldCharType="separate"/>
      </w:r>
      <w:r>
        <w:rPr>
          <w:rFonts w:ascii="宋体" w:hAnsi="宋体" w:eastAsia="宋体"/>
          <w:szCs w:val="28"/>
        </w:rPr>
        <w:t>7</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rPr>
          <w:rFonts w:ascii="宋体" w:hAnsi="宋体" w:eastAsia="宋体" w:cstheme="minorBidi"/>
          <w:b w:val="0"/>
          <w:szCs w:val="28"/>
        </w:rPr>
      </w:pPr>
      <w:r>
        <w:fldChar w:fldCharType="begin"/>
      </w:r>
      <w:r>
        <w:instrText xml:space="preserve"> HYPERLINK \l "_Toc132190596" </w:instrText>
      </w:r>
      <w:r>
        <w:fldChar w:fldCharType="separate"/>
      </w:r>
      <w:r>
        <w:rPr>
          <w:rStyle w:val="48"/>
          <w:rFonts w:ascii="宋体" w:hAnsi="宋体" w:eastAsia="宋体"/>
          <w:color w:val="auto"/>
          <w:szCs w:val="28"/>
        </w:rPr>
        <w:t>一、说  明</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_Toc132190596 \h </w:instrText>
      </w:r>
      <w:r>
        <w:rPr>
          <w:rFonts w:ascii="宋体" w:hAnsi="宋体" w:eastAsia="宋体"/>
          <w:szCs w:val="28"/>
        </w:rPr>
        <w:fldChar w:fldCharType="separate"/>
      </w:r>
      <w:r>
        <w:rPr>
          <w:rFonts w:ascii="宋体" w:hAnsi="宋体" w:eastAsia="宋体"/>
          <w:szCs w:val="28"/>
        </w:rPr>
        <w:t>7</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rPr>
          <w:rFonts w:ascii="宋体" w:hAnsi="宋体" w:eastAsia="宋体" w:cstheme="minorBidi"/>
          <w:b w:val="0"/>
          <w:szCs w:val="28"/>
        </w:rPr>
      </w:pPr>
      <w:r>
        <w:fldChar w:fldCharType="begin"/>
      </w:r>
      <w:r>
        <w:instrText xml:space="preserve"> HYPERLINK \l "_Toc132190597" </w:instrText>
      </w:r>
      <w:r>
        <w:fldChar w:fldCharType="separate"/>
      </w:r>
      <w:r>
        <w:rPr>
          <w:rStyle w:val="48"/>
          <w:rFonts w:ascii="宋体" w:hAnsi="宋体" w:eastAsia="宋体"/>
          <w:color w:val="auto"/>
          <w:szCs w:val="28"/>
        </w:rPr>
        <w:t>二、招标文件的内容及澄清与修改</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_Toc132190597 \h </w:instrText>
      </w:r>
      <w:r>
        <w:rPr>
          <w:rFonts w:ascii="宋体" w:hAnsi="宋体" w:eastAsia="宋体"/>
          <w:szCs w:val="28"/>
        </w:rPr>
        <w:fldChar w:fldCharType="separate"/>
      </w:r>
      <w:r>
        <w:rPr>
          <w:rFonts w:ascii="宋体" w:hAnsi="宋体" w:eastAsia="宋体"/>
          <w:szCs w:val="28"/>
        </w:rPr>
        <w:t>9</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rPr>
          <w:rFonts w:ascii="宋体" w:hAnsi="宋体" w:eastAsia="宋体" w:cstheme="minorBidi"/>
          <w:b w:val="0"/>
          <w:szCs w:val="28"/>
        </w:rPr>
      </w:pPr>
      <w:r>
        <w:fldChar w:fldCharType="begin"/>
      </w:r>
      <w:r>
        <w:instrText xml:space="preserve"> HYPERLINK \l "_Toc132190598" </w:instrText>
      </w:r>
      <w:r>
        <w:fldChar w:fldCharType="separate"/>
      </w:r>
      <w:r>
        <w:rPr>
          <w:rStyle w:val="48"/>
          <w:rFonts w:ascii="宋体" w:hAnsi="宋体" w:eastAsia="宋体"/>
          <w:color w:val="auto"/>
          <w:szCs w:val="28"/>
        </w:rPr>
        <w:t>三、投标文件的基本要求</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_Toc132190598 \h </w:instrText>
      </w:r>
      <w:r>
        <w:rPr>
          <w:rFonts w:ascii="宋体" w:hAnsi="宋体" w:eastAsia="宋体"/>
          <w:szCs w:val="28"/>
        </w:rPr>
        <w:fldChar w:fldCharType="separate"/>
      </w:r>
      <w:r>
        <w:rPr>
          <w:rFonts w:ascii="宋体" w:hAnsi="宋体" w:eastAsia="宋体"/>
          <w:szCs w:val="28"/>
        </w:rPr>
        <w:t>10</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rPr>
          <w:rFonts w:ascii="宋体" w:hAnsi="宋体" w:eastAsia="宋体" w:cstheme="minorBidi"/>
          <w:b w:val="0"/>
          <w:szCs w:val="28"/>
        </w:rPr>
      </w:pPr>
      <w:r>
        <w:fldChar w:fldCharType="begin"/>
      </w:r>
      <w:r>
        <w:instrText xml:space="preserve"> HYPERLINK \l "_Toc132190599" </w:instrText>
      </w:r>
      <w:r>
        <w:fldChar w:fldCharType="separate"/>
      </w:r>
      <w:r>
        <w:rPr>
          <w:rStyle w:val="48"/>
          <w:rFonts w:ascii="宋体" w:hAnsi="宋体" w:eastAsia="宋体"/>
          <w:color w:val="auto"/>
          <w:szCs w:val="28"/>
        </w:rPr>
        <w:t>四、投标文件提交</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_Toc132190599 \h </w:instrText>
      </w:r>
      <w:r>
        <w:rPr>
          <w:rFonts w:ascii="宋体" w:hAnsi="宋体" w:eastAsia="宋体"/>
          <w:szCs w:val="28"/>
        </w:rPr>
        <w:fldChar w:fldCharType="separate"/>
      </w:r>
      <w:r>
        <w:rPr>
          <w:rFonts w:ascii="宋体" w:hAnsi="宋体" w:eastAsia="宋体"/>
          <w:szCs w:val="28"/>
        </w:rPr>
        <w:t>13</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rPr>
          <w:rFonts w:ascii="宋体" w:hAnsi="宋体" w:eastAsia="宋体" w:cstheme="minorBidi"/>
          <w:b w:val="0"/>
          <w:szCs w:val="28"/>
        </w:rPr>
      </w:pPr>
      <w:r>
        <w:fldChar w:fldCharType="begin"/>
      </w:r>
      <w:r>
        <w:instrText xml:space="preserve"> HYPERLINK \l "_Toc132190600" </w:instrText>
      </w:r>
      <w:r>
        <w:fldChar w:fldCharType="separate"/>
      </w:r>
      <w:r>
        <w:rPr>
          <w:rStyle w:val="48"/>
          <w:rFonts w:ascii="宋体" w:hAnsi="宋体" w:eastAsia="宋体"/>
          <w:color w:val="auto"/>
          <w:szCs w:val="28"/>
        </w:rPr>
        <w:t>五、开标与评标</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_Toc132190600 \h </w:instrText>
      </w:r>
      <w:r>
        <w:rPr>
          <w:rFonts w:ascii="宋体" w:hAnsi="宋体" w:eastAsia="宋体"/>
          <w:szCs w:val="28"/>
        </w:rPr>
        <w:fldChar w:fldCharType="separate"/>
      </w:r>
      <w:r>
        <w:rPr>
          <w:rFonts w:ascii="宋体" w:hAnsi="宋体" w:eastAsia="宋体"/>
          <w:szCs w:val="28"/>
        </w:rPr>
        <w:t>14</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rPr>
          <w:rFonts w:ascii="宋体" w:hAnsi="宋体" w:eastAsia="宋体" w:cstheme="minorBidi"/>
          <w:b w:val="0"/>
          <w:szCs w:val="28"/>
        </w:rPr>
      </w:pPr>
      <w:r>
        <w:fldChar w:fldCharType="begin"/>
      </w:r>
      <w:r>
        <w:instrText xml:space="preserve"> HYPERLINK \l "_Toc132190601" </w:instrText>
      </w:r>
      <w:r>
        <w:fldChar w:fldCharType="separate"/>
      </w:r>
      <w:r>
        <w:rPr>
          <w:rStyle w:val="48"/>
          <w:rFonts w:ascii="宋体" w:hAnsi="宋体" w:eastAsia="宋体"/>
          <w:color w:val="auto"/>
          <w:szCs w:val="28"/>
        </w:rPr>
        <w:t>六、定标</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_Toc132190601 \h </w:instrText>
      </w:r>
      <w:r>
        <w:rPr>
          <w:rFonts w:ascii="宋体" w:hAnsi="宋体" w:eastAsia="宋体"/>
          <w:szCs w:val="28"/>
        </w:rPr>
        <w:fldChar w:fldCharType="separate"/>
      </w:r>
      <w:r>
        <w:rPr>
          <w:rFonts w:ascii="宋体" w:hAnsi="宋体" w:eastAsia="宋体"/>
          <w:szCs w:val="28"/>
        </w:rPr>
        <w:t>28</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rPr>
          <w:rFonts w:ascii="宋体" w:hAnsi="宋体" w:eastAsia="宋体" w:cstheme="minorBidi"/>
          <w:b w:val="0"/>
          <w:szCs w:val="28"/>
        </w:rPr>
      </w:pPr>
      <w:r>
        <w:fldChar w:fldCharType="begin"/>
      </w:r>
      <w:r>
        <w:instrText xml:space="preserve"> HYPERLINK \l "_Toc132190602" </w:instrText>
      </w:r>
      <w:r>
        <w:fldChar w:fldCharType="separate"/>
      </w:r>
      <w:r>
        <w:rPr>
          <w:rStyle w:val="48"/>
          <w:rFonts w:ascii="宋体" w:hAnsi="宋体" w:eastAsia="宋体"/>
          <w:color w:val="auto"/>
          <w:szCs w:val="28"/>
        </w:rPr>
        <w:t>七、质疑、投诉和投诉复议</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_Toc132190602 \h </w:instrText>
      </w:r>
      <w:r>
        <w:rPr>
          <w:rFonts w:ascii="宋体" w:hAnsi="宋体" w:eastAsia="宋体"/>
          <w:szCs w:val="28"/>
        </w:rPr>
        <w:fldChar w:fldCharType="separate"/>
      </w:r>
      <w:r>
        <w:rPr>
          <w:rFonts w:ascii="宋体" w:hAnsi="宋体" w:eastAsia="宋体"/>
          <w:szCs w:val="28"/>
        </w:rPr>
        <w:t>29</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rPr>
          <w:rFonts w:ascii="宋体" w:hAnsi="宋体" w:eastAsia="宋体" w:cstheme="minorBidi"/>
          <w:b w:val="0"/>
          <w:szCs w:val="28"/>
        </w:rPr>
      </w:pPr>
      <w:r>
        <w:fldChar w:fldCharType="begin"/>
      </w:r>
      <w:r>
        <w:instrText xml:space="preserve"> HYPERLINK \l "_Toc132190603" </w:instrText>
      </w:r>
      <w:r>
        <w:fldChar w:fldCharType="separate"/>
      </w:r>
      <w:r>
        <w:rPr>
          <w:rStyle w:val="48"/>
          <w:rFonts w:ascii="宋体" w:hAnsi="宋体" w:eastAsia="宋体"/>
          <w:color w:val="auto"/>
          <w:szCs w:val="28"/>
        </w:rPr>
        <w:t>八、签订合同</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_Toc132190603 \h </w:instrText>
      </w:r>
      <w:r>
        <w:rPr>
          <w:rFonts w:ascii="宋体" w:hAnsi="宋体" w:eastAsia="宋体"/>
          <w:szCs w:val="28"/>
        </w:rPr>
        <w:fldChar w:fldCharType="separate"/>
      </w:r>
      <w:r>
        <w:rPr>
          <w:rFonts w:ascii="宋体" w:hAnsi="宋体" w:eastAsia="宋体"/>
          <w:szCs w:val="28"/>
        </w:rPr>
        <w:t>32</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rPr>
          <w:rFonts w:ascii="宋体" w:hAnsi="宋体" w:eastAsia="宋体" w:cstheme="minorBidi"/>
          <w:b w:val="0"/>
          <w:szCs w:val="28"/>
        </w:rPr>
      </w:pPr>
      <w:r>
        <w:fldChar w:fldCharType="begin"/>
      </w:r>
      <w:r>
        <w:instrText xml:space="preserve"> HYPERLINK \l "_Toc132190604" </w:instrText>
      </w:r>
      <w:r>
        <w:fldChar w:fldCharType="separate"/>
      </w:r>
      <w:r>
        <w:rPr>
          <w:rStyle w:val="48"/>
          <w:rFonts w:ascii="宋体" w:hAnsi="宋体" w:eastAsia="宋体"/>
          <w:color w:val="auto"/>
          <w:szCs w:val="28"/>
        </w:rPr>
        <w:t>九、解释权限</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_Toc132190604 \h </w:instrText>
      </w:r>
      <w:r>
        <w:rPr>
          <w:rFonts w:ascii="宋体" w:hAnsi="宋体" w:eastAsia="宋体"/>
          <w:szCs w:val="28"/>
        </w:rPr>
        <w:fldChar w:fldCharType="separate"/>
      </w:r>
      <w:r>
        <w:rPr>
          <w:rFonts w:ascii="宋体" w:hAnsi="宋体" w:eastAsia="宋体"/>
          <w:szCs w:val="28"/>
        </w:rPr>
        <w:t>32</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rPr>
          <w:rFonts w:ascii="宋体" w:hAnsi="宋体" w:eastAsia="宋体" w:cstheme="minorBidi"/>
          <w:b w:val="0"/>
          <w:szCs w:val="28"/>
        </w:rPr>
      </w:pPr>
      <w:r>
        <w:fldChar w:fldCharType="begin"/>
      </w:r>
      <w:r>
        <w:instrText xml:space="preserve"> HYPERLINK \l "_Toc132190605" </w:instrText>
      </w:r>
      <w:r>
        <w:fldChar w:fldCharType="separate"/>
      </w:r>
      <w:r>
        <w:rPr>
          <w:rStyle w:val="48"/>
          <w:rFonts w:ascii="宋体" w:hAnsi="宋体" w:eastAsia="宋体" w:cs="黑体"/>
          <w:color w:val="auto"/>
          <w:szCs w:val="28"/>
        </w:rPr>
        <w:t>附页1 招标文件更正确认函</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_Toc132190605 \h </w:instrText>
      </w:r>
      <w:r>
        <w:rPr>
          <w:rFonts w:ascii="宋体" w:hAnsi="宋体" w:eastAsia="宋体"/>
          <w:szCs w:val="28"/>
        </w:rPr>
        <w:fldChar w:fldCharType="separate"/>
      </w:r>
      <w:r>
        <w:rPr>
          <w:rFonts w:ascii="宋体" w:hAnsi="宋体" w:eastAsia="宋体"/>
          <w:szCs w:val="28"/>
        </w:rPr>
        <w:t>33</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rPr>
          <w:rFonts w:ascii="宋体" w:hAnsi="宋体" w:eastAsia="宋体" w:cstheme="minorBidi"/>
          <w:b w:val="0"/>
          <w:szCs w:val="28"/>
        </w:rPr>
      </w:pPr>
      <w:r>
        <w:fldChar w:fldCharType="begin"/>
      </w:r>
      <w:r>
        <w:instrText xml:space="preserve"> HYPERLINK \l "_Toc132190606" </w:instrText>
      </w:r>
      <w:r>
        <w:fldChar w:fldCharType="separate"/>
      </w:r>
      <w:r>
        <w:rPr>
          <w:rStyle w:val="48"/>
          <w:rFonts w:ascii="宋体" w:hAnsi="宋体" w:eastAsia="宋体" w:cs="黑体"/>
          <w:color w:val="auto"/>
          <w:szCs w:val="28"/>
        </w:rPr>
        <w:t>附页2 质疑函（格式）</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_Toc132190606 \h </w:instrText>
      </w:r>
      <w:r>
        <w:rPr>
          <w:rFonts w:ascii="宋体" w:hAnsi="宋体" w:eastAsia="宋体"/>
          <w:szCs w:val="28"/>
        </w:rPr>
        <w:fldChar w:fldCharType="separate"/>
      </w:r>
      <w:r>
        <w:rPr>
          <w:rFonts w:ascii="宋体" w:hAnsi="宋体" w:eastAsia="宋体"/>
          <w:szCs w:val="28"/>
        </w:rPr>
        <w:t>34</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rPr>
          <w:rFonts w:ascii="宋体" w:hAnsi="宋体" w:eastAsia="宋体" w:cstheme="minorBidi"/>
          <w:b w:val="0"/>
          <w:szCs w:val="28"/>
        </w:rPr>
      </w:pPr>
      <w:r>
        <w:fldChar w:fldCharType="begin"/>
      </w:r>
      <w:r>
        <w:instrText xml:space="preserve"> HYPERLINK \l "_Toc132190607" </w:instrText>
      </w:r>
      <w:r>
        <w:fldChar w:fldCharType="separate"/>
      </w:r>
      <w:r>
        <w:rPr>
          <w:rStyle w:val="48"/>
          <w:rFonts w:ascii="宋体" w:hAnsi="宋体" w:eastAsia="宋体" w:cs="黑体"/>
          <w:color w:val="auto"/>
          <w:szCs w:val="28"/>
        </w:rPr>
        <w:t>附页3 投诉书（格式）</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_Toc132190607 \h </w:instrText>
      </w:r>
      <w:r>
        <w:rPr>
          <w:rFonts w:ascii="宋体" w:hAnsi="宋体" w:eastAsia="宋体"/>
          <w:szCs w:val="28"/>
        </w:rPr>
        <w:fldChar w:fldCharType="separate"/>
      </w:r>
      <w:r>
        <w:rPr>
          <w:rFonts w:ascii="宋体" w:hAnsi="宋体" w:eastAsia="宋体"/>
          <w:szCs w:val="28"/>
        </w:rPr>
        <w:t>35</w:t>
      </w:r>
      <w:r>
        <w:rPr>
          <w:rFonts w:ascii="宋体" w:hAnsi="宋体" w:eastAsia="宋体"/>
          <w:szCs w:val="28"/>
        </w:rPr>
        <w:fldChar w:fldCharType="end"/>
      </w:r>
      <w:r>
        <w:rPr>
          <w:rFonts w:ascii="宋体" w:hAnsi="宋体" w:eastAsia="宋体"/>
          <w:szCs w:val="28"/>
        </w:rPr>
        <w:fldChar w:fldCharType="end"/>
      </w:r>
    </w:p>
    <w:p>
      <w:pPr>
        <w:pStyle w:val="34"/>
        <w:tabs>
          <w:tab w:val="right" w:leader="dot" w:pos="9344"/>
        </w:tabs>
        <w:rPr>
          <w:rFonts w:ascii="宋体" w:hAnsi="宋体" w:eastAsia="宋体" w:cstheme="minorBidi"/>
          <w:b w:val="0"/>
          <w:szCs w:val="28"/>
        </w:rPr>
      </w:pPr>
      <w:r>
        <w:fldChar w:fldCharType="begin"/>
      </w:r>
      <w:r>
        <w:instrText xml:space="preserve"> HYPERLINK \l "_Toc132190608" </w:instrText>
      </w:r>
      <w:r>
        <w:fldChar w:fldCharType="separate"/>
      </w:r>
      <w:r>
        <w:rPr>
          <w:rStyle w:val="48"/>
          <w:rFonts w:ascii="宋体" w:hAnsi="宋体" w:eastAsia="宋体"/>
          <w:color w:val="auto"/>
          <w:szCs w:val="28"/>
          <w:lang w:val="zh-CN"/>
        </w:rPr>
        <w:t>第二章 合同通用条款</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_Toc132190608 \h </w:instrText>
      </w:r>
      <w:r>
        <w:rPr>
          <w:rFonts w:ascii="宋体" w:hAnsi="宋体" w:eastAsia="宋体"/>
          <w:szCs w:val="28"/>
        </w:rPr>
        <w:fldChar w:fldCharType="separate"/>
      </w:r>
      <w:r>
        <w:rPr>
          <w:rFonts w:ascii="宋体" w:hAnsi="宋体" w:eastAsia="宋体"/>
          <w:szCs w:val="28"/>
        </w:rPr>
        <w:t>36</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rPr>
          <w:rFonts w:ascii="宋体" w:hAnsi="宋体" w:eastAsia="宋体" w:cstheme="minorBidi"/>
          <w:b w:val="0"/>
          <w:szCs w:val="28"/>
        </w:rPr>
      </w:pPr>
      <w:r>
        <w:fldChar w:fldCharType="begin"/>
      </w:r>
      <w:r>
        <w:instrText xml:space="preserve"> HYPERLINK \l "_Toc132190609" </w:instrText>
      </w:r>
      <w:r>
        <w:fldChar w:fldCharType="separate"/>
      </w:r>
      <w:r>
        <w:rPr>
          <w:rStyle w:val="48"/>
          <w:rFonts w:ascii="宋体" w:hAnsi="宋体" w:eastAsia="宋体" w:cs="黑体"/>
          <w:color w:val="auto"/>
          <w:szCs w:val="28"/>
        </w:rPr>
        <w:t>一、定义</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_Toc132190609 \h </w:instrText>
      </w:r>
      <w:r>
        <w:rPr>
          <w:rFonts w:ascii="宋体" w:hAnsi="宋体" w:eastAsia="宋体"/>
          <w:szCs w:val="28"/>
        </w:rPr>
        <w:fldChar w:fldCharType="separate"/>
      </w:r>
      <w:r>
        <w:rPr>
          <w:rFonts w:ascii="宋体" w:hAnsi="宋体" w:eastAsia="宋体"/>
          <w:szCs w:val="28"/>
        </w:rPr>
        <w:t>36</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rPr>
          <w:rFonts w:ascii="宋体" w:hAnsi="宋体" w:eastAsia="宋体" w:cstheme="minorBidi"/>
          <w:b w:val="0"/>
          <w:szCs w:val="28"/>
        </w:rPr>
      </w:pPr>
      <w:r>
        <w:fldChar w:fldCharType="begin"/>
      </w:r>
      <w:r>
        <w:instrText xml:space="preserve"> HYPERLINK \l "_Toc132190610" </w:instrText>
      </w:r>
      <w:r>
        <w:fldChar w:fldCharType="separate"/>
      </w:r>
      <w:r>
        <w:rPr>
          <w:rStyle w:val="48"/>
          <w:rFonts w:ascii="宋体" w:hAnsi="宋体" w:eastAsia="宋体" w:cs="黑体"/>
          <w:color w:val="auto"/>
          <w:szCs w:val="28"/>
        </w:rPr>
        <w:t>二、物资编目编码、打码贴签要求</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_Toc132190610 \h </w:instrText>
      </w:r>
      <w:r>
        <w:rPr>
          <w:rFonts w:ascii="宋体" w:hAnsi="宋体" w:eastAsia="宋体"/>
          <w:szCs w:val="28"/>
        </w:rPr>
        <w:fldChar w:fldCharType="separate"/>
      </w:r>
      <w:r>
        <w:rPr>
          <w:rFonts w:ascii="宋体" w:hAnsi="宋体" w:eastAsia="宋体"/>
          <w:szCs w:val="28"/>
        </w:rPr>
        <w:t>36</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rPr>
          <w:rFonts w:ascii="宋体" w:hAnsi="宋体" w:eastAsia="宋体" w:cstheme="minorBidi"/>
          <w:b w:val="0"/>
          <w:szCs w:val="28"/>
        </w:rPr>
      </w:pPr>
      <w:r>
        <w:fldChar w:fldCharType="begin"/>
      </w:r>
      <w:r>
        <w:instrText xml:space="preserve"> HYPERLINK \l "_Toc132190611" </w:instrText>
      </w:r>
      <w:r>
        <w:fldChar w:fldCharType="separate"/>
      </w:r>
      <w:r>
        <w:rPr>
          <w:rStyle w:val="48"/>
          <w:rFonts w:ascii="宋体" w:hAnsi="宋体" w:eastAsia="宋体" w:cs="黑体"/>
          <w:color w:val="auto"/>
          <w:szCs w:val="28"/>
        </w:rPr>
        <w:t>三、履约验收</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_Toc132190611 \h </w:instrText>
      </w:r>
      <w:r>
        <w:rPr>
          <w:rFonts w:ascii="宋体" w:hAnsi="宋体" w:eastAsia="宋体"/>
          <w:szCs w:val="28"/>
        </w:rPr>
        <w:fldChar w:fldCharType="separate"/>
      </w:r>
      <w:r>
        <w:rPr>
          <w:rFonts w:ascii="宋体" w:hAnsi="宋体" w:eastAsia="宋体"/>
          <w:szCs w:val="28"/>
        </w:rPr>
        <w:t>37</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rPr>
          <w:rFonts w:ascii="宋体" w:hAnsi="宋体" w:eastAsia="宋体" w:cstheme="minorBidi"/>
          <w:b w:val="0"/>
          <w:szCs w:val="28"/>
        </w:rPr>
      </w:pPr>
      <w:r>
        <w:fldChar w:fldCharType="begin"/>
      </w:r>
      <w:r>
        <w:instrText xml:space="preserve"> HYPERLINK \l "_Toc132190612" </w:instrText>
      </w:r>
      <w:r>
        <w:fldChar w:fldCharType="separate"/>
      </w:r>
      <w:r>
        <w:rPr>
          <w:rStyle w:val="48"/>
          <w:rFonts w:ascii="宋体" w:hAnsi="宋体" w:eastAsia="宋体" w:cs="黑体"/>
          <w:color w:val="auto"/>
          <w:szCs w:val="28"/>
        </w:rPr>
        <w:t>四、保密条款</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_Toc132190612 \h </w:instrText>
      </w:r>
      <w:r>
        <w:rPr>
          <w:rFonts w:ascii="宋体" w:hAnsi="宋体" w:eastAsia="宋体"/>
          <w:szCs w:val="28"/>
        </w:rPr>
        <w:fldChar w:fldCharType="separate"/>
      </w:r>
      <w:r>
        <w:rPr>
          <w:rFonts w:ascii="宋体" w:hAnsi="宋体" w:eastAsia="宋体"/>
          <w:szCs w:val="28"/>
        </w:rPr>
        <w:t>38</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rPr>
          <w:rFonts w:ascii="宋体" w:hAnsi="宋体" w:eastAsia="宋体" w:cstheme="minorBidi"/>
          <w:b w:val="0"/>
          <w:szCs w:val="28"/>
        </w:rPr>
      </w:pPr>
      <w:r>
        <w:fldChar w:fldCharType="begin"/>
      </w:r>
      <w:r>
        <w:instrText xml:space="preserve"> HYPERLINK \l "_Toc132190613" </w:instrText>
      </w:r>
      <w:r>
        <w:fldChar w:fldCharType="separate"/>
      </w:r>
      <w:r>
        <w:rPr>
          <w:rStyle w:val="48"/>
          <w:rFonts w:ascii="宋体" w:hAnsi="宋体" w:eastAsia="宋体" w:cs="黑体"/>
          <w:color w:val="auto"/>
          <w:szCs w:val="28"/>
        </w:rPr>
        <w:t>五、知识产权</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_Toc132190613 \h </w:instrText>
      </w:r>
      <w:r>
        <w:rPr>
          <w:rFonts w:ascii="宋体" w:hAnsi="宋体" w:eastAsia="宋体"/>
          <w:szCs w:val="28"/>
        </w:rPr>
        <w:fldChar w:fldCharType="separate"/>
      </w:r>
      <w:r>
        <w:rPr>
          <w:rFonts w:ascii="宋体" w:hAnsi="宋体" w:eastAsia="宋体"/>
          <w:szCs w:val="28"/>
        </w:rPr>
        <w:t>38</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rPr>
          <w:rFonts w:ascii="宋体" w:hAnsi="宋体" w:eastAsia="宋体" w:cstheme="minorBidi"/>
          <w:b w:val="0"/>
          <w:szCs w:val="28"/>
        </w:rPr>
      </w:pPr>
      <w:r>
        <w:fldChar w:fldCharType="begin"/>
      </w:r>
      <w:r>
        <w:instrText xml:space="preserve"> HYPERLINK \l "_Toc132190614" </w:instrText>
      </w:r>
      <w:r>
        <w:fldChar w:fldCharType="separate"/>
      </w:r>
      <w:r>
        <w:rPr>
          <w:rStyle w:val="48"/>
          <w:rFonts w:ascii="宋体" w:hAnsi="宋体" w:eastAsia="宋体" w:cs="黑体"/>
          <w:color w:val="auto"/>
          <w:szCs w:val="28"/>
        </w:rPr>
        <w:t>六、合同的变更和解除</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_Toc132190614 \h </w:instrText>
      </w:r>
      <w:r>
        <w:rPr>
          <w:rFonts w:ascii="宋体" w:hAnsi="宋体" w:eastAsia="宋体"/>
          <w:szCs w:val="28"/>
        </w:rPr>
        <w:fldChar w:fldCharType="separate"/>
      </w:r>
      <w:r>
        <w:rPr>
          <w:rFonts w:ascii="宋体" w:hAnsi="宋体" w:eastAsia="宋体"/>
          <w:szCs w:val="28"/>
        </w:rPr>
        <w:t>39</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rPr>
          <w:rFonts w:ascii="宋体" w:hAnsi="宋体" w:eastAsia="宋体" w:cstheme="minorBidi"/>
          <w:b w:val="0"/>
          <w:szCs w:val="28"/>
        </w:rPr>
      </w:pPr>
      <w:r>
        <w:fldChar w:fldCharType="begin"/>
      </w:r>
      <w:r>
        <w:instrText xml:space="preserve"> HYPERLINK \l "_Toc132190615" </w:instrText>
      </w:r>
      <w:r>
        <w:fldChar w:fldCharType="separate"/>
      </w:r>
      <w:r>
        <w:rPr>
          <w:rStyle w:val="48"/>
          <w:rFonts w:ascii="宋体" w:hAnsi="宋体" w:eastAsia="宋体" w:cs="黑体"/>
          <w:color w:val="auto"/>
          <w:szCs w:val="28"/>
        </w:rPr>
        <w:t>七、履约监督</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_Toc132190615 \h </w:instrText>
      </w:r>
      <w:r>
        <w:rPr>
          <w:rFonts w:ascii="宋体" w:hAnsi="宋体" w:eastAsia="宋体"/>
          <w:szCs w:val="28"/>
        </w:rPr>
        <w:fldChar w:fldCharType="separate"/>
      </w:r>
      <w:r>
        <w:rPr>
          <w:rFonts w:ascii="宋体" w:hAnsi="宋体" w:eastAsia="宋体"/>
          <w:szCs w:val="28"/>
        </w:rPr>
        <w:t>40</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rPr>
          <w:rFonts w:ascii="宋体" w:hAnsi="宋体" w:eastAsia="宋体" w:cstheme="minorBidi"/>
          <w:b w:val="0"/>
          <w:szCs w:val="28"/>
        </w:rPr>
      </w:pPr>
      <w:r>
        <w:fldChar w:fldCharType="begin"/>
      </w:r>
      <w:r>
        <w:instrText xml:space="preserve"> HYPERLINK \l "_Toc132190616" </w:instrText>
      </w:r>
      <w:r>
        <w:fldChar w:fldCharType="separate"/>
      </w:r>
      <w:r>
        <w:rPr>
          <w:rStyle w:val="48"/>
          <w:rFonts w:ascii="宋体" w:hAnsi="宋体" w:eastAsia="宋体" w:cs="黑体"/>
          <w:color w:val="auto"/>
          <w:szCs w:val="28"/>
        </w:rPr>
        <w:t>八、转包与分包</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_Toc132190616 \h </w:instrText>
      </w:r>
      <w:r>
        <w:rPr>
          <w:rFonts w:ascii="宋体" w:hAnsi="宋体" w:eastAsia="宋体"/>
          <w:szCs w:val="28"/>
        </w:rPr>
        <w:fldChar w:fldCharType="separate"/>
      </w:r>
      <w:r>
        <w:rPr>
          <w:rFonts w:ascii="宋体" w:hAnsi="宋体" w:eastAsia="宋体"/>
          <w:szCs w:val="28"/>
        </w:rPr>
        <w:t>40</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rPr>
          <w:rFonts w:ascii="宋体" w:hAnsi="宋体" w:eastAsia="宋体" w:cstheme="minorBidi"/>
          <w:b w:val="0"/>
          <w:szCs w:val="28"/>
        </w:rPr>
      </w:pPr>
      <w:r>
        <w:fldChar w:fldCharType="begin"/>
      </w:r>
      <w:r>
        <w:instrText xml:space="preserve"> HYPERLINK \l "_Toc132190617" </w:instrText>
      </w:r>
      <w:r>
        <w:fldChar w:fldCharType="separate"/>
      </w:r>
      <w:r>
        <w:rPr>
          <w:rStyle w:val="48"/>
          <w:rFonts w:ascii="宋体" w:hAnsi="宋体" w:eastAsia="宋体"/>
          <w:color w:val="auto"/>
          <w:szCs w:val="28"/>
        </w:rPr>
        <w:t>九、违约责任</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_Toc132190617 \h </w:instrText>
      </w:r>
      <w:r>
        <w:rPr>
          <w:rFonts w:ascii="宋体" w:hAnsi="宋体" w:eastAsia="宋体"/>
          <w:szCs w:val="28"/>
        </w:rPr>
        <w:fldChar w:fldCharType="separate"/>
      </w:r>
      <w:r>
        <w:rPr>
          <w:rFonts w:ascii="宋体" w:hAnsi="宋体" w:eastAsia="宋体"/>
          <w:szCs w:val="28"/>
        </w:rPr>
        <w:t>40</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rPr>
          <w:rFonts w:ascii="宋体" w:hAnsi="宋体" w:eastAsia="宋体" w:cstheme="minorBidi"/>
          <w:b w:val="0"/>
          <w:szCs w:val="28"/>
        </w:rPr>
      </w:pPr>
      <w:r>
        <w:fldChar w:fldCharType="begin"/>
      </w:r>
      <w:r>
        <w:instrText xml:space="preserve"> HYPERLINK \l "_Toc132190618" </w:instrText>
      </w:r>
      <w:r>
        <w:fldChar w:fldCharType="separate"/>
      </w:r>
      <w:r>
        <w:rPr>
          <w:rStyle w:val="48"/>
          <w:rFonts w:ascii="宋体" w:hAnsi="宋体" w:eastAsia="宋体" w:cs="黑体"/>
          <w:color w:val="auto"/>
          <w:szCs w:val="28"/>
        </w:rPr>
        <w:t>十、争议解决方式</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_Toc132190618 \h </w:instrText>
      </w:r>
      <w:r>
        <w:rPr>
          <w:rFonts w:ascii="宋体" w:hAnsi="宋体" w:eastAsia="宋体"/>
          <w:szCs w:val="28"/>
        </w:rPr>
        <w:fldChar w:fldCharType="separate"/>
      </w:r>
      <w:r>
        <w:rPr>
          <w:rFonts w:ascii="宋体" w:hAnsi="宋体" w:eastAsia="宋体"/>
          <w:szCs w:val="28"/>
        </w:rPr>
        <w:t>41</w:t>
      </w:r>
      <w:r>
        <w:rPr>
          <w:rFonts w:ascii="宋体" w:hAnsi="宋体" w:eastAsia="宋体"/>
          <w:szCs w:val="28"/>
        </w:rPr>
        <w:fldChar w:fldCharType="end"/>
      </w:r>
      <w:r>
        <w:rPr>
          <w:rFonts w:ascii="宋体" w:hAnsi="宋体" w:eastAsia="宋体"/>
          <w:szCs w:val="28"/>
        </w:rPr>
        <w:fldChar w:fldCharType="end"/>
      </w:r>
    </w:p>
    <w:p>
      <w:pPr>
        <w:pStyle w:val="34"/>
        <w:tabs>
          <w:tab w:val="right" w:leader="dot" w:pos="9344"/>
        </w:tabs>
        <w:rPr>
          <w:rFonts w:ascii="宋体" w:hAnsi="宋体" w:eastAsia="宋体" w:cstheme="minorBidi"/>
          <w:b w:val="0"/>
          <w:szCs w:val="28"/>
        </w:rPr>
      </w:pPr>
      <w:r>
        <w:fldChar w:fldCharType="begin"/>
      </w:r>
      <w:r>
        <w:instrText xml:space="preserve"> HYPERLINK \l "_Toc132190619" </w:instrText>
      </w:r>
      <w:r>
        <w:fldChar w:fldCharType="separate"/>
      </w:r>
      <w:r>
        <w:rPr>
          <w:rStyle w:val="48"/>
          <w:rFonts w:ascii="宋体" w:hAnsi="宋体" w:eastAsia="宋体"/>
          <w:color w:val="auto"/>
          <w:szCs w:val="28"/>
          <w:lang w:val="zh-CN"/>
        </w:rPr>
        <w:t>第三章 投标文件内容及格式</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_Toc132190619 \h </w:instrText>
      </w:r>
      <w:r>
        <w:rPr>
          <w:rFonts w:ascii="宋体" w:hAnsi="宋体" w:eastAsia="宋体"/>
          <w:szCs w:val="28"/>
        </w:rPr>
        <w:fldChar w:fldCharType="separate"/>
      </w:r>
      <w:r>
        <w:rPr>
          <w:rFonts w:ascii="宋体" w:hAnsi="宋体" w:eastAsia="宋体"/>
          <w:szCs w:val="28"/>
        </w:rPr>
        <w:t>42</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rPr>
          <w:rFonts w:ascii="宋体" w:hAnsi="宋体" w:eastAsia="宋体" w:cstheme="minorBidi"/>
          <w:b w:val="0"/>
          <w:szCs w:val="28"/>
        </w:rPr>
      </w:pPr>
      <w:r>
        <w:fldChar w:fldCharType="begin"/>
      </w:r>
      <w:r>
        <w:instrText xml:space="preserve"> HYPERLINK \l "_Toc132190620" </w:instrText>
      </w:r>
      <w:r>
        <w:fldChar w:fldCharType="separate"/>
      </w:r>
      <w:r>
        <w:rPr>
          <w:rStyle w:val="48"/>
          <w:rFonts w:ascii="宋体" w:hAnsi="宋体" w:eastAsia="宋体"/>
          <w:color w:val="auto"/>
          <w:szCs w:val="28"/>
        </w:rPr>
        <w:t>一、价格文件</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_Toc132190620 \h </w:instrText>
      </w:r>
      <w:r>
        <w:rPr>
          <w:rFonts w:ascii="宋体" w:hAnsi="宋体" w:eastAsia="宋体"/>
          <w:szCs w:val="28"/>
        </w:rPr>
        <w:fldChar w:fldCharType="separate"/>
      </w:r>
      <w:r>
        <w:rPr>
          <w:rFonts w:ascii="宋体" w:hAnsi="宋体" w:eastAsia="宋体"/>
          <w:szCs w:val="28"/>
        </w:rPr>
        <w:t>43</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rPr>
          <w:rFonts w:ascii="宋体" w:hAnsi="宋体" w:eastAsia="宋体" w:cstheme="minorBidi"/>
          <w:b w:val="0"/>
          <w:szCs w:val="28"/>
        </w:rPr>
      </w:pPr>
      <w:r>
        <w:fldChar w:fldCharType="begin"/>
      </w:r>
      <w:r>
        <w:instrText xml:space="preserve"> HYPERLINK \l "_Toc132190621" </w:instrText>
      </w:r>
      <w:r>
        <w:fldChar w:fldCharType="separate"/>
      </w:r>
      <w:r>
        <w:rPr>
          <w:rStyle w:val="48"/>
          <w:rFonts w:ascii="宋体" w:hAnsi="宋体" w:eastAsia="宋体"/>
          <w:color w:val="auto"/>
          <w:szCs w:val="28"/>
        </w:rPr>
        <w:t>二、商务技术文件</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_Toc132190621 \h </w:instrText>
      </w:r>
      <w:r>
        <w:rPr>
          <w:rFonts w:ascii="宋体" w:hAnsi="宋体" w:eastAsia="宋体"/>
          <w:szCs w:val="28"/>
        </w:rPr>
        <w:fldChar w:fldCharType="separate"/>
      </w:r>
      <w:r>
        <w:rPr>
          <w:rFonts w:ascii="宋体" w:hAnsi="宋体" w:eastAsia="宋体"/>
          <w:szCs w:val="28"/>
        </w:rPr>
        <w:t>50</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rPr>
          <w:rFonts w:ascii="宋体" w:hAnsi="宋体" w:eastAsia="宋体" w:cstheme="minorBidi"/>
          <w:b w:val="0"/>
          <w:szCs w:val="28"/>
        </w:rPr>
      </w:pPr>
      <w:r>
        <w:fldChar w:fldCharType="begin"/>
      </w:r>
      <w:r>
        <w:instrText xml:space="preserve"> HYPERLINK \l "_Toc132190622" </w:instrText>
      </w:r>
      <w:r>
        <w:fldChar w:fldCharType="separate"/>
      </w:r>
      <w:r>
        <w:rPr>
          <w:rStyle w:val="48"/>
          <w:rFonts w:ascii="宋体" w:hAnsi="宋体" w:eastAsia="宋体"/>
          <w:color w:val="auto"/>
          <w:szCs w:val="28"/>
        </w:rPr>
        <w:t>三、资格证明文件</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_Toc132190622 \h </w:instrText>
      </w:r>
      <w:r>
        <w:rPr>
          <w:rFonts w:ascii="宋体" w:hAnsi="宋体" w:eastAsia="宋体"/>
          <w:szCs w:val="28"/>
        </w:rPr>
        <w:fldChar w:fldCharType="separate"/>
      </w:r>
      <w:r>
        <w:rPr>
          <w:rFonts w:ascii="宋体" w:hAnsi="宋体" w:eastAsia="宋体"/>
          <w:szCs w:val="28"/>
        </w:rPr>
        <w:t>65</w:t>
      </w:r>
      <w:r>
        <w:rPr>
          <w:rFonts w:ascii="宋体" w:hAnsi="宋体" w:eastAsia="宋体"/>
          <w:szCs w:val="28"/>
        </w:rPr>
        <w:fldChar w:fldCharType="end"/>
      </w:r>
      <w:r>
        <w:rPr>
          <w:rFonts w:ascii="宋体" w:hAnsi="宋体" w:eastAsia="宋体"/>
          <w:szCs w:val="28"/>
        </w:rPr>
        <w:fldChar w:fldCharType="end"/>
      </w:r>
    </w:p>
    <w:p>
      <w:pPr>
        <w:pStyle w:val="30"/>
        <w:tabs>
          <w:tab w:val="right" w:leader="dot" w:pos="9344"/>
        </w:tabs>
        <w:ind w:left="42" w:leftChars="20"/>
        <w:rPr>
          <w:rFonts w:ascii="宋体" w:hAnsi="宋体" w:eastAsia="宋体"/>
          <w:bCs/>
          <w:szCs w:val="28"/>
        </w:rPr>
      </w:pPr>
      <w:r>
        <w:rPr>
          <w:rFonts w:ascii="宋体" w:hAnsi="宋体" w:eastAsia="宋体" w:cs="宋体"/>
          <w:b/>
          <w:bCs/>
          <w:szCs w:val="28"/>
        </w:rPr>
        <w:fldChar w:fldCharType="end"/>
      </w:r>
      <w:r>
        <w:rPr>
          <w:rFonts w:ascii="宋体" w:hAnsi="宋体" w:eastAsia="宋体"/>
          <w:bCs/>
          <w:szCs w:val="28"/>
        </w:rPr>
        <w:br w:type="page"/>
      </w:r>
    </w:p>
    <w:p>
      <w:pPr>
        <w:pStyle w:val="22"/>
        <w:adjustRightInd w:val="0"/>
        <w:snapToGrid w:val="0"/>
        <w:spacing w:before="240" w:beforeLines="100" w:after="240" w:afterLines="100" w:line="560" w:lineRule="exact"/>
        <w:jc w:val="center"/>
      </w:pPr>
      <w:r>
        <w:rPr>
          <w:rFonts w:hint="eastAsia" w:ascii="华文中宋" w:hAnsi="华文中宋" w:eastAsia="华文中宋" w:cs="华文中宋"/>
          <w:bCs/>
          <w:sz w:val="40"/>
          <w:szCs w:val="40"/>
        </w:rPr>
        <w:t>二、专用部分</w:t>
      </w:r>
    </w:p>
    <w:p>
      <w:pPr>
        <w:pStyle w:val="34"/>
        <w:tabs>
          <w:tab w:val="right" w:leader="dot" w:pos="9354"/>
        </w:tabs>
        <w:spacing w:line="560" w:lineRule="exact"/>
        <w:ind w:left="420"/>
        <w:rPr>
          <w:rFonts w:hint="eastAsia" w:asciiTheme="majorEastAsia" w:hAnsiTheme="majorEastAsia" w:eastAsiaTheme="majorEastAsia" w:cstheme="majorEastAsia"/>
          <w:bCs/>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"_Toc15244"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bCs/>
          <w:sz w:val="28"/>
          <w:szCs w:val="28"/>
        </w:rPr>
        <w:t>第四章 招标公告</w:t>
      </w:r>
      <w:r>
        <w:rPr>
          <w:rFonts w:hint="eastAsia" w:asciiTheme="majorEastAsia" w:hAnsiTheme="majorEastAsia" w:eastAsiaTheme="majorEastAsia" w:cstheme="majorEastAsia"/>
          <w:bCs/>
          <w:sz w:val="28"/>
          <w:szCs w:val="28"/>
        </w:rPr>
        <w:tab/>
      </w:r>
      <w:r>
        <w:rPr>
          <w:rFonts w:hint="eastAsia" w:asciiTheme="majorEastAsia" w:hAnsiTheme="majorEastAsia" w:eastAsiaTheme="majorEastAsia" w:cstheme="majorEastAsia"/>
          <w:bCs/>
          <w:sz w:val="28"/>
          <w:szCs w:val="28"/>
        </w:rPr>
        <w:fldChar w:fldCharType="begin"/>
      </w:r>
      <w:r>
        <w:rPr>
          <w:rFonts w:hint="eastAsia" w:asciiTheme="majorEastAsia" w:hAnsiTheme="majorEastAsia" w:eastAsiaTheme="majorEastAsia" w:cstheme="majorEastAsia"/>
          <w:bCs/>
          <w:sz w:val="28"/>
          <w:szCs w:val="28"/>
        </w:rPr>
        <w:instrText xml:space="preserve"> PAGEREF _Toc15244 \h </w:instrText>
      </w:r>
      <w:r>
        <w:rPr>
          <w:rFonts w:hint="eastAsia" w:asciiTheme="majorEastAsia" w:hAnsiTheme="majorEastAsia" w:eastAsiaTheme="majorEastAsia" w:cstheme="majorEastAsia"/>
          <w:bCs/>
          <w:sz w:val="28"/>
          <w:szCs w:val="28"/>
        </w:rPr>
        <w:fldChar w:fldCharType="separate"/>
      </w:r>
      <w:r>
        <w:rPr>
          <w:rFonts w:hint="eastAsia" w:asciiTheme="majorEastAsia" w:hAnsiTheme="majorEastAsia" w:eastAsiaTheme="majorEastAsia" w:cstheme="majorEastAsia"/>
          <w:bCs/>
          <w:sz w:val="28"/>
          <w:szCs w:val="28"/>
        </w:rPr>
        <w:t>79</w:t>
      </w:r>
      <w:r>
        <w:rPr>
          <w:rFonts w:hint="eastAsia" w:asciiTheme="majorEastAsia" w:hAnsiTheme="majorEastAsia" w:eastAsiaTheme="majorEastAsia" w:cstheme="majorEastAsia"/>
          <w:bCs/>
          <w:sz w:val="28"/>
          <w:szCs w:val="28"/>
        </w:rPr>
        <w:fldChar w:fldCharType="end"/>
      </w:r>
      <w:r>
        <w:rPr>
          <w:rFonts w:hint="eastAsia" w:asciiTheme="majorEastAsia" w:hAnsiTheme="majorEastAsia" w:eastAsiaTheme="majorEastAsia" w:cstheme="majorEastAsia"/>
          <w:bCs/>
          <w:sz w:val="28"/>
          <w:szCs w:val="28"/>
        </w:rPr>
        <w:fldChar w:fldCharType="end"/>
      </w:r>
    </w:p>
    <w:p>
      <w:pPr>
        <w:pStyle w:val="34"/>
        <w:tabs>
          <w:tab w:val="right" w:leader="dot" w:pos="9354"/>
        </w:tabs>
        <w:spacing w:line="560" w:lineRule="exact"/>
        <w:ind w:left="420"/>
        <w:rPr>
          <w:rFonts w:hint="eastAsia" w:asciiTheme="majorEastAsia" w:hAnsiTheme="majorEastAsia" w:eastAsiaTheme="majorEastAsia" w:cstheme="majorEastAsia"/>
          <w:bCs/>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"_Toc12397"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bCs/>
          <w:sz w:val="28"/>
          <w:szCs w:val="28"/>
          <w:lang w:val="zh-CN"/>
        </w:rPr>
        <w:t>第五章</w:t>
      </w:r>
      <w:r>
        <w:rPr>
          <w:rFonts w:hint="eastAsia" w:asciiTheme="majorEastAsia" w:hAnsiTheme="majorEastAsia" w:eastAsiaTheme="majorEastAsia" w:cstheme="majorEastAsia"/>
          <w:bCs/>
          <w:sz w:val="28"/>
          <w:szCs w:val="28"/>
        </w:rPr>
        <w:t xml:space="preserve"> </w:t>
      </w:r>
      <w:r>
        <w:rPr>
          <w:rFonts w:hint="eastAsia" w:asciiTheme="majorEastAsia" w:hAnsiTheme="majorEastAsia" w:eastAsiaTheme="majorEastAsia" w:cstheme="majorEastAsia"/>
          <w:bCs/>
          <w:sz w:val="28"/>
          <w:szCs w:val="28"/>
          <w:lang w:val="zh-CN"/>
        </w:rPr>
        <w:t>采购项目技术和商务要求</w:t>
      </w:r>
      <w:r>
        <w:rPr>
          <w:rFonts w:hint="eastAsia" w:asciiTheme="majorEastAsia" w:hAnsiTheme="majorEastAsia" w:eastAsiaTheme="majorEastAsia" w:cstheme="majorEastAsia"/>
          <w:bCs/>
          <w:sz w:val="28"/>
          <w:szCs w:val="28"/>
        </w:rPr>
        <w:tab/>
      </w:r>
      <w:r>
        <w:rPr>
          <w:rFonts w:hint="eastAsia" w:asciiTheme="majorEastAsia" w:hAnsiTheme="majorEastAsia" w:eastAsiaTheme="majorEastAsia" w:cstheme="majorEastAsia"/>
          <w:bCs/>
          <w:sz w:val="28"/>
          <w:szCs w:val="28"/>
        </w:rPr>
        <w:fldChar w:fldCharType="begin"/>
      </w:r>
      <w:r>
        <w:rPr>
          <w:rFonts w:hint="eastAsia" w:asciiTheme="majorEastAsia" w:hAnsiTheme="majorEastAsia" w:eastAsiaTheme="majorEastAsia" w:cstheme="majorEastAsia"/>
          <w:bCs/>
          <w:sz w:val="28"/>
          <w:szCs w:val="28"/>
        </w:rPr>
        <w:instrText xml:space="preserve"> PAGEREF _Toc12397 \h </w:instrText>
      </w:r>
      <w:r>
        <w:rPr>
          <w:rFonts w:hint="eastAsia" w:asciiTheme="majorEastAsia" w:hAnsiTheme="majorEastAsia" w:eastAsiaTheme="majorEastAsia" w:cstheme="majorEastAsia"/>
          <w:bCs/>
          <w:sz w:val="28"/>
          <w:szCs w:val="28"/>
        </w:rPr>
        <w:fldChar w:fldCharType="separate"/>
      </w:r>
      <w:r>
        <w:rPr>
          <w:rFonts w:hint="eastAsia" w:asciiTheme="majorEastAsia" w:hAnsiTheme="majorEastAsia" w:eastAsiaTheme="majorEastAsia" w:cstheme="majorEastAsia"/>
          <w:bCs/>
          <w:sz w:val="28"/>
          <w:szCs w:val="28"/>
        </w:rPr>
        <w:t>83</w:t>
      </w:r>
      <w:r>
        <w:rPr>
          <w:rFonts w:hint="eastAsia" w:asciiTheme="majorEastAsia" w:hAnsiTheme="majorEastAsia" w:eastAsiaTheme="majorEastAsia" w:cstheme="majorEastAsia"/>
          <w:bCs/>
          <w:sz w:val="28"/>
          <w:szCs w:val="28"/>
        </w:rPr>
        <w:fldChar w:fldCharType="end"/>
      </w:r>
      <w:r>
        <w:rPr>
          <w:rFonts w:hint="eastAsia" w:asciiTheme="majorEastAsia" w:hAnsiTheme="majorEastAsia" w:eastAsiaTheme="majorEastAsia" w:cstheme="majorEastAsia"/>
          <w:bCs/>
          <w:sz w:val="28"/>
          <w:szCs w:val="28"/>
        </w:rPr>
        <w:fldChar w:fldCharType="end"/>
      </w:r>
    </w:p>
    <w:p>
      <w:pPr>
        <w:pStyle w:val="21"/>
        <w:tabs>
          <w:tab w:val="right" w:leader="dot" w:pos="9354"/>
        </w:tabs>
        <w:spacing w:line="560" w:lineRule="exact"/>
        <w:ind w:left="105" w:firstLine="562" w:firstLineChars="200"/>
        <w:rPr>
          <w:rFonts w:hint="eastAsia" w:asciiTheme="majorEastAsia" w:hAnsiTheme="majorEastAsia" w:eastAsiaTheme="majorEastAsia" w:cstheme="majorEastAsia"/>
          <w:b w:val="0"/>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"_Toc29999"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b w:val="0"/>
          <w:sz w:val="28"/>
          <w:szCs w:val="28"/>
        </w:rPr>
        <w:t>一、技术要求</w:t>
      </w:r>
      <w:r>
        <w:rPr>
          <w:rFonts w:hint="eastAsia" w:asciiTheme="majorEastAsia" w:hAnsiTheme="majorEastAsia" w:eastAsiaTheme="majorEastAsia" w:cstheme="majorEastAsia"/>
          <w:b w:val="0"/>
          <w:sz w:val="28"/>
          <w:szCs w:val="28"/>
        </w:rPr>
        <w:tab/>
      </w:r>
      <w:r>
        <w:rPr>
          <w:rFonts w:hint="eastAsia" w:asciiTheme="majorEastAsia" w:hAnsiTheme="majorEastAsia" w:eastAsiaTheme="majorEastAsia" w:cstheme="majorEastAsia"/>
          <w:b w:val="0"/>
          <w:sz w:val="28"/>
          <w:szCs w:val="28"/>
        </w:rPr>
        <w:fldChar w:fldCharType="begin"/>
      </w:r>
      <w:r>
        <w:rPr>
          <w:rFonts w:hint="eastAsia" w:asciiTheme="majorEastAsia" w:hAnsiTheme="majorEastAsia" w:eastAsiaTheme="majorEastAsia" w:cstheme="majorEastAsia"/>
          <w:b w:val="0"/>
          <w:sz w:val="28"/>
          <w:szCs w:val="28"/>
        </w:rPr>
        <w:instrText xml:space="preserve"> PAGEREF _Toc29999 \h </w:instrText>
      </w:r>
      <w:r>
        <w:rPr>
          <w:rFonts w:hint="eastAsia" w:asciiTheme="majorEastAsia" w:hAnsiTheme="majorEastAsia" w:eastAsiaTheme="majorEastAsia" w:cstheme="majorEastAsia"/>
          <w:b w:val="0"/>
          <w:sz w:val="28"/>
          <w:szCs w:val="28"/>
        </w:rPr>
        <w:fldChar w:fldCharType="separate"/>
      </w:r>
      <w:r>
        <w:rPr>
          <w:rFonts w:hint="eastAsia" w:asciiTheme="majorEastAsia" w:hAnsiTheme="majorEastAsia" w:eastAsiaTheme="majorEastAsia" w:cstheme="majorEastAsia"/>
          <w:b w:val="0"/>
          <w:sz w:val="28"/>
          <w:szCs w:val="28"/>
        </w:rPr>
        <w:t>83</w:t>
      </w:r>
      <w:r>
        <w:rPr>
          <w:rFonts w:hint="eastAsia" w:asciiTheme="majorEastAsia" w:hAnsiTheme="majorEastAsia" w:eastAsiaTheme="majorEastAsia" w:cstheme="majorEastAsia"/>
          <w:b w:val="0"/>
          <w:sz w:val="28"/>
          <w:szCs w:val="28"/>
        </w:rPr>
        <w:fldChar w:fldCharType="end"/>
      </w:r>
      <w:r>
        <w:rPr>
          <w:rFonts w:hint="eastAsia" w:asciiTheme="majorEastAsia" w:hAnsiTheme="majorEastAsia" w:eastAsiaTheme="majorEastAsia" w:cstheme="majorEastAsia"/>
          <w:b w:val="0"/>
          <w:sz w:val="28"/>
          <w:szCs w:val="28"/>
        </w:rPr>
        <w:fldChar w:fldCharType="end"/>
      </w:r>
    </w:p>
    <w:p>
      <w:pPr>
        <w:pStyle w:val="21"/>
        <w:tabs>
          <w:tab w:val="right" w:leader="dot" w:pos="9354"/>
        </w:tabs>
        <w:spacing w:line="560" w:lineRule="exact"/>
        <w:ind w:left="105" w:firstLine="562" w:firstLineChars="200"/>
        <w:rPr>
          <w:rFonts w:hint="eastAsia" w:asciiTheme="majorEastAsia" w:hAnsiTheme="majorEastAsia" w:eastAsiaTheme="majorEastAsia" w:cstheme="majorEastAsia"/>
          <w:b w:val="0"/>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"_Toc25703"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b w:val="0"/>
          <w:sz w:val="28"/>
          <w:szCs w:val="28"/>
        </w:rPr>
        <w:t>二、商务要求</w:t>
      </w:r>
      <w:r>
        <w:rPr>
          <w:rFonts w:hint="eastAsia" w:asciiTheme="majorEastAsia" w:hAnsiTheme="majorEastAsia" w:eastAsiaTheme="majorEastAsia" w:cstheme="majorEastAsia"/>
          <w:b w:val="0"/>
          <w:sz w:val="28"/>
          <w:szCs w:val="28"/>
        </w:rPr>
        <w:tab/>
      </w:r>
      <w:r>
        <w:rPr>
          <w:rFonts w:hint="eastAsia" w:asciiTheme="majorEastAsia" w:hAnsiTheme="majorEastAsia" w:eastAsiaTheme="majorEastAsia" w:cstheme="majorEastAsia"/>
          <w:b w:val="0"/>
          <w:sz w:val="28"/>
          <w:szCs w:val="28"/>
        </w:rPr>
        <w:fldChar w:fldCharType="begin"/>
      </w:r>
      <w:r>
        <w:rPr>
          <w:rFonts w:hint="eastAsia" w:asciiTheme="majorEastAsia" w:hAnsiTheme="majorEastAsia" w:eastAsiaTheme="majorEastAsia" w:cstheme="majorEastAsia"/>
          <w:b w:val="0"/>
          <w:sz w:val="28"/>
          <w:szCs w:val="28"/>
        </w:rPr>
        <w:instrText xml:space="preserve"> PAGEREF _Toc25703 \h </w:instrText>
      </w:r>
      <w:r>
        <w:rPr>
          <w:rFonts w:hint="eastAsia" w:asciiTheme="majorEastAsia" w:hAnsiTheme="majorEastAsia" w:eastAsiaTheme="majorEastAsia" w:cstheme="majorEastAsia"/>
          <w:b w:val="0"/>
          <w:sz w:val="28"/>
          <w:szCs w:val="28"/>
        </w:rPr>
        <w:fldChar w:fldCharType="separate"/>
      </w:r>
      <w:r>
        <w:rPr>
          <w:rFonts w:hint="eastAsia" w:asciiTheme="majorEastAsia" w:hAnsiTheme="majorEastAsia" w:eastAsiaTheme="majorEastAsia" w:cstheme="majorEastAsia"/>
          <w:b w:val="0"/>
          <w:sz w:val="28"/>
          <w:szCs w:val="28"/>
        </w:rPr>
        <w:t>83</w:t>
      </w:r>
      <w:r>
        <w:rPr>
          <w:rFonts w:hint="eastAsia" w:asciiTheme="majorEastAsia" w:hAnsiTheme="majorEastAsia" w:eastAsiaTheme="majorEastAsia" w:cstheme="majorEastAsia"/>
          <w:b w:val="0"/>
          <w:sz w:val="28"/>
          <w:szCs w:val="28"/>
        </w:rPr>
        <w:fldChar w:fldCharType="end"/>
      </w:r>
      <w:r>
        <w:rPr>
          <w:rFonts w:hint="eastAsia" w:asciiTheme="majorEastAsia" w:hAnsiTheme="majorEastAsia" w:eastAsiaTheme="majorEastAsia" w:cstheme="majorEastAsia"/>
          <w:b w:val="0"/>
          <w:sz w:val="28"/>
          <w:szCs w:val="28"/>
        </w:rPr>
        <w:fldChar w:fldCharType="end"/>
      </w:r>
    </w:p>
    <w:p>
      <w:pPr>
        <w:pStyle w:val="34"/>
        <w:tabs>
          <w:tab w:val="right" w:leader="dot" w:pos="9354"/>
        </w:tabs>
        <w:spacing w:line="560" w:lineRule="exact"/>
        <w:ind w:left="420"/>
        <w:rPr>
          <w:rFonts w:hint="eastAsia" w:asciiTheme="majorEastAsia" w:hAnsiTheme="majorEastAsia" w:eastAsiaTheme="majorEastAsia" w:cstheme="majorEastAsia"/>
          <w:bCs/>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"_Toc10039"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bCs/>
          <w:snapToGrid w:val="0"/>
          <w:sz w:val="28"/>
          <w:szCs w:val="28"/>
        </w:rPr>
        <w:t>第六章 合同专用条款</w:t>
      </w:r>
      <w:r>
        <w:rPr>
          <w:rFonts w:hint="eastAsia" w:asciiTheme="majorEastAsia" w:hAnsiTheme="majorEastAsia" w:eastAsiaTheme="majorEastAsia" w:cstheme="majorEastAsia"/>
          <w:bCs/>
          <w:sz w:val="28"/>
          <w:szCs w:val="28"/>
        </w:rPr>
        <w:tab/>
      </w:r>
      <w:r>
        <w:rPr>
          <w:rFonts w:hint="eastAsia" w:asciiTheme="majorEastAsia" w:hAnsiTheme="majorEastAsia" w:eastAsiaTheme="majorEastAsia" w:cstheme="majorEastAsia"/>
          <w:bCs/>
          <w:sz w:val="28"/>
          <w:szCs w:val="28"/>
        </w:rPr>
        <w:fldChar w:fldCharType="begin"/>
      </w:r>
      <w:r>
        <w:rPr>
          <w:rFonts w:hint="eastAsia" w:asciiTheme="majorEastAsia" w:hAnsiTheme="majorEastAsia" w:eastAsiaTheme="majorEastAsia" w:cstheme="majorEastAsia"/>
          <w:bCs/>
          <w:sz w:val="28"/>
          <w:szCs w:val="28"/>
        </w:rPr>
        <w:instrText xml:space="preserve"> PAGEREF _Toc10039 \h </w:instrText>
      </w:r>
      <w:r>
        <w:rPr>
          <w:rFonts w:hint="eastAsia" w:asciiTheme="majorEastAsia" w:hAnsiTheme="majorEastAsia" w:eastAsiaTheme="majorEastAsia" w:cstheme="majorEastAsia"/>
          <w:bCs/>
          <w:sz w:val="28"/>
          <w:szCs w:val="28"/>
        </w:rPr>
        <w:fldChar w:fldCharType="separate"/>
      </w:r>
      <w:r>
        <w:rPr>
          <w:rFonts w:hint="eastAsia" w:asciiTheme="majorEastAsia" w:hAnsiTheme="majorEastAsia" w:eastAsiaTheme="majorEastAsia" w:cstheme="majorEastAsia"/>
          <w:bCs/>
          <w:sz w:val="28"/>
          <w:szCs w:val="28"/>
        </w:rPr>
        <w:t>99</w:t>
      </w:r>
      <w:r>
        <w:rPr>
          <w:rFonts w:hint="eastAsia" w:asciiTheme="majorEastAsia" w:hAnsiTheme="majorEastAsia" w:eastAsiaTheme="majorEastAsia" w:cstheme="majorEastAsia"/>
          <w:bCs/>
          <w:sz w:val="28"/>
          <w:szCs w:val="28"/>
        </w:rPr>
        <w:fldChar w:fldCharType="end"/>
      </w:r>
      <w:r>
        <w:rPr>
          <w:rFonts w:hint="eastAsia" w:asciiTheme="majorEastAsia" w:hAnsiTheme="majorEastAsia" w:eastAsiaTheme="majorEastAsia" w:cstheme="majorEastAsia"/>
          <w:bCs/>
          <w:sz w:val="28"/>
          <w:szCs w:val="28"/>
        </w:rPr>
        <w:fldChar w:fldCharType="end"/>
      </w:r>
    </w:p>
    <w:p>
      <w:pPr>
        <w:pStyle w:val="21"/>
        <w:tabs>
          <w:tab w:val="right" w:leader="dot" w:pos="9354"/>
        </w:tabs>
        <w:spacing w:line="560" w:lineRule="exact"/>
        <w:ind w:left="105" w:firstLine="422" w:firstLineChars="150"/>
        <w:rPr>
          <w:rFonts w:hint="eastAsia" w:asciiTheme="majorEastAsia" w:hAnsiTheme="majorEastAsia" w:eastAsiaTheme="majorEastAsia" w:cstheme="majorEastAsia"/>
          <w:b w:val="0"/>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"_Toc4752"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b w:val="0"/>
          <w:sz w:val="28"/>
          <w:szCs w:val="28"/>
        </w:rPr>
        <w:t>一、项目信息</w:t>
      </w:r>
      <w:r>
        <w:rPr>
          <w:rFonts w:hint="eastAsia" w:asciiTheme="majorEastAsia" w:hAnsiTheme="majorEastAsia" w:eastAsiaTheme="majorEastAsia" w:cstheme="majorEastAsia"/>
          <w:b w:val="0"/>
          <w:sz w:val="28"/>
          <w:szCs w:val="28"/>
        </w:rPr>
        <w:tab/>
      </w:r>
      <w:r>
        <w:rPr>
          <w:rFonts w:hint="eastAsia" w:asciiTheme="majorEastAsia" w:hAnsiTheme="majorEastAsia" w:eastAsiaTheme="majorEastAsia" w:cstheme="majorEastAsia"/>
          <w:b w:val="0"/>
          <w:sz w:val="28"/>
          <w:szCs w:val="28"/>
        </w:rPr>
        <w:fldChar w:fldCharType="begin"/>
      </w:r>
      <w:r>
        <w:rPr>
          <w:rFonts w:hint="eastAsia" w:asciiTheme="majorEastAsia" w:hAnsiTheme="majorEastAsia" w:eastAsiaTheme="majorEastAsia" w:cstheme="majorEastAsia"/>
          <w:b w:val="0"/>
          <w:sz w:val="28"/>
          <w:szCs w:val="28"/>
        </w:rPr>
        <w:instrText xml:space="preserve"> PAGEREF _Toc4752 \h </w:instrText>
      </w:r>
      <w:r>
        <w:rPr>
          <w:rFonts w:hint="eastAsia" w:asciiTheme="majorEastAsia" w:hAnsiTheme="majorEastAsia" w:eastAsiaTheme="majorEastAsia" w:cstheme="majorEastAsia"/>
          <w:b w:val="0"/>
          <w:sz w:val="28"/>
          <w:szCs w:val="28"/>
        </w:rPr>
        <w:fldChar w:fldCharType="separate"/>
      </w:r>
      <w:r>
        <w:rPr>
          <w:rFonts w:hint="eastAsia" w:asciiTheme="majorEastAsia" w:hAnsiTheme="majorEastAsia" w:eastAsiaTheme="majorEastAsia" w:cstheme="majorEastAsia"/>
          <w:b w:val="0"/>
          <w:sz w:val="28"/>
          <w:szCs w:val="28"/>
        </w:rPr>
        <w:t>99</w:t>
      </w:r>
      <w:r>
        <w:rPr>
          <w:rFonts w:hint="eastAsia" w:asciiTheme="majorEastAsia" w:hAnsiTheme="majorEastAsia" w:eastAsiaTheme="majorEastAsia" w:cstheme="majorEastAsia"/>
          <w:b w:val="0"/>
          <w:sz w:val="28"/>
          <w:szCs w:val="28"/>
        </w:rPr>
        <w:fldChar w:fldCharType="end"/>
      </w:r>
      <w:r>
        <w:rPr>
          <w:rFonts w:hint="eastAsia" w:asciiTheme="majorEastAsia" w:hAnsiTheme="majorEastAsia" w:eastAsiaTheme="majorEastAsia" w:cstheme="majorEastAsia"/>
          <w:b w:val="0"/>
          <w:sz w:val="28"/>
          <w:szCs w:val="28"/>
        </w:rPr>
        <w:fldChar w:fldCharType="end"/>
      </w:r>
    </w:p>
    <w:p>
      <w:pPr>
        <w:pStyle w:val="21"/>
        <w:tabs>
          <w:tab w:val="right" w:leader="dot" w:pos="9354"/>
        </w:tabs>
        <w:spacing w:line="560" w:lineRule="exact"/>
        <w:ind w:left="105" w:firstLine="422" w:firstLineChars="150"/>
        <w:rPr>
          <w:rFonts w:hint="eastAsia" w:asciiTheme="majorEastAsia" w:hAnsiTheme="majorEastAsia" w:eastAsiaTheme="majorEastAsia" w:cstheme="majorEastAsia"/>
          <w:b w:val="0"/>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"_Toc17818"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b w:val="0"/>
          <w:sz w:val="28"/>
          <w:szCs w:val="28"/>
        </w:rPr>
        <w:t>二、货物内容</w:t>
      </w:r>
      <w:r>
        <w:rPr>
          <w:rFonts w:hint="eastAsia" w:asciiTheme="majorEastAsia" w:hAnsiTheme="majorEastAsia" w:eastAsiaTheme="majorEastAsia" w:cstheme="majorEastAsia"/>
          <w:b w:val="0"/>
          <w:sz w:val="28"/>
          <w:szCs w:val="28"/>
        </w:rPr>
        <w:tab/>
      </w:r>
      <w:r>
        <w:rPr>
          <w:rFonts w:hint="eastAsia" w:asciiTheme="majorEastAsia" w:hAnsiTheme="majorEastAsia" w:eastAsiaTheme="majorEastAsia" w:cstheme="majorEastAsia"/>
          <w:b w:val="0"/>
          <w:sz w:val="28"/>
          <w:szCs w:val="28"/>
        </w:rPr>
        <w:fldChar w:fldCharType="begin"/>
      </w:r>
      <w:r>
        <w:rPr>
          <w:rFonts w:hint="eastAsia" w:asciiTheme="majorEastAsia" w:hAnsiTheme="majorEastAsia" w:eastAsiaTheme="majorEastAsia" w:cstheme="majorEastAsia"/>
          <w:b w:val="0"/>
          <w:sz w:val="28"/>
          <w:szCs w:val="28"/>
        </w:rPr>
        <w:instrText xml:space="preserve"> PAGEREF _Toc17818 \h </w:instrText>
      </w:r>
      <w:r>
        <w:rPr>
          <w:rFonts w:hint="eastAsia" w:asciiTheme="majorEastAsia" w:hAnsiTheme="majorEastAsia" w:eastAsiaTheme="majorEastAsia" w:cstheme="majorEastAsia"/>
          <w:b w:val="0"/>
          <w:sz w:val="28"/>
          <w:szCs w:val="28"/>
        </w:rPr>
        <w:fldChar w:fldCharType="separate"/>
      </w:r>
      <w:r>
        <w:rPr>
          <w:rFonts w:hint="eastAsia" w:asciiTheme="majorEastAsia" w:hAnsiTheme="majorEastAsia" w:eastAsiaTheme="majorEastAsia" w:cstheme="majorEastAsia"/>
          <w:b w:val="0"/>
          <w:sz w:val="28"/>
          <w:szCs w:val="28"/>
        </w:rPr>
        <w:t>99</w:t>
      </w:r>
      <w:r>
        <w:rPr>
          <w:rFonts w:hint="eastAsia" w:asciiTheme="majorEastAsia" w:hAnsiTheme="majorEastAsia" w:eastAsiaTheme="majorEastAsia" w:cstheme="majorEastAsia"/>
          <w:b w:val="0"/>
          <w:sz w:val="28"/>
          <w:szCs w:val="28"/>
        </w:rPr>
        <w:fldChar w:fldCharType="end"/>
      </w:r>
      <w:r>
        <w:rPr>
          <w:rFonts w:hint="eastAsia" w:asciiTheme="majorEastAsia" w:hAnsiTheme="majorEastAsia" w:eastAsiaTheme="majorEastAsia" w:cstheme="majorEastAsia"/>
          <w:b w:val="0"/>
          <w:sz w:val="28"/>
          <w:szCs w:val="28"/>
        </w:rPr>
        <w:fldChar w:fldCharType="end"/>
      </w:r>
    </w:p>
    <w:p>
      <w:pPr>
        <w:pStyle w:val="21"/>
        <w:tabs>
          <w:tab w:val="right" w:leader="dot" w:pos="9354"/>
        </w:tabs>
        <w:spacing w:line="560" w:lineRule="exact"/>
        <w:ind w:left="105" w:firstLine="422" w:firstLineChars="150"/>
        <w:rPr>
          <w:rFonts w:hint="eastAsia" w:asciiTheme="majorEastAsia" w:hAnsiTheme="majorEastAsia" w:eastAsiaTheme="majorEastAsia" w:cstheme="majorEastAsia"/>
          <w:b w:val="0"/>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"_Toc23535"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b w:val="0"/>
          <w:sz w:val="28"/>
          <w:szCs w:val="28"/>
        </w:rPr>
        <w:t>三、交货时间、地点</w:t>
      </w:r>
      <w:r>
        <w:rPr>
          <w:rFonts w:hint="eastAsia" w:asciiTheme="majorEastAsia" w:hAnsiTheme="majorEastAsia" w:eastAsiaTheme="majorEastAsia" w:cstheme="majorEastAsia"/>
          <w:b w:val="0"/>
          <w:sz w:val="28"/>
          <w:szCs w:val="28"/>
        </w:rPr>
        <w:tab/>
      </w:r>
      <w:r>
        <w:rPr>
          <w:rFonts w:hint="eastAsia" w:asciiTheme="majorEastAsia" w:hAnsiTheme="majorEastAsia" w:eastAsiaTheme="majorEastAsia" w:cstheme="majorEastAsia"/>
          <w:b w:val="0"/>
          <w:sz w:val="28"/>
          <w:szCs w:val="28"/>
        </w:rPr>
        <w:fldChar w:fldCharType="begin"/>
      </w:r>
      <w:r>
        <w:rPr>
          <w:rFonts w:hint="eastAsia" w:asciiTheme="majorEastAsia" w:hAnsiTheme="majorEastAsia" w:eastAsiaTheme="majorEastAsia" w:cstheme="majorEastAsia"/>
          <w:b w:val="0"/>
          <w:sz w:val="28"/>
          <w:szCs w:val="28"/>
        </w:rPr>
        <w:instrText xml:space="preserve"> PAGEREF _Toc23535 \h </w:instrText>
      </w:r>
      <w:r>
        <w:rPr>
          <w:rFonts w:hint="eastAsia" w:asciiTheme="majorEastAsia" w:hAnsiTheme="majorEastAsia" w:eastAsiaTheme="majorEastAsia" w:cstheme="majorEastAsia"/>
          <w:b w:val="0"/>
          <w:sz w:val="28"/>
          <w:szCs w:val="28"/>
        </w:rPr>
        <w:fldChar w:fldCharType="separate"/>
      </w:r>
      <w:r>
        <w:rPr>
          <w:rFonts w:hint="eastAsia" w:asciiTheme="majorEastAsia" w:hAnsiTheme="majorEastAsia" w:eastAsiaTheme="majorEastAsia" w:cstheme="majorEastAsia"/>
          <w:b w:val="0"/>
          <w:sz w:val="28"/>
          <w:szCs w:val="28"/>
        </w:rPr>
        <w:t>99</w:t>
      </w:r>
      <w:r>
        <w:rPr>
          <w:rFonts w:hint="eastAsia" w:asciiTheme="majorEastAsia" w:hAnsiTheme="majorEastAsia" w:eastAsiaTheme="majorEastAsia" w:cstheme="majorEastAsia"/>
          <w:b w:val="0"/>
          <w:sz w:val="28"/>
          <w:szCs w:val="28"/>
        </w:rPr>
        <w:fldChar w:fldCharType="end"/>
      </w:r>
      <w:r>
        <w:rPr>
          <w:rFonts w:hint="eastAsia" w:asciiTheme="majorEastAsia" w:hAnsiTheme="majorEastAsia" w:eastAsiaTheme="majorEastAsia" w:cstheme="majorEastAsia"/>
          <w:b w:val="0"/>
          <w:sz w:val="28"/>
          <w:szCs w:val="28"/>
        </w:rPr>
        <w:fldChar w:fldCharType="end"/>
      </w:r>
    </w:p>
    <w:p>
      <w:pPr>
        <w:pStyle w:val="21"/>
        <w:tabs>
          <w:tab w:val="right" w:leader="dot" w:pos="9354"/>
        </w:tabs>
        <w:spacing w:line="560" w:lineRule="exact"/>
        <w:ind w:left="105" w:firstLine="420" w:firstLineChars="150"/>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fldChar w:fldCharType="begin"/>
      </w:r>
      <w:r>
        <w:rPr>
          <w:rFonts w:hint="eastAsia" w:asciiTheme="majorEastAsia" w:hAnsiTheme="majorEastAsia" w:eastAsiaTheme="majorEastAsia" w:cstheme="majorEastAsia"/>
          <w:b w:val="0"/>
          <w:bCs/>
          <w:sz w:val="28"/>
          <w:szCs w:val="28"/>
        </w:rPr>
        <w:instrText xml:space="preserve"> HYPERLINK \l "_Toc7812" </w:instrText>
      </w:r>
      <w:r>
        <w:rPr>
          <w:rFonts w:hint="eastAsia" w:asciiTheme="majorEastAsia" w:hAnsiTheme="majorEastAsia" w:eastAsiaTheme="majorEastAsia" w:cstheme="majorEastAsia"/>
          <w:b w:val="0"/>
          <w:bCs/>
          <w:sz w:val="28"/>
          <w:szCs w:val="28"/>
        </w:rPr>
        <w:fldChar w:fldCharType="separate"/>
      </w:r>
      <w:r>
        <w:rPr>
          <w:rFonts w:hint="eastAsia" w:asciiTheme="majorEastAsia" w:hAnsiTheme="majorEastAsia" w:eastAsiaTheme="majorEastAsia" w:cstheme="majorEastAsia"/>
          <w:b w:val="0"/>
          <w:bCs/>
          <w:sz w:val="28"/>
          <w:szCs w:val="28"/>
          <w:lang w:val="en-US" w:eastAsia="zh-CN"/>
        </w:rPr>
        <w:t>四、质量保证期</w:t>
      </w:r>
      <w:r>
        <w:rPr>
          <w:rFonts w:hint="eastAsia" w:asciiTheme="majorEastAsia" w:hAnsiTheme="majorEastAsia" w:eastAsiaTheme="majorEastAsia" w:cstheme="majorEastAsia"/>
          <w:b w:val="0"/>
          <w:bCs/>
          <w:sz w:val="28"/>
          <w:szCs w:val="28"/>
        </w:rPr>
        <w:tab/>
      </w:r>
      <w:r>
        <w:rPr>
          <w:rFonts w:hint="eastAsia" w:asciiTheme="majorEastAsia" w:hAnsiTheme="majorEastAsia" w:eastAsiaTheme="majorEastAsia" w:cstheme="majorEastAsia"/>
          <w:b w:val="0"/>
          <w:bCs/>
          <w:sz w:val="28"/>
          <w:szCs w:val="28"/>
        </w:rPr>
        <w:fldChar w:fldCharType="begin"/>
      </w:r>
      <w:r>
        <w:rPr>
          <w:rFonts w:hint="eastAsia" w:asciiTheme="majorEastAsia" w:hAnsiTheme="majorEastAsia" w:eastAsiaTheme="majorEastAsia" w:cstheme="majorEastAsia"/>
          <w:b w:val="0"/>
          <w:bCs/>
          <w:sz w:val="28"/>
          <w:szCs w:val="28"/>
        </w:rPr>
        <w:instrText xml:space="preserve"> PAGEREF _Toc7812 \h </w:instrText>
      </w:r>
      <w:r>
        <w:rPr>
          <w:rFonts w:hint="eastAsia" w:asciiTheme="majorEastAsia" w:hAnsiTheme="majorEastAsia" w:eastAsiaTheme="majorEastAsia" w:cstheme="majorEastAsia"/>
          <w:b w:val="0"/>
          <w:bCs/>
          <w:sz w:val="28"/>
          <w:szCs w:val="28"/>
        </w:rPr>
        <w:fldChar w:fldCharType="separate"/>
      </w:r>
      <w:r>
        <w:rPr>
          <w:rFonts w:hint="eastAsia" w:asciiTheme="majorEastAsia" w:hAnsiTheme="majorEastAsia" w:eastAsiaTheme="majorEastAsia" w:cstheme="majorEastAsia"/>
          <w:b w:val="0"/>
          <w:bCs/>
          <w:sz w:val="28"/>
          <w:szCs w:val="28"/>
        </w:rPr>
        <w:t>99</w:t>
      </w:r>
      <w:r>
        <w:rPr>
          <w:rFonts w:hint="eastAsia" w:asciiTheme="majorEastAsia" w:hAnsiTheme="majorEastAsia" w:eastAsiaTheme="majorEastAsia" w:cstheme="majorEastAsia"/>
          <w:b w:val="0"/>
          <w:bCs/>
          <w:sz w:val="28"/>
          <w:szCs w:val="28"/>
        </w:rPr>
        <w:fldChar w:fldCharType="end"/>
      </w:r>
      <w:r>
        <w:rPr>
          <w:rFonts w:hint="eastAsia" w:asciiTheme="majorEastAsia" w:hAnsiTheme="majorEastAsia" w:eastAsiaTheme="majorEastAsia" w:cstheme="majorEastAsia"/>
          <w:b w:val="0"/>
          <w:bCs/>
          <w:sz w:val="28"/>
          <w:szCs w:val="28"/>
        </w:rPr>
        <w:fldChar w:fldCharType="end"/>
      </w:r>
    </w:p>
    <w:p>
      <w:pPr>
        <w:pStyle w:val="21"/>
        <w:tabs>
          <w:tab w:val="right" w:leader="dot" w:pos="9354"/>
        </w:tabs>
        <w:spacing w:line="560" w:lineRule="exact"/>
        <w:ind w:left="105" w:firstLine="420" w:firstLineChars="150"/>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fldChar w:fldCharType="begin"/>
      </w:r>
      <w:r>
        <w:rPr>
          <w:rFonts w:hint="eastAsia" w:asciiTheme="majorEastAsia" w:hAnsiTheme="majorEastAsia" w:eastAsiaTheme="majorEastAsia" w:cstheme="majorEastAsia"/>
          <w:b w:val="0"/>
          <w:bCs/>
          <w:sz w:val="28"/>
          <w:szCs w:val="28"/>
        </w:rPr>
        <w:instrText xml:space="preserve"> HYPERLINK \l "_Toc19003" </w:instrText>
      </w:r>
      <w:r>
        <w:rPr>
          <w:rFonts w:hint="eastAsia" w:asciiTheme="majorEastAsia" w:hAnsiTheme="majorEastAsia" w:eastAsiaTheme="majorEastAsia" w:cstheme="majorEastAsia"/>
          <w:b w:val="0"/>
          <w:bCs/>
          <w:sz w:val="28"/>
          <w:szCs w:val="28"/>
        </w:rPr>
        <w:fldChar w:fldCharType="separate"/>
      </w:r>
      <w:r>
        <w:rPr>
          <w:rFonts w:hint="eastAsia" w:asciiTheme="majorEastAsia" w:hAnsiTheme="majorEastAsia" w:eastAsiaTheme="majorEastAsia" w:cstheme="majorEastAsia"/>
          <w:b w:val="0"/>
          <w:bCs/>
          <w:sz w:val="28"/>
          <w:szCs w:val="28"/>
        </w:rPr>
        <w:t>五、产品质量检验验收</w:t>
      </w:r>
      <w:r>
        <w:rPr>
          <w:rFonts w:hint="eastAsia" w:asciiTheme="majorEastAsia" w:hAnsiTheme="majorEastAsia" w:eastAsiaTheme="majorEastAsia" w:cstheme="majorEastAsia"/>
          <w:b w:val="0"/>
          <w:bCs/>
          <w:sz w:val="28"/>
          <w:szCs w:val="28"/>
        </w:rPr>
        <w:tab/>
      </w:r>
      <w:r>
        <w:rPr>
          <w:rFonts w:hint="eastAsia" w:asciiTheme="majorEastAsia" w:hAnsiTheme="majorEastAsia" w:eastAsiaTheme="majorEastAsia" w:cstheme="majorEastAsia"/>
          <w:b w:val="0"/>
          <w:bCs/>
          <w:sz w:val="28"/>
          <w:szCs w:val="28"/>
        </w:rPr>
        <w:fldChar w:fldCharType="begin"/>
      </w:r>
      <w:r>
        <w:rPr>
          <w:rFonts w:hint="eastAsia" w:asciiTheme="majorEastAsia" w:hAnsiTheme="majorEastAsia" w:eastAsiaTheme="majorEastAsia" w:cstheme="majorEastAsia"/>
          <w:b w:val="0"/>
          <w:bCs/>
          <w:sz w:val="28"/>
          <w:szCs w:val="28"/>
        </w:rPr>
        <w:instrText xml:space="preserve"> PAGEREF _Toc19003 \h </w:instrText>
      </w:r>
      <w:r>
        <w:rPr>
          <w:rFonts w:hint="eastAsia" w:asciiTheme="majorEastAsia" w:hAnsiTheme="majorEastAsia" w:eastAsiaTheme="majorEastAsia" w:cstheme="majorEastAsia"/>
          <w:b w:val="0"/>
          <w:bCs/>
          <w:sz w:val="28"/>
          <w:szCs w:val="28"/>
        </w:rPr>
        <w:fldChar w:fldCharType="separate"/>
      </w:r>
      <w:r>
        <w:rPr>
          <w:rFonts w:hint="eastAsia" w:asciiTheme="majorEastAsia" w:hAnsiTheme="majorEastAsia" w:eastAsiaTheme="majorEastAsia" w:cstheme="majorEastAsia"/>
          <w:b w:val="0"/>
          <w:bCs/>
          <w:sz w:val="28"/>
          <w:szCs w:val="28"/>
        </w:rPr>
        <w:t>99</w:t>
      </w:r>
      <w:r>
        <w:rPr>
          <w:rFonts w:hint="eastAsia" w:asciiTheme="majorEastAsia" w:hAnsiTheme="majorEastAsia" w:eastAsiaTheme="majorEastAsia" w:cstheme="majorEastAsia"/>
          <w:b w:val="0"/>
          <w:bCs/>
          <w:sz w:val="28"/>
          <w:szCs w:val="28"/>
        </w:rPr>
        <w:fldChar w:fldCharType="end"/>
      </w:r>
      <w:r>
        <w:rPr>
          <w:rFonts w:hint="eastAsia" w:asciiTheme="majorEastAsia" w:hAnsiTheme="majorEastAsia" w:eastAsiaTheme="majorEastAsia" w:cstheme="majorEastAsia"/>
          <w:b w:val="0"/>
          <w:bCs/>
          <w:sz w:val="28"/>
          <w:szCs w:val="28"/>
        </w:rPr>
        <w:fldChar w:fldCharType="end"/>
      </w:r>
    </w:p>
    <w:p>
      <w:pPr>
        <w:pStyle w:val="21"/>
        <w:tabs>
          <w:tab w:val="right" w:leader="dot" w:pos="9354"/>
        </w:tabs>
        <w:spacing w:line="560" w:lineRule="exact"/>
        <w:ind w:left="105" w:firstLine="420" w:firstLineChars="150"/>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fldChar w:fldCharType="begin"/>
      </w:r>
      <w:r>
        <w:rPr>
          <w:rFonts w:hint="eastAsia" w:asciiTheme="majorEastAsia" w:hAnsiTheme="majorEastAsia" w:eastAsiaTheme="majorEastAsia" w:cstheme="majorEastAsia"/>
          <w:b w:val="0"/>
          <w:bCs/>
          <w:sz w:val="28"/>
          <w:szCs w:val="28"/>
        </w:rPr>
        <w:instrText xml:space="preserve"> HYPERLINK \l "_Toc8226" </w:instrText>
      </w:r>
      <w:r>
        <w:rPr>
          <w:rFonts w:hint="eastAsia" w:asciiTheme="majorEastAsia" w:hAnsiTheme="majorEastAsia" w:eastAsiaTheme="majorEastAsia" w:cstheme="majorEastAsia"/>
          <w:b w:val="0"/>
          <w:bCs/>
          <w:sz w:val="28"/>
          <w:szCs w:val="28"/>
        </w:rPr>
        <w:fldChar w:fldCharType="separate"/>
      </w:r>
      <w:r>
        <w:rPr>
          <w:rFonts w:hint="eastAsia" w:asciiTheme="majorEastAsia" w:hAnsiTheme="majorEastAsia" w:eastAsiaTheme="majorEastAsia" w:cstheme="majorEastAsia"/>
          <w:b w:val="0"/>
          <w:bCs/>
          <w:sz w:val="28"/>
          <w:szCs w:val="28"/>
        </w:rPr>
        <w:t>六、合同价款支付方式和条件：</w:t>
      </w:r>
      <w:r>
        <w:rPr>
          <w:rFonts w:hint="eastAsia" w:asciiTheme="majorEastAsia" w:hAnsiTheme="majorEastAsia" w:eastAsiaTheme="majorEastAsia" w:cstheme="majorEastAsia"/>
          <w:b w:val="0"/>
          <w:bCs/>
          <w:sz w:val="28"/>
          <w:szCs w:val="28"/>
        </w:rPr>
        <w:tab/>
      </w:r>
      <w:r>
        <w:rPr>
          <w:rFonts w:hint="eastAsia" w:asciiTheme="majorEastAsia" w:hAnsiTheme="majorEastAsia" w:eastAsiaTheme="majorEastAsia" w:cstheme="majorEastAsia"/>
          <w:b w:val="0"/>
          <w:bCs/>
          <w:sz w:val="28"/>
          <w:szCs w:val="28"/>
        </w:rPr>
        <w:fldChar w:fldCharType="begin"/>
      </w:r>
      <w:r>
        <w:rPr>
          <w:rFonts w:hint="eastAsia" w:asciiTheme="majorEastAsia" w:hAnsiTheme="majorEastAsia" w:eastAsiaTheme="majorEastAsia" w:cstheme="majorEastAsia"/>
          <w:b w:val="0"/>
          <w:bCs/>
          <w:sz w:val="28"/>
          <w:szCs w:val="28"/>
        </w:rPr>
        <w:instrText xml:space="preserve"> PAGEREF _Toc8226 \h </w:instrText>
      </w:r>
      <w:r>
        <w:rPr>
          <w:rFonts w:hint="eastAsia" w:asciiTheme="majorEastAsia" w:hAnsiTheme="majorEastAsia" w:eastAsiaTheme="majorEastAsia" w:cstheme="majorEastAsia"/>
          <w:b w:val="0"/>
          <w:bCs/>
          <w:sz w:val="28"/>
          <w:szCs w:val="28"/>
        </w:rPr>
        <w:fldChar w:fldCharType="separate"/>
      </w:r>
      <w:r>
        <w:rPr>
          <w:rFonts w:hint="eastAsia" w:asciiTheme="majorEastAsia" w:hAnsiTheme="majorEastAsia" w:eastAsiaTheme="majorEastAsia" w:cstheme="majorEastAsia"/>
          <w:b w:val="0"/>
          <w:bCs/>
          <w:sz w:val="28"/>
          <w:szCs w:val="28"/>
        </w:rPr>
        <w:t>99</w:t>
      </w:r>
      <w:r>
        <w:rPr>
          <w:rFonts w:hint="eastAsia" w:asciiTheme="majorEastAsia" w:hAnsiTheme="majorEastAsia" w:eastAsiaTheme="majorEastAsia" w:cstheme="majorEastAsia"/>
          <w:b w:val="0"/>
          <w:bCs/>
          <w:sz w:val="28"/>
          <w:szCs w:val="28"/>
        </w:rPr>
        <w:fldChar w:fldCharType="end"/>
      </w:r>
      <w:r>
        <w:rPr>
          <w:rFonts w:hint="eastAsia" w:asciiTheme="majorEastAsia" w:hAnsiTheme="majorEastAsia" w:eastAsiaTheme="majorEastAsia" w:cstheme="majorEastAsia"/>
          <w:b w:val="0"/>
          <w:bCs/>
          <w:sz w:val="28"/>
          <w:szCs w:val="28"/>
        </w:rPr>
        <w:fldChar w:fldCharType="end"/>
      </w:r>
    </w:p>
    <w:p>
      <w:pPr>
        <w:pStyle w:val="21"/>
        <w:tabs>
          <w:tab w:val="right" w:leader="dot" w:pos="9354"/>
        </w:tabs>
        <w:spacing w:line="560" w:lineRule="exact"/>
        <w:ind w:left="105" w:firstLine="420" w:firstLineChars="150"/>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fldChar w:fldCharType="begin"/>
      </w:r>
      <w:r>
        <w:rPr>
          <w:rFonts w:hint="eastAsia" w:asciiTheme="majorEastAsia" w:hAnsiTheme="majorEastAsia" w:eastAsiaTheme="majorEastAsia" w:cstheme="majorEastAsia"/>
          <w:b w:val="0"/>
          <w:bCs/>
          <w:sz w:val="28"/>
          <w:szCs w:val="28"/>
        </w:rPr>
        <w:instrText xml:space="preserve"> HYPERLINK \l "_Toc14581" </w:instrText>
      </w:r>
      <w:r>
        <w:rPr>
          <w:rFonts w:hint="eastAsia" w:asciiTheme="majorEastAsia" w:hAnsiTheme="majorEastAsia" w:eastAsiaTheme="majorEastAsia" w:cstheme="majorEastAsia"/>
          <w:b w:val="0"/>
          <w:bCs/>
          <w:sz w:val="28"/>
          <w:szCs w:val="28"/>
        </w:rPr>
        <w:fldChar w:fldCharType="separate"/>
      </w:r>
      <w:r>
        <w:rPr>
          <w:rFonts w:hint="eastAsia" w:asciiTheme="majorEastAsia" w:hAnsiTheme="majorEastAsia" w:eastAsiaTheme="majorEastAsia" w:cstheme="majorEastAsia"/>
          <w:b w:val="0"/>
          <w:bCs/>
          <w:sz w:val="28"/>
          <w:szCs w:val="28"/>
        </w:rPr>
        <w:t>七、解决合同纠纷方式</w:t>
      </w:r>
      <w:r>
        <w:rPr>
          <w:rFonts w:hint="eastAsia" w:asciiTheme="majorEastAsia" w:hAnsiTheme="majorEastAsia" w:eastAsiaTheme="majorEastAsia" w:cstheme="majorEastAsia"/>
          <w:b w:val="0"/>
          <w:bCs/>
          <w:sz w:val="28"/>
          <w:szCs w:val="28"/>
        </w:rPr>
        <w:tab/>
      </w:r>
      <w:r>
        <w:rPr>
          <w:rFonts w:hint="eastAsia" w:asciiTheme="majorEastAsia" w:hAnsiTheme="majorEastAsia" w:eastAsiaTheme="majorEastAsia" w:cstheme="majorEastAsia"/>
          <w:b w:val="0"/>
          <w:bCs/>
          <w:sz w:val="28"/>
          <w:szCs w:val="28"/>
        </w:rPr>
        <w:fldChar w:fldCharType="begin"/>
      </w:r>
      <w:r>
        <w:rPr>
          <w:rFonts w:hint="eastAsia" w:asciiTheme="majorEastAsia" w:hAnsiTheme="majorEastAsia" w:eastAsiaTheme="majorEastAsia" w:cstheme="majorEastAsia"/>
          <w:b w:val="0"/>
          <w:bCs/>
          <w:sz w:val="28"/>
          <w:szCs w:val="28"/>
        </w:rPr>
        <w:instrText xml:space="preserve"> PAGEREF _Toc14581 \h </w:instrText>
      </w:r>
      <w:r>
        <w:rPr>
          <w:rFonts w:hint="eastAsia" w:asciiTheme="majorEastAsia" w:hAnsiTheme="majorEastAsia" w:eastAsiaTheme="majorEastAsia" w:cstheme="majorEastAsia"/>
          <w:b w:val="0"/>
          <w:bCs/>
          <w:sz w:val="28"/>
          <w:szCs w:val="28"/>
        </w:rPr>
        <w:fldChar w:fldCharType="separate"/>
      </w:r>
      <w:r>
        <w:rPr>
          <w:rFonts w:hint="eastAsia" w:asciiTheme="majorEastAsia" w:hAnsiTheme="majorEastAsia" w:eastAsiaTheme="majorEastAsia" w:cstheme="majorEastAsia"/>
          <w:b w:val="0"/>
          <w:bCs/>
          <w:sz w:val="28"/>
          <w:szCs w:val="28"/>
        </w:rPr>
        <w:t>100</w:t>
      </w:r>
      <w:r>
        <w:rPr>
          <w:rFonts w:hint="eastAsia" w:asciiTheme="majorEastAsia" w:hAnsiTheme="majorEastAsia" w:eastAsiaTheme="majorEastAsia" w:cstheme="majorEastAsia"/>
          <w:b w:val="0"/>
          <w:bCs/>
          <w:sz w:val="28"/>
          <w:szCs w:val="28"/>
        </w:rPr>
        <w:fldChar w:fldCharType="end"/>
      </w:r>
      <w:r>
        <w:rPr>
          <w:rFonts w:hint="eastAsia" w:asciiTheme="majorEastAsia" w:hAnsiTheme="majorEastAsia" w:eastAsiaTheme="majorEastAsia" w:cstheme="majorEastAsia"/>
          <w:b w:val="0"/>
          <w:bCs/>
          <w:sz w:val="28"/>
          <w:szCs w:val="28"/>
        </w:rPr>
        <w:fldChar w:fldCharType="end"/>
      </w:r>
    </w:p>
    <w:p>
      <w:pPr>
        <w:pStyle w:val="21"/>
        <w:tabs>
          <w:tab w:val="right" w:leader="dot" w:pos="9354"/>
        </w:tabs>
        <w:spacing w:line="560" w:lineRule="exact"/>
        <w:ind w:left="105" w:firstLine="420" w:firstLineChars="150"/>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fldChar w:fldCharType="begin"/>
      </w:r>
      <w:r>
        <w:rPr>
          <w:rFonts w:hint="eastAsia" w:asciiTheme="majorEastAsia" w:hAnsiTheme="majorEastAsia" w:eastAsiaTheme="majorEastAsia" w:cstheme="majorEastAsia"/>
          <w:b w:val="0"/>
          <w:bCs/>
          <w:sz w:val="28"/>
          <w:szCs w:val="28"/>
        </w:rPr>
        <w:instrText xml:space="preserve"> HYPERLINK \l "_Toc28119" </w:instrText>
      </w:r>
      <w:r>
        <w:rPr>
          <w:rFonts w:hint="eastAsia" w:asciiTheme="majorEastAsia" w:hAnsiTheme="majorEastAsia" w:eastAsiaTheme="majorEastAsia" w:cstheme="majorEastAsia"/>
          <w:b w:val="0"/>
          <w:bCs/>
          <w:sz w:val="28"/>
          <w:szCs w:val="28"/>
        </w:rPr>
        <w:fldChar w:fldCharType="separate"/>
      </w:r>
      <w:r>
        <w:rPr>
          <w:rFonts w:hint="eastAsia" w:asciiTheme="majorEastAsia" w:hAnsiTheme="majorEastAsia" w:eastAsiaTheme="majorEastAsia" w:cstheme="majorEastAsia"/>
          <w:b w:val="0"/>
          <w:bCs/>
          <w:sz w:val="28"/>
          <w:szCs w:val="28"/>
        </w:rPr>
        <w:t>八、合同未尽事项</w:t>
      </w:r>
      <w:r>
        <w:rPr>
          <w:rFonts w:hint="eastAsia" w:asciiTheme="majorEastAsia" w:hAnsiTheme="majorEastAsia" w:eastAsiaTheme="majorEastAsia" w:cstheme="majorEastAsia"/>
          <w:b w:val="0"/>
          <w:bCs/>
          <w:sz w:val="28"/>
          <w:szCs w:val="28"/>
        </w:rPr>
        <w:tab/>
      </w:r>
      <w:r>
        <w:rPr>
          <w:rFonts w:hint="eastAsia" w:asciiTheme="majorEastAsia" w:hAnsiTheme="majorEastAsia" w:eastAsiaTheme="majorEastAsia" w:cstheme="majorEastAsia"/>
          <w:b w:val="0"/>
          <w:bCs/>
          <w:sz w:val="28"/>
          <w:szCs w:val="28"/>
        </w:rPr>
        <w:fldChar w:fldCharType="begin"/>
      </w:r>
      <w:r>
        <w:rPr>
          <w:rFonts w:hint="eastAsia" w:asciiTheme="majorEastAsia" w:hAnsiTheme="majorEastAsia" w:eastAsiaTheme="majorEastAsia" w:cstheme="majorEastAsia"/>
          <w:b w:val="0"/>
          <w:bCs/>
          <w:sz w:val="28"/>
          <w:szCs w:val="28"/>
        </w:rPr>
        <w:instrText xml:space="preserve"> PAGEREF _Toc28119 \h </w:instrText>
      </w:r>
      <w:r>
        <w:rPr>
          <w:rFonts w:hint="eastAsia" w:asciiTheme="majorEastAsia" w:hAnsiTheme="majorEastAsia" w:eastAsiaTheme="majorEastAsia" w:cstheme="majorEastAsia"/>
          <w:b w:val="0"/>
          <w:bCs/>
          <w:sz w:val="28"/>
          <w:szCs w:val="28"/>
        </w:rPr>
        <w:fldChar w:fldCharType="separate"/>
      </w:r>
      <w:r>
        <w:rPr>
          <w:rFonts w:hint="eastAsia" w:asciiTheme="majorEastAsia" w:hAnsiTheme="majorEastAsia" w:eastAsiaTheme="majorEastAsia" w:cstheme="majorEastAsia"/>
          <w:b w:val="0"/>
          <w:bCs/>
          <w:sz w:val="28"/>
          <w:szCs w:val="28"/>
        </w:rPr>
        <w:t>100</w:t>
      </w:r>
      <w:r>
        <w:rPr>
          <w:rFonts w:hint="eastAsia" w:asciiTheme="majorEastAsia" w:hAnsiTheme="majorEastAsia" w:eastAsiaTheme="majorEastAsia" w:cstheme="majorEastAsia"/>
          <w:b w:val="0"/>
          <w:bCs/>
          <w:sz w:val="28"/>
          <w:szCs w:val="28"/>
        </w:rPr>
        <w:fldChar w:fldCharType="end"/>
      </w:r>
      <w:r>
        <w:rPr>
          <w:rFonts w:hint="eastAsia" w:asciiTheme="majorEastAsia" w:hAnsiTheme="majorEastAsia" w:eastAsiaTheme="majorEastAsia" w:cstheme="majorEastAsia"/>
          <w:b w:val="0"/>
          <w:bCs/>
          <w:sz w:val="28"/>
          <w:szCs w:val="28"/>
        </w:rPr>
        <w:fldChar w:fldCharType="end"/>
      </w:r>
    </w:p>
    <w:p>
      <w:pPr>
        <w:pStyle w:val="21"/>
        <w:tabs>
          <w:tab w:val="right" w:leader="dot" w:pos="9354"/>
        </w:tabs>
        <w:spacing w:line="560" w:lineRule="exact"/>
        <w:ind w:left="105" w:firstLine="420" w:firstLineChars="150"/>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fldChar w:fldCharType="begin"/>
      </w:r>
      <w:r>
        <w:rPr>
          <w:rFonts w:hint="eastAsia" w:asciiTheme="majorEastAsia" w:hAnsiTheme="majorEastAsia" w:eastAsiaTheme="majorEastAsia" w:cstheme="majorEastAsia"/>
          <w:b w:val="0"/>
          <w:bCs/>
          <w:sz w:val="28"/>
          <w:szCs w:val="28"/>
        </w:rPr>
        <w:instrText xml:space="preserve"> HYPERLINK \l "_Toc9297" </w:instrText>
      </w:r>
      <w:r>
        <w:rPr>
          <w:rFonts w:hint="eastAsia" w:asciiTheme="majorEastAsia" w:hAnsiTheme="majorEastAsia" w:eastAsiaTheme="majorEastAsia" w:cstheme="majorEastAsia"/>
          <w:b w:val="0"/>
          <w:bCs/>
          <w:sz w:val="28"/>
          <w:szCs w:val="28"/>
        </w:rPr>
        <w:fldChar w:fldCharType="separate"/>
      </w:r>
      <w:r>
        <w:rPr>
          <w:rFonts w:hint="eastAsia" w:asciiTheme="majorEastAsia" w:hAnsiTheme="majorEastAsia" w:eastAsiaTheme="majorEastAsia" w:cstheme="majorEastAsia"/>
          <w:b w:val="0"/>
          <w:bCs/>
          <w:sz w:val="28"/>
          <w:szCs w:val="28"/>
        </w:rPr>
        <w:t>九、合同份数</w:t>
      </w:r>
      <w:r>
        <w:rPr>
          <w:rFonts w:hint="eastAsia" w:asciiTheme="majorEastAsia" w:hAnsiTheme="majorEastAsia" w:eastAsiaTheme="majorEastAsia" w:cstheme="majorEastAsia"/>
          <w:b w:val="0"/>
          <w:bCs/>
          <w:sz w:val="28"/>
          <w:szCs w:val="28"/>
        </w:rPr>
        <w:tab/>
      </w:r>
      <w:r>
        <w:rPr>
          <w:rFonts w:hint="eastAsia" w:asciiTheme="majorEastAsia" w:hAnsiTheme="majorEastAsia" w:eastAsiaTheme="majorEastAsia" w:cstheme="majorEastAsia"/>
          <w:b w:val="0"/>
          <w:bCs/>
          <w:sz w:val="28"/>
          <w:szCs w:val="28"/>
        </w:rPr>
        <w:fldChar w:fldCharType="begin"/>
      </w:r>
      <w:r>
        <w:rPr>
          <w:rFonts w:hint="eastAsia" w:asciiTheme="majorEastAsia" w:hAnsiTheme="majorEastAsia" w:eastAsiaTheme="majorEastAsia" w:cstheme="majorEastAsia"/>
          <w:b w:val="0"/>
          <w:bCs/>
          <w:sz w:val="28"/>
          <w:szCs w:val="28"/>
        </w:rPr>
        <w:instrText xml:space="preserve"> PAGEREF _Toc9297 \h </w:instrText>
      </w:r>
      <w:r>
        <w:rPr>
          <w:rFonts w:hint="eastAsia" w:asciiTheme="majorEastAsia" w:hAnsiTheme="majorEastAsia" w:eastAsiaTheme="majorEastAsia" w:cstheme="majorEastAsia"/>
          <w:b w:val="0"/>
          <w:bCs/>
          <w:sz w:val="28"/>
          <w:szCs w:val="28"/>
        </w:rPr>
        <w:fldChar w:fldCharType="separate"/>
      </w:r>
      <w:r>
        <w:rPr>
          <w:rFonts w:hint="eastAsia" w:asciiTheme="majorEastAsia" w:hAnsiTheme="majorEastAsia" w:eastAsiaTheme="majorEastAsia" w:cstheme="majorEastAsia"/>
          <w:b w:val="0"/>
          <w:bCs/>
          <w:sz w:val="28"/>
          <w:szCs w:val="28"/>
        </w:rPr>
        <w:t>100</w:t>
      </w:r>
      <w:r>
        <w:rPr>
          <w:rFonts w:hint="eastAsia" w:asciiTheme="majorEastAsia" w:hAnsiTheme="majorEastAsia" w:eastAsiaTheme="majorEastAsia" w:cstheme="majorEastAsia"/>
          <w:b w:val="0"/>
          <w:bCs/>
          <w:sz w:val="28"/>
          <w:szCs w:val="28"/>
        </w:rPr>
        <w:fldChar w:fldCharType="end"/>
      </w:r>
      <w:r>
        <w:rPr>
          <w:rFonts w:hint="eastAsia" w:asciiTheme="majorEastAsia" w:hAnsiTheme="majorEastAsia" w:eastAsiaTheme="majorEastAsia" w:cstheme="majorEastAsia"/>
          <w:b w:val="0"/>
          <w:bCs/>
          <w:sz w:val="28"/>
          <w:szCs w:val="28"/>
        </w:rPr>
        <w:fldChar w:fldCharType="end"/>
      </w:r>
    </w:p>
    <w:p>
      <w:pPr>
        <w:pStyle w:val="21"/>
        <w:tabs>
          <w:tab w:val="right" w:leader="dot" w:pos="9354"/>
        </w:tabs>
        <w:spacing w:line="560" w:lineRule="exact"/>
        <w:ind w:left="105" w:firstLine="420" w:firstLineChars="150"/>
        <w:rPr>
          <w:rFonts w:hint="eastAsia" w:asciiTheme="majorEastAsia" w:hAnsiTheme="majorEastAsia" w:eastAsiaTheme="majorEastAsia" w:cstheme="majorEastAsia"/>
          <w:b w:val="0"/>
          <w:sz w:val="28"/>
          <w:szCs w:val="28"/>
        </w:rPr>
      </w:pPr>
      <w:r>
        <w:rPr>
          <w:rFonts w:hint="eastAsia" w:asciiTheme="majorEastAsia" w:hAnsiTheme="majorEastAsia" w:eastAsiaTheme="majorEastAsia" w:cstheme="majorEastAsia"/>
          <w:b w:val="0"/>
          <w:bCs/>
          <w:sz w:val="28"/>
          <w:szCs w:val="28"/>
        </w:rPr>
        <w:fldChar w:fldCharType="begin"/>
      </w:r>
      <w:r>
        <w:rPr>
          <w:rFonts w:hint="eastAsia" w:asciiTheme="majorEastAsia" w:hAnsiTheme="majorEastAsia" w:eastAsiaTheme="majorEastAsia" w:cstheme="majorEastAsia"/>
          <w:b w:val="0"/>
          <w:bCs/>
          <w:sz w:val="28"/>
          <w:szCs w:val="28"/>
        </w:rPr>
        <w:instrText xml:space="preserve"> HYPERLINK \l "_Toc18422" </w:instrText>
      </w:r>
      <w:r>
        <w:rPr>
          <w:rFonts w:hint="eastAsia" w:asciiTheme="majorEastAsia" w:hAnsiTheme="majorEastAsia" w:eastAsiaTheme="majorEastAsia" w:cstheme="majorEastAsia"/>
          <w:b w:val="0"/>
          <w:bCs/>
          <w:sz w:val="28"/>
          <w:szCs w:val="28"/>
        </w:rPr>
        <w:fldChar w:fldCharType="separate"/>
      </w:r>
      <w:r>
        <w:rPr>
          <w:rFonts w:hint="eastAsia" w:asciiTheme="majorEastAsia" w:hAnsiTheme="majorEastAsia" w:eastAsiaTheme="majorEastAsia" w:cstheme="majorEastAsia"/>
          <w:b w:val="0"/>
          <w:bCs/>
          <w:sz w:val="28"/>
          <w:szCs w:val="28"/>
        </w:rPr>
        <w:t>十、合同生效</w:t>
      </w:r>
      <w:r>
        <w:rPr>
          <w:rFonts w:hint="eastAsia" w:asciiTheme="majorEastAsia" w:hAnsiTheme="majorEastAsia" w:eastAsiaTheme="majorEastAsia" w:cstheme="majorEastAsia"/>
          <w:b w:val="0"/>
          <w:bCs/>
          <w:sz w:val="28"/>
          <w:szCs w:val="28"/>
        </w:rPr>
        <w:tab/>
      </w:r>
      <w:r>
        <w:rPr>
          <w:rFonts w:hint="eastAsia" w:asciiTheme="majorEastAsia" w:hAnsiTheme="majorEastAsia" w:eastAsiaTheme="majorEastAsia" w:cstheme="majorEastAsia"/>
          <w:b w:val="0"/>
          <w:bCs/>
          <w:sz w:val="28"/>
          <w:szCs w:val="28"/>
        </w:rPr>
        <w:fldChar w:fldCharType="begin"/>
      </w:r>
      <w:r>
        <w:rPr>
          <w:rFonts w:hint="eastAsia" w:asciiTheme="majorEastAsia" w:hAnsiTheme="majorEastAsia" w:eastAsiaTheme="majorEastAsia" w:cstheme="majorEastAsia"/>
          <w:b w:val="0"/>
          <w:bCs/>
          <w:sz w:val="28"/>
          <w:szCs w:val="28"/>
        </w:rPr>
        <w:instrText xml:space="preserve"> PAGEREF _Toc18422 \h </w:instrText>
      </w:r>
      <w:r>
        <w:rPr>
          <w:rFonts w:hint="eastAsia" w:asciiTheme="majorEastAsia" w:hAnsiTheme="majorEastAsia" w:eastAsiaTheme="majorEastAsia" w:cstheme="majorEastAsia"/>
          <w:b w:val="0"/>
          <w:bCs/>
          <w:sz w:val="28"/>
          <w:szCs w:val="28"/>
        </w:rPr>
        <w:fldChar w:fldCharType="separate"/>
      </w:r>
      <w:r>
        <w:rPr>
          <w:rFonts w:hint="eastAsia" w:asciiTheme="majorEastAsia" w:hAnsiTheme="majorEastAsia" w:eastAsiaTheme="majorEastAsia" w:cstheme="majorEastAsia"/>
          <w:b w:val="0"/>
          <w:bCs/>
          <w:sz w:val="28"/>
          <w:szCs w:val="28"/>
        </w:rPr>
        <w:t>100</w:t>
      </w:r>
      <w:r>
        <w:rPr>
          <w:rFonts w:hint="eastAsia" w:asciiTheme="majorEastAsia" w:hAnsiTheme="majorEastAsia" w:eastAsiaTheme="majorEastAsia" w:cstheme="majorEastAsia"/>
          <w:b w:val="0"/>
          <w:bCs/>
          <w:sz w:val="28"/>
          <w:szCs w:val="28"/>
        </w:rPr>
        <w:fldChar w:fldCharType="end"/>
      </w:r>
      <w:r>
        <w:rPr>
          <w:rFonts w:hint="eastAsia" w:asciiTheme="majorEastAsia" w:hAnsiTheme="majorEastAsia" w:eastAsiaTheme="majorEastAsia" w:cstheme="majorEastAsia"/>
          <w:b w:val="0"/>
          <w:bCs/>
          <w:sz w:val="28"/>
          <w:szCs w:val="28"/>
        </w:rPr>
        <w:fldChar w:fldCharType="end"/>
      </w:r>
    </w:p>
    <w:p>
      <w:pPr>
        <w:pStyle w:val="34"/>
        <w:tabs>
          <w:tab w:val="right" w:leader="dot" w:pos="9354"/>
        </w:tabs>
        <w:spacing w:line="560" w:lineRule="exact"/>
        <w:ind w:left="420"/>
        <w:rPr>
          <w:rFonts w:hint="eastAsia" w:asciiTheme="majorEastAsia" w:hAnsiTheme="majorEastAsia" w:eastAsiaTheme="majorEastAsia" w:cstheme="majorEastAsia"/>
          <w:bCs/>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"_Toc29819"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bCs/>
          <w:sz w:val="28"/>
          <w:szCs w:val="28"/>
        </w:rPr>
        <w:t xml:space="preserve">第七章 </w:t>
      </w:r>
      <w:r>
        <w:rPr>
          <w:rFonts w:hint="eastAsia" w:asciiTheme="majorEastAsia" w:hAnsiTheme="majorEastAsia" w:eastAsiaTheme="majorEastAsia" w:cstheme="majorEastAsia"/>
          <w:bCs/>
          <w:sz w:val="28"/>
          <w:szCs w:val="28"/>
          <w:lang w:val="zh-CN"/>
        </w:rPr>
        <w:t>投标供应商须知</w:t>
      </w:r>
      <w:r>
        <w:rPr>
          <w:rFonts w:hint="eastAsia" w:asciiTheme="majorEastAsia" w:hAnsiTheme="majorEastAsia" w:eastAsiaTheme="majorEastAsia" w:cstheme="majorEastAsia"/>
          <w:bCs/>
          <w:sz w:val="28"/>
          <w:szCs w:val="28"/>
        </w:rPr>
        <w:t>前附表</w:t>
      </w:r>
      <w:r>
        <w:rPr>
          <w:rFonts w:hint="eastAsia" w:asciiTheme="majorEastAsia" w:hAnsiTheme="majorEastAsia" w:eastAsiaTheme="majorEastAsia" w:cstheme="majorEastAsia"/>
          <w:bCs/>
          <w:sz w:val="28"/>
          <w:szCs w:val="28"/>
        </w:rPr>
        <w:tab/>
      </w:r>
      <w:r>
        <w:rPr>
          <w:rFonts w:hint="eastAsia" w:asciiTheme="majorEastAsia" w:hAnsiTheme="majorEastAsia" w:eastAsiaTheme="majorEastAsia" w:cstheme="majorEastAsia"/>
          <w:bCs/>
          <w:sz w:val="28"/>
          <w:szCs w:val="28"/>
        </w:rPr>
        <w:fldChar w:fldCharType="begin"/>
      </w:r>
      <w:r>
        <w:rPr>
          <w:rFonts w:hint="eastAsia" w:asciiTheme="majorEastAsia" w:hAnsiTheme="majorEastAsia" w:eastAsiaTheme="majorEastAsia" w:cstheme="majorEastAsia"/>
          <w:bCs/>
          <w:sz w:val="28"/>
          <w:szCs w:val="28"/>
        </w:rPr>
        <w:instrText xml:space="preserve"> PAGEREF _Toc29819 \h </w:instrText>
      </w:r>
      <w:r>
        <w:rPr>
          <w:rFonts w:hint="eastAsia" w:asciiTheme="majorEastAsia" w:hAnsiTheme="majorEastAsia" w:eastAsiaTheme="majorEastAsia" w:cstheme="majorEastAsia"/>
          <w:bCs/>
          <w:sz w:val="28"/>
          <w:szCs w:val="28"/>
        </w:rPr>
        <w:fldChar w:fldCharType="separate"/>
      </w:r>
      <w:r>
        <w:rPr>
          <w:rFonts w:hint="eastAsia" w:asciiTheme="majorEastAsia" w:hAnsiTheme="majorEastAsia" w:eastAsiaTheme="majorEastAsia" w:cstheme="majorEastAsia"/>
          <w:bCs/>
          <w:sz w:val="28"/>
          <w:szCs w:val="28"/>
        </w:rPr>
        <w:t>103</w:t>
      </w:r>
      <w:r>
        <w:rPr>
          <w:rFonts w:hint="eastAsia" w:asciiTheme="majorEastAsia" w:hAnsiTheme="majorEastAsia" w:eastAsiaTheme="majorEastAsia" w:cstheme="majorEastAsia"/>
          <w:bCs/>
          <w:sz w:val="28"/>
          <w:szCs w:val="28"/>
        </w:rPr>
        <w:fldChar w:fldCharType="end"/>
      </w:r>
      <w:r>
        <w:rPr>
          <w:rFonts w:hint="eastAsia" w:asciiTheme="majorEastAsia" w:hAnsiTheme="majorEastAsia" w:eastAsiaTheme="majorEastAsia" w:cstheme="majorEastAsia"/>
          <w:bCs/>
          <w:sz w:val="28"/>
          <w:szCs w:val="28"/>
        </w:rPr>
        <w:fldChar w:fldCharType="end"/>
      </w:r>
    </w:p>
    <w:p>
      <w:pPr>
        <w:pStyle w:val="21"/>
        <w:tabs>
          <w:tab w:val="right" w:leader="dot" w:pos="9354"/>
        </w:tabs>
        <w:spacing w:line="560" w:lineRule="exact"/>
        <w:ind w:left="105" w:firstLine="422" w:firstLineChars="150"/>
        <w:rPr>
          <w:rFonts w:hint="eastAsia" w:asciiTheme="majorEastAsia" w:hAnsiTheme="majorEastAsia" w:eastAsiaTheme="majorEastAsia" w:cstheme="majorEastAsia"/>
          <w:b w:val="0"/>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"_Toc8827"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b w:val="0"/>
          <w:sz w:val="28"/>
          <w:szCs w:val="28"/>
        </w:rPr>
        <w:t>附表1 资格性审查表</w:t>
      </w:r>
      <w:r>
        <w:rPr>
          <w:rFonts w:hint="eastAsia" w:asciiTheme="majorEastAsia" w:hAnsiTheme="majorEastAsia" w:eastAsiaTheme="majorEastAsia" w:cstheme="majorEastAsia"/>
          <w:b w:val="0"/>
          <w:sz w:val="28"/>
          <w:szCs w:val="28"/>
        </w:rPr>
        <w:tab/>
      </w:r>
      <w:r>
        <w:rPr>
          <w:rFonts w:hint="eastAsia" w:asciiTheme="majorEastAsia" w:hAnsiTheme="majorEastAsia" w:eastAsiaTheme="majorEastAsia" w:cstheme="majorEastAsia"/>
          <w:b w:val="0"/>
          <w:sz w:val="28"/>
          <w:szCs w:val="28"/>
        </w:rPr>
        <w:fldChar w:fldCharType="begin"/>
      </w:r>
      <w:r>
        <w:rPr>
          <w:rFonts w:hint="eastAsia" w:asciiTheme="majorEastAsia" w:hAnsiTheme="majorEastAsia" w:eastAsiaTheme="majorEastAsia" w:cstheme="majorEastAsia"/>
          <w:b w:val="0"/>
          <w:sz w:val="28"/>
          <w:szCs w:val="28"/>
        </w:rPr>
        <w:instrText xml:space="preserve"> PAGEREF _Toc8827 \h </w:instrText>
      </w:r>
      <w:r>
        <w:rPr>
          <w:rFonts w:hint="eastAsia" w:asciiTheme="majorEastAsia" w:hAnsiTheme="majorEastAsia" w:eastAsiaTheme="majorEastAsia" w:cstheme="majorEastAsia"/>
          <w:b w:val="0"/>
          <w:sz w:val="28"/>
          <w:szCs w:val="28"/>
        </w:rPr>
        <w:fldChar w:fldCharType="separate"/>
      </w:r>
      <w:r>
        <w:rPr>
          <w:rFonts w:hint="eastAsia" w:asciiTheme="majorEastAsia" w:hAnsiTheme="majorEastAsia" w:eastAsiaTheme="majorEastAsia" w:cstheme="majorEastAsia"/>
          <w:b w:val="0"/>
          <w:sz w:val="28"/>
          <w:szCs w:val="28"/>
        </w:rPr>
        <w:t>105</w:t>
      </w:r>
      <w:r>
        <w:rPr>
          <w:rFonts w:hint="eastAsia" w:asciiTheme="majorEastAsia" w:hAnsiTheme="majorEastAsia" w:eastAsiaTheme="majorEastAsia" w:cstheme="majorEastAsia"/>
          <w:b w:val="0"/>
          <w:sz w:val="28"/>
          <w:szCs w:val="28"/>
        </w:rPr>
        <w:fldChar w:fldCharType="end"/>
      </w:r>
      <w:r>
        <w:rPr>
          <w:rFonts w:hint="eastAsia" w:asciiTheme="majorEastAsia" w:hAnsiTheme="majorEastAsia" w:eastAsiaTheme="majorEastAsia" w:cstheme="majorEastAsia"/>
          <w:b w:val="0"/>
          <w:sz w:val="28"/>
          <w:szCs w:val="28"/>
        </w:rPr>
        <w:fldChar w:fldCharType="end"/>
      </w:r>
    </w:p>
    <w:p>
      <w:pPr>
        <w:pStyle w:val="21"/>
        <w:tabs>
          <w:tab w:val="right" w:leader="dot" w:pos="9354"/>
        </w:tabs>
        <w:spacing w:line="560" w:lineRule="exact"/>
        <w:ind w:left="105" w:firstLine="422" w:firstLineChars="150"/>
        <w:rPr>
          <w:rFonts w:hint="eastAsia" w:asciiTheme="majorEastAsia" w:hAnsiTheme="majorEastAsia" w:eastAsiaTheme="majorEastAsia" w:cstheme="majorEastAsia"/>
          <w:b w:val="0"/>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"_Toc20480"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b w:val="0"/>
          <w:sz w:val="28"/>
          <w:szCs w:val="28"/>
        </w:rPr>
        <w:t>附表2 符合性审查表</w:t>
      </w:r>
      <w:r>
        <w:rPr>
          <w:rFonts w:hint="eastAsia" w:asciiTheme="majorEastAsia" w:hAnsiTheme="majorEastAsia" w:eastAsiaTheme="majorEastAsia" w:cstheme="majorEastAsia"/>
          <w:b w:val="0"/>
          <w:sz w:val="28"/>
          <w:szCs w:val="28"/>
        </w:rPr>
        <w:tab/>
      </w:r>
      <w:r>
        <w:rPr>
          <w:rFonts w:hint="eastAsia" w:asciiTheme="majorEastAsia" w:hAnsiTheme="majorEastAsia" w:eastAsiaTheme="majorEastAsia" w:cstheme="majorEastAsia"/>
          <w:b w:val="0"/>
          <w:sz w:val="28"/>
          <w:szCs w:val="28"/>
        </w:rPr>
        <w:fldChar w:fldCharType="begin"/>
      </w:r>
      <w:r>
        <w:rPr>
          <w:rFonts w:hint="eastAsia" w:asciiTheme="majorEastAsia" w:hAnsiTheme="majorEastAsia" w:eastAsiaTheme="majorEastAsia" w:cstheme="majorEastAsia"/>
          <w:b w:val="0"/>
          <w:sz w:val="28"/>
          <w:szCs w:val="28"/>
        </w:rPr>
        <w:instrText xml:space="preserve"> PAGEREF _Toc20480 \h </w:instrText>
      </w:r>
      <w:r>
        <w:rPr>
          <w:rFonts w:hint="eastAsia" w:asciiTheme="majorEastAsia" w:hAnsiTheme="majorEastAsia" w:eastAsiaTheme="majorEastAsia" w:cstheme="majorEastAsia"/>
          <w:b w:val="0"/>
          <w:sz w:val="28"/>
          <w:szCs w:val="28"/>
        </w:rPr>
        <w:fldChar w:fldCharType="separate"/>
      </w:r>
      <w:r>
        <w:rPr>
          <w:rFonts w:hint="eastAsia" w:asciiTheme="majorEastAsia" w:hAnsiTheme="majorEastAsia" w:eastAsiaTheme="majorEastAsia" w:cstheme="majorEastAsia"/>
          <w:b w:val="0"/>
          <w:sz w:val="28"/>
          <w:szCs w:val="28"/>
        </w:rPr>
        <w:t>107</w:t>
      </w:r>
      <w:r>
        <w:rPr>
          <w:rFonts w:hint="eastAsia" w:asciiTheme="majorEastAsia" w:hAnsiTheme="majorEastAsia" w:eastAsiaTheme="majorEastAsia" w:cstheme="majorEastAsia"/>
          <w:b w:val="0"/>
          <w:sz w:val="28"/>
          <w:szCs w:val="28"/>
        </w:rPr>
        <w:fldChar w:fldCharType="end"/>
      </w:r>
      <w:r>
        <w:rPr>
          <w:rFonts w:hint="eastAsia" w:asciiTheme="majorEastAsia" w:hAnsiTheme="majorEastAsia" w:eastAsiaTheme="majorEastAsia" w:cstheme="majorEastAsia"/>
          <w:b w:val="0"/>
          <w:sz w:val="28"/>
          <w:szCs w:val="28"/>
        </w:rPr>
        <w:fldChar w:fldCharType="end"/>
      </w:r>
    </w:p>
    <w:p>
      <w:pPr>
        <w:pStyle w:val="21"/>
        <w:tabs>
          <w:tab w:val="right" w:leader="dot" w:pos="9354"/>
        </w:tabs>
        <w:spacing w:line="560" w:lineRule="exact"/>
        <w:ind w:left="105" w:firstLine="422" w:firstLineChars="150"/>
        <w:rPr>
          <w:rFonts w:hint="eastAsia" w:asciiTheme="majorEastAsia" w:hAnsiTheme="majorEastAsia" w:eastAsiaTheme="majorEastAsia" w:cstheme="majorEastAsia"/>
          <w:b w:val="0"/>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"_Toc27221"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b w:val="0"/>
          <w:sz w:val="28"/>
          <w:szCs w:val="28"/>
        </w:rPr>
        <w:t>附表3 商务评审标准表（综合评分法）</w:t>
      </w:r>
      <w:r>
        <w:rPr>
          <w:rFonts w:hint="eastAsia" w:asciiTheme="majorEastAsia" w:hAnsiTheme="majorEastAsia" w:eastAsiaTheme="majorEastAsia" w:cstheme="majorEastAsia"/>
          <w:b w:val="0"/>
          <w:sz w:val="28"/>
          <w:szCs w:val="28"/>
        </w:rPr>
        <w:tab/>
      </w:r>
      <w:r>
        <w:rPr>
          <w:rFonts w:hint="eastAsia" w:asciiTheme="majorEastAsia" w:hAnsiTheme="majorEastAsia" w:eastAsiaTheme="majorEastAsia" w:cstheme="majorEastAsia"/>
          <w:b w:val="0"/>
          <w:sz w:val="28"/>
          <w:szCs w:val="28"/>
        </w:rPr>
        <w:fldChar w:fldCharType="begin"/>
      </w:r>
      <w:r>
        <w:rPr>
          <w:rFonts w:hint="eastAsia" w:asciiTheme="majorEastAsia" w:hAnsiTheme="majorEastAsia" w:eastAsiaTheme="majorEastAsia" w:cstheme="majorEastAsia"/>
          <w:b w:val="0"/>
          <w:sz w:val="28"/>
          <w:szCs w:val="28"/>
        </w:rPr>
        <w:instrText xml:space="preserve"> PAGEREF _Toc27221 \h </w:instrText>
      </w:r>
      <w:r>
        <w:rPr>
          <w:rFonts w:hint="eastAsia" w:asciiTheme="majorEastAsia" w:hAnsiTheme="majorEastAsia" w:eastAsiaTheme="majorEastAsia" w:cstheme="majorEastAsia"/>
          <w:b w:val="0"/>
          <w:sz w:val="28"/>
          <w:szCs w:val="28"/>
        </w:rPr>
        <w:fldChar w:fldCharType="separate"/>
      </w:r>
      <w:r>
        <w:rPr>
          <w:rFonts w:hint="eastAsia" w:asciiTheme="majorEastAsia" w:hAnsiTheme="majorEastAsia" w:eastAsiaTheme="majorEastAsia" w:cstheme="majorEastAsia"/>
          <w:b w:val="0"/>
          <w:sz w:val="28"/>
          <w:szCs w:val="28"/>
        </w:rPr>
        <w:t>108</w:t>
      </w:r>
      <w:r>
        <w:rPr>
          <w:rFonts w:hint="eastAsia" w:asciiTheme="majorEastAsia" w:hAnsiTheme="majorEastAsia" w:eastAsiaTheme="majorEastAsia" w:cstheme="majorEastAsia"/>
          <w:b w:val="0"/>
          <w:sz w:val="28"/>
          <w:szCs w:val="28"/>
        </w:rPr>
        <w:fldChar w:fldCharType="end"/>
      </w:r>
      <w:r>
        <w:rPr>
          <w:rFonts w:hint="eastAsia" w:asciiTheme="majorEastAsia" w:hAnsiTheme="majorEastAsia" w:eastAsiaTheme="majorEastAsia" w:cstheme="majorEastAsia"/>
          <w:b w:val="0"/>
          <w:sz w:val="28"/>
          <w:szCs w:val="28"/>
        </w:rPr>
        <w:fldChar w:fldCharType="end"/>
      </w:r>
    </w:p>
    <w:p>
      <w:pPr>
        <w:pStyle w:val="21"/>
        <w:tabs>
          <w:tab w:val="right" w:leader="dot" w:pos="9354"/>
        </w:tabs>
        <w:spacing w:line="560" w:lineRule="exact"/>
        <w:ind w:left="105" w:firstLine="422" w:firstLineChars="150"/>
        <w:rPr>
          <w:rFonts w:ascii="宋体" w:hAnsi="宋体" w:eastAsia="宋体" w:cs="宋体"/>
          <w:b w:val="0"/>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"_Toc5718"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b w:val="0"/>
          <w:sz w:val="28"/>
          <w:szCs w:val="28"/>
        </w:rPr>
        <w:t>附表4 技术评审标准表（综合评分法）</w:t>
      </w:r>
      <w:r>
        <w:rPr>
          <w:rFonts w:hint="eastAsia" w:asciiTheme="majorEastAsia" w:hAnsiTheme="majorEastAsia" w:eastAsiaTheme="majorEastAsia" w:cstheme="majorEastAsia"/>
          <w:b w:val="0"/>
          <w:sz w:val="28"/>
          <w:szCs w:val="28"/>
        </w:rPr>
        <w:tab/>
      </w:r>
      <w:r>
        <w:rPr>
          <w:rFonts w:hint="eastAsia" w:asciiTheme="majorEastAsia" w:hAnsiTheme="majorEastAsia" w:eastAsiaTheme="majorEastAsia" w:cstheme="majorEastAsia"/>
          <w:b w:val="0"/>
          <w:sz w:val="28"/>
          <w:szCs w:val="28"/>
        </w:rPr>
        <w:fldChar w:fldCharType="begin"/>
      </w:r>
      <w:r>
        <w:rPr>
          <w:rFonts w:hint="eastAsia" w:asciiTheme="majorEastAsia" w:hAnsiTheme="majorEastAsia" w:eastAsiaTheme="majorEastAsia" w:cstheme="majorEastAsia"/>
          <w:b w:val="0"/>
          <w:sz w:val="28"/>
          <w:szCs w:val="28"/>
        </w:rPr>
        <w:instrText xml:space="preserve"> PAGEREF _Toc5718 \h </w:instrText>
      </w:r>
      <w:r>
        <w:rPr>
          <w:rFonts w:hint="eastAsia" w:asciiTheme="majorEastAsia" w:hAnsiTheme="majorEastAsia" w:eastAsiaTheme="majorEastAsia" w:cstheme="majorEastAsia"/>
          <w:b w:val="0"/>
          <w:sz w:val="28"/>
          <w:szCs w:val="28"/>
        </w:rPr>
        <w:fldChar w:fldCharType="separate"/>
      </w:r>
      <w:r>
        <w:rPr>
          <w:rFonts w:hint="eastAsia" w:asciiTheme="majorEastAsia" w:hAnsiTheme="majorEastAsia" w:eastAsiaTheme="majorEastAsia" w:cstheme="majorEastAsia"/>
          <w:b w:val="0"/>
          <w:sz w:val="28"/>
          <w:szCs w:val="28"/>
        </w:rPr>
        <w:t>109</w:t>
      </w:r>
      <w:r>
        <w:rPr>
          <w:rFonts w:hint="eastAsia" w:asciiTheme="majorEastAsia" w:hAnsiTheme="majorEastAsia" w:eastAsiaTheme="majorEastAsia" w:cstheme="majorEastAsia"/>
          <w:b w:val="0"/>
          <w:sz w:val="28"/>
          <w:szCs w:val="28"/>
        </w:rPr>
        <w:fldChar w:fldCharType="end"/>
      </w:r>
      <w:r>
        <w:rPr>
          <w:rFonts w:hint="eastAsia" w:asciiTheme="majorEastAsia" w:hAnsiTheme="majorEastAsia" w:eastAsiaTheme="majorEastAsia" w:cstheme="majorEastAsia"/>
          <w:b w:val="0"/>
          <w:sz w:val="28"/>
          <w:szCs w:val="28"/>
        </w:rPr>
        <w:fldChar w:fldCharType="end"/>
      </w:r>
    </w:p>
    <w:p/>
    <w:p>
      <w:pPr>
        <w:pStyle w:val="16"/>
      </w:pPr>
    </w:p>
    <w:p/>
    <w:p>
      <w:pPr>
        <w:pStyle w:val="16"/>
      </w:pPr>
    </w:p>
    <w:p/>
    <w:p>
      <w:pPr>
        <w:pStyle w:val="16"/>
      </w:pPr>
    </w:p>
    <w:p>
      <w:pPr>
        <w:pStyle w:val="3"/>
        <w:keepNext w:val="0"/>
        <w:keepLines w:val="0"/>
        <w:adjustRightInd w:val="0"/>
        <w:snapToGrid w:val="0"/>
        <w:spacing w:line="560" w:lineRule="exact"/>
        <w:jc w:val="center"/>
        <w:rPr>
          <w:b w:val="0"/>
          <w:szCs w:val="44"/>
        </w:rPr>
      </w:pPr>
      <w:bookmarkStart w:id="0" w:name="_Toc390713968"/>
      <w:bookmarkStart w:id="1" w:name="_Toc132190595"/>
      <w:bookmarkStart w:id="2" w:name="_Toc23099"/>
      <w:bookmarkStart w:id="3" w:name="_Toc29108"/>
      <w:bookmarkStart w:id="4" w:name="_Toc112317766"/>
      <w:bookmarkStart w:id="5" w:name="_Toc285612601"/>
      <w:bookmarkStart w:id="6" w:name="_Toc17163"/>
      <w:bookmarkStart w:id="7" w:name="_Toc16893"/>
      <w:bookmarkStart w:id="8" w:name="_Toc240432230"/>
      <w:bookmarkStart w:id="9" w:name="_Hlk112258849"/>
      <w:bookmarkStart w:id="10" w:name="第一部分"/>
      <w:r>
        <w:rPr>
          <w:rFonts w:hint="eastAsia"/>
          <w:b w:val="0"/>
          <w:szCs w:val="44"/>
          <w:lang w:val="zh-CN"/>
        </w:rPr>
        <w:t>第一章</w:t>
      </w:r>
      <w:r>
        <w:rPr>
          <w:b w:val="0"/>
          <w:szCs w:val="44"/>
          <w:lang w:val="zh-CN"/>
        </w:rPr>
        <w:t xml:space="preserve"> </w:t>
      </w:r>
      <w:r>
        <w:rPr>
          <w:rFonts w:hint="eastAsia"/>
          <w:b w:val="0"/>
          <w:szCs w:val="44"/>
          <w:lang w:val="zh-CN"/>
        </w:rPr>
        <w:t>投标供应商</w:t>
      </w:r>
      <w:r>
        <w:rPr>
          <w:rFonts w:hint="eastAsia"/>
          <w:b w:val="0"/>
          <w:szCs w:val="44"/>
        </w:rPr>
        <w:t>须知</w:t>
      </w:r>
      <w:bookmarkEnd w:id="0"/>
      <w:bookmarkEnd w:id="1"/>
      <w:bookmarkEnd w:id="2"/>
      <w:bookmarkEnd w:id="3"/>
      <w:bookmarkEnd w:id="4"/>
      <w:bookmarkEnd w:id="5"/>
      <w:bookmarkEnd w:id="6"/>
      <w:bookmarkEnd w:id="7"/>
      <w:bookmarkEnd w:id="8"/>
    </w:p>
    <w:bookmarkEnd w:id="9"/>
    <w:p>
      <w:pPr>
        <w:pStyle w:val="4"/>
        <w:keepNext w:val="0"/>
        <w:keepLines w:val="0"/>
        <w:adjustRightInd w:val="0"/>
        <w:snapToGrid w:val="0"/>
        <w:spacing w:before="120" w:beforeLines="50" w:after="120" w:afterLines="50" w:line="560" w:lineRule="exact"/>
        <w:jc w:val="center"/>
        <w:rPr>
          <w:b w:val="0"/>
        </w:rPr>
      </w:pPr>
      <w:bookmarkStart w:id="11" w:name="_Toc1813"/>
      <w:bookmarkStart w:id="12" w:name="_Toc112317767"/>
      <w:bookmarkStart w:id="13" w:name="_Toc29252"/>
      <w:bookmarkStart w:id="14" w:name="_Toc4472"/>
      <w:bookmarkStart w:id="15" w:name="_Toc29441"/>
      <w:bookmarkStart w:id="16" w:name="_Toc132190596"/>
      <w:r>
        <w:rPr>
          <w:rFonts w:hint="eastAsia"/>
          <w:b w:val="0"/>
        </w:rPr>
        <w:t>一、</w:t>
      </w:r>
      <w:r>
        <w:rPr>
          <w:b w:val="0"/>
        </w:rPr>
        <w:t xml:space="preserve">说  </w:t>
      </w:r>
      <w:r>
        <w:rPr>
          <w:rFonts w:hint="eastAsia"/>
          <w:b w:val="0"/>
        </w:rPr>
        <w:t>明</w:t>
      </w:r>
      <w:bookmarkEnd w:id="11"/>
      <w:bookmarkEnd w:id="12"/>
      <w:bookmarkEnd w:id="13"/>
      <w:bookmarkEnd w:id="14"/>
      <w:bookmarkEnd w:id="15"/>
      <w:bookmarkEnd w:id="16"/>
    </w:p>
    <w:p>
      <w:pPr>
        <w:pStyle w:val="5"/>
        <w:keepNext w:val="0"/>
        <w:keepLines w:val="0"/>
        <w:adjustRightInd w:val="0"/>
        <w:snapToGrid w:val="0"/>
        <w:ind w:firstLine="560" w:firstLineChars="200"/>
        <w:rPr>
          <w:rFonts w:ascii="黑体" w:hAnsi="黑体"/>
          <w:b w:val="0"/>
        </w:rPr>
      </w:pPr>
      <w:bookmarkStart w:id="17" w:name="_Toc21244"/>
      <w:bookmarkStart w:id="18" w:name="_Toc12237"/>
      <w:bookmarkStart w:id="19" w:name="_Toc4155"/>
      <w:bookmarkStart w:id="20" w:name="_Toc23696"/>
      <w:r>
        <w:rPr>
          <w:rFonts w:ascii="黑体" w:hAnsi="黑体"/>
          <w:b w:val="0"/>
        </w:rPr>
        <w:t>1</w:t>
      </w:r>
      <w:r>
        <w:rPr>
          <w:rFonts w:ascii="黑体" w:hAnsi="黑体"/>
          <w:b w:val="0"/>
          <w:snapToGrid w:val="0"/>
        </w:rPr>
        <w:t>.</w:t>
      </w:r>
      <w:r>
        <w:rPr>
          <w:rFonts w:ascii="黑体" w:hAnsi="黑体"/>
          <w:b w:val="0"/>
        </w:rPr>
        <w:t>概述</w:t>
      </w:r>
      <w:bookmarkEnd w:id="17"/>
      <w:bookmarkEnd w:id="18"/>
      <w:bookmarkEnd w:id="19"/>
      <w:bookmarkEnd w:id="20"/>
    </w:p>
    <w:p>
      <w:pPr>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1.1</w:t>
      </w:r>
      <w:r>
        <w:rPr>
          <w:rFonts w:hint="eastAsia" w:ascii="宋体" w:hAnsi="宋体"/>
          <w:bCs/>
          <w:snapToGrid w:val="0"/>
          <w:sz w:val="28"/>
          <w:szCs w:val="28"/>
          <w:lang w:val="zh-CN"/>
        </w:rPr>
        <w:t>本文件适用于军队物资类公开招标采购项目，用于明确一般性组织程序和实施要求。投标供应商应当结合采购项目招标文件的专用文件，全面了解采购项目信息。</w:t>
      </w:r>
    </w:p>
    <w:p>
      <w:pPr>
        <w:adjustRightInd w:val="0"/>
        <w:snapToGrid w:val="0"/>
        <w:spacing w:line="560" w:lineRule="exact"/>
        <w:ind w:firstLine="560" w:firstLineChars="200"/>
        <w:rPr>
          <w:rFonts w:ascii="宋体" w:hAnsi="宋体"/>
          <w:bCs/>
          <w:sz w:val="28"/>
          <w:szCs w:val="28"/>
        </w:rPr>
      </w:pPr>
      <w:r>
        <w:rPr>
          <w:rFonts w:hint="eastAsia" w:ascii="宋体" w:hAnsi="宋体"/>
          <w:bCs/>
          <w:snapToGrid w:val="0"/>
          <w:sz w:val="28"/>
          <w:szCs w:val="28"/>
        </w:rPr>
        <w:t>1</w:t>
      </w:r>
      <w:r>
        <w:rPr>
          <w:rFonts w:ascii="宋体" w:hAnsi="宋体"/>
          <w:bCs/>
          <w:snapToGrid w:val="0"/>
          <w:sz w:val="28"/>
          <w:szCs w:val="28"/>
        </w:rPr>
        <w:t>.2</w:t>
      </w:r>
      <w:r>
        <w:rPr>
          <w:rFonts w:hint="eastAsia" w:ascii="宋体" w:hAnsi="宋体"/>
          <w:bCs/>
          <w:snapToGrid w:val="0"/>
          <w:sz w:val="28"/>
          <w:szCs w:val="28"/>
        </w:rPr>
        <w:t>招标投标各参加方，对在参与招标投标过程中获悉的国家、军队和商业秘密，以及其他依法应当保密的内容，均负有保密义务，违者应当承担相应的法律责任。</w:t>
      </w:r>
    </w:p>
    <w:p>
      <w:pPr>
        <w:pStyle w:val="5"/>
        <w:keepNext w:val="0"/>
        <w:keepLines w:val="0"/>
        <w:adjustRightInd w:val="0"/>
        <w:snapToGrid w:val="0"/>
        <w:ind w:firstLine="560" w:firstLineChars="200"/>
        <w:rPr>
          <w:rFonts w:ascii="黑体" w:hAnsi="黑体"/>
          <w:b w:val="0"/>
        </w:rPr>
      </w:pPr>
      <w:bookmarkStart w:id="21" w:name="_Toc15196"/>
      <w:bookmarkStart w:id="22" w:name="_Toc14495"/>
      <w:bookmarkStart w:id="23" w:name="_Toc4805"/>
      <w:bookmarkStart w:id="24" w:name="_Toc5916"/>
      <w:r>
        <w:rPr>
          <w:rFonts w:ascii="黑体" w:hAnsi="黑体"/>
          <w:b w:val="0"/>
        </w:rPr>
        <w:t>2.定义</w:t>
      </w:r>
      <w:bookmarkEnd w:id="21"/>
      <w:bookmarkEnd w:id="22"/>
      <w:bookmarkEnd w:id="23"/>
      <w:bookmarkEnd w:id="24"/>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2.1“采购项目”</w:t>
      </w:r>
      <w:r>
        <w:rPr>
          <w:rFonts w:hint="eastAsia" w:ascii="宋体" w:hAnsi="宋体"/>
          <w:bCs/>
          <w:snapToGrid w:val="0"/>
          <w:sz w:val="28"/>
          <w:szCs w:val="28"/>
        </w:rPr>
        <w:t>是</w:t>
      </w:r>
      <w:r>
        <w:rPr>
          <w:rFonts w:ascii="宋体" w:hAnsi="宋体"/>
          <w:bCs/>
          <w:snapToGrid w:val="0"/>
          <w:sz w:val="28"/>
          <w:szCs w:val="28"/>
        </w:rPr>
        <w:t>指本招标文件描述的所需采购的物资</w:t>
      </w:r>
      <w:r>
        <w:rPr>
          <w:rFonts w:hint="eastAsia" w:ascii="宋体" w:hAnsi="宋体"/>
          <w:bCs/>
          <w:snapToGrid w:val="0"/>
          <w:sz w:val="28"/>
          <w:szCs w:val="28"/>
        </w:rPr>
        <w:t>及其</w:t>
      </w:r>
      <w:r>
        <w:rPr>
          <w:rFonts w:ascii="宋体" w:hAnsi="宋体"/>
          <w:bCs/>
          <w:snapToGrid w:val="0"/>
          <w:sz w:val="28"/>
          <w:szCs w:val="28"/>
        </w:rPr>
        <w:t>相关服务</w:t>
      </w:r>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2.2“采购机构”</w:t>
      </w:r>
      <w:r>
        <w:rPr>
          <w:rFonts w:hint="eastAsia" w:ascii="宋体" w:hAnsi="宋体"/>
          <w:bCs/>
          <w:snapToGrid w:val="0"/>
          <w:sz w:val="28"/>
          <w:szCs w:val="28"/>
        </w:rPr>
        <w:t>是</w:t>
      </w:r>
      <w:r>
        <w:rPr>
          <w:rFonts w:ascii="宋体" w:hAnsi="宋体"/>
          <w:bCs/>
          <w:snapToGrid w:val="0"/>
          <w:sz w:val="28"/>
          <w:szCs w:val="28"/>
        </w:rPr>
        <w:t>指组织本次招标的采购机构</w:t>
      </w:r>
      <w:r>
        <w:rPr>
          <w:rFonts w:hint="eastAsia" w:ascii="宋体" w:hAnsi="宋体"/>
          <w:bCs/>
          <w:snapToGrid w:val="0"/>
          <w:sz w:val="28"/>
          <w:szCs w:val="28"/>
        </w:rPr>
        <w:t>或代理机构。</w:t>
      </w:r>
    </w:p>
    <w:p>
      <w:pPr>
        <w:adjustRightInd w:val="0"/>
        <w:snapToGrid w:val="0"/>
        <w:spacing w:line="560" w:lineRule="exact"/>
        <w:ind w:firstLine="560" w:firstLineChars="200"/>
      </w:pPr>
      <w:r>
        <w:rPr>
          <w:rFonts w:ascii="宋体" w:hAnsi="宋体"/>
          <w:bCs/>
          <w:snapToGrid w:val="0"/>
          <w:sz w:val="28"/>
          <w:szCs w:val="28"/>
        </w:rPr>
        <w:t>2.3</w:t>
      </w:r>
      <w:r>
        <w:rPr>
          <w:rFonts w:hint="eastAsia" w:ascii="宋体" w:hAnsi="宋体"/>
          <w:bCs/>
          <w:snapToGrid w:val="0"/>
          <w:sz w:val="28"/>
          <w:szCs w:val="28"/>
        </w:rPr>
        <w:t>“采购单位”是指本次采购物资和相关服务的需求单位。</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2.4“投标供应商”</w:t>
      </w:r>
      <w:r>
        <w:rPr>
          <w:rFonts w:hint="eastAsia" w:ascii="宋体" w:hAnsi="宋体"/>
          <w:bCs/>
          <w:snapToGrid w:val="0"/>
          <w:sz w:val="28"/>
          <w:szCs w:val="28"/>
        </w:rPr>
        <w:t>是</w:t>
      </w:r>
      <w:r>
        <w:rPr>
          <w:rFonts w:ascii="宋体" w:hAnsi="宋体"/>
          <w:bCs/>
          <w:snapToGrid w:val="0"/>
          <w:sz w:val="28"/>
          <w:szCs w:val="28"/>
        </w:rPr>
        <w:t>指从采购机构按规定获取招标文件</w:t>
      </w:r>
      <w:r>
        <w:rPr>
          <w:rFonts w:hint="eastAsia" w:ascii="宋体" w:hAnsi="宋体"/>
          <w:bCs/>
          <w:snapToGrid w:val="0"/>
          <w:sz w:val="28"/>
          <w:szCs w:val="28"/>
        </w:rPr>
        <w:t>并提交投标文件</w:t>
      </w:r>
      <w:r>
        <w:rPr>
          <w:rFonts w:ascii="宋体" w:hAnsi="宋体"/>
          <w:bCs/>
          <w:snapToGrid w:val="0"/>
          <w:sz w:val="28"/>
          <w:szCs w:val="28"/>
        </w:rPr>
        <w:t>的供应商</w:t>
      </w:r>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2.5“</w:t>
      </w:r>
      <w:bookmarkStart w:id="25" w:name="_Hlk112421795"/>
      <w:r>
        <w:rPr>
          <w:rFonts w:hint="eastAsia" w:ascii="宋体" w:hAnsi="宋体"/>
          <w:bCs/>
          <w:snapToGrid w:val="0"/>
          <w:sz w:val="28"/>
          <w:szCs w:val="28"/>
        </w:rPr>
        <w:t>预</w:t>
      </w:r>
      <w:r>
        <w:rPr>
          <w:rFonts w:ascii="宋体" w:hAnsi="宋体"/>
          <w:bCs/>
          <w:snapToGrid w:val="0"/>
          <w:sz w:val="28"/>
          <w:szCs w:val="28"/>
        </w:rPr>
        <w:t>中标供应商</w:t>
      </w:r>
      <w:bookmarkEnd w:id="25"/>
      <w:r>
        <w:rPr>
          <w:rFonts w:ascii="宋体" w:hAnsi="宋体"/>
          <w:bCs/>
          <w:snapToGrid w:val="0"/>
          <w:sz w:val="28"/>
          <w:szCs w:val="28"/>
        </w:rPr>
        <w:t>”</w:t>
      </w:r>
      <w:r>
        <w:rPr>
          <w:rFonts w:hint="eastAsia" w:ascii="宋体" w:hAnsi="宋体"/>
          <w:bCs/>
          <w:snapToGrid w:val="0"/>
          <w:sz w:val="28"/>
          <w:szCs w:val="28"/>
        </w:rPr>
        <w:t>是</w:t>
      </w:r>
      <w:r>
        <w:rPr>
          <w:rFonts w:ascii="宋体" w:hAnsi="宋体"/>
          <w:bCs/>
          <w:snapToGrid w:val="0"/>
          <w:sz w:val="28"/>
          <w:szCs w:val="28"/>
        </w:rPr>
        <w:t>指</w:t>
      </w:r>
      <w:r>
        <w:rPr>
          <w:rFonts w:ascii="宋体" w:hAnsi="宋体"/>
          <w:bCs/>
          <w:snapToGrid w:val="0"/>
          <w:sz w:val="28"/>
          <w:szCs w:val="28"/>
          <w:lang w:val="zh-CN"/>
        </w:rPr>
        <w:t>经过招标评审，</w:t>
      </w:r>
      <w:r>
        <w:rPr>
          <w:rFonts w:hint="eastAsia" w:ascii="宋体" w:hAnsi="宋体"/>
          <w:bCs/>
          <w:snapToGrid w:val="0"/>
          <w:sz w:val="28"/>
          <w:szCs w:val="28"/>
          <w:lang w:val="zh-CN"/>
        </w:rPr>
        <w:t>获得中标资格</w:t>
      </w:r>
      <w:r>
        <w:rPr>
          <w:rFonts w:ascii="宋体" w:hAnsi="宋体"/>
          <w:bCs/>
          <w:snapToGrid w:val="0"/>
          <w:sz w:val="28"/>
          <w:szCs w:val="28"/>
          <w:lang w:val="zh-CN"/>
        </w:rPr>
        <w:t>的投标供应商</w:t>
      </w:r>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2.6“中标供应商”</w:t>
      </w:r>
      <w:r>
        <w:rPr>
          <w:rFonts w:hint="eastAsia" w:ascii="宋体" w:hAnsi="宋体"/>
          <w:bCs/>
          <w:snapToGrid w:val="0"/>
          <w:sz w:val="28"/>
          <w:szCs w:val="28"/>
        </w:rPr>
        <w:t>是</w:t>
      </w:r>
      <w:r>
        <w:rPr>
          <w:rFonts w:ascii="宋体" w:hAnsi="宋体"/>
          <w:bCs/>
          <w:snapToGrid w:val="0"/>
          <w:sz w:val="28"/>
          <w:szCs w:val="28"/>
        </w:rPr>
        <w:t>指</w:t>
      </w:r>
      <w:r>
        <w:rPr>
          <w:rFonts w:ascii="宋体" w:hAnsi="宋体"/>
          <w:bCs/>
          <w:snapToGrid w:val="0"/>
          <w:sz w:val="28"/>
          <w:szCs w:val="28"/>
          <w:lang w:val="zh-CN"/>
        </w:rPr>
        <w:t>经过招标评审，</w:t>
      </w:r>
      <w:bookmarkStart w:id="26" w:name="_Hlk112351339"/>
      <w:bookmarkStart w:id="27" w:name="_Hlk112259183"/>
      <w:r>
        <w:rPr>
          <w:rFonts w:hint="eastAsia" w:ascii="宋体" w:hAnsi="宋体"/>
          <w:bCs/>
          <w:snapToGrid w:val="0"/>
          <w:sz w:val="28"/>
          <w:szCs w:val="28"/>
          <w:lang w:val="zh-CN"/>
        </w:rPr>
        <w:t>获得合同签订资格</w:t>
      </w:r>
      <w:bookmarkEnd w:id="26"/>
      <w:r>
        <w:rPr>
          <w:rFonts w:ascii="宋体" w:hAnsi="宋体"/>
          <w:bCs/>
          <w:snapToGrid w:val="0"/>
          <w:sz w:val="28"/>
          <w:szCs w:val="28"/>
          <w:lang w:val="zh-CN"/>
        </w:rPr>
        <w:t>的投标供应商</w:t>
      </w:r>
      <w:bookmarkEnd w:id="27"/>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2.7“</w:t>
      </w:r>
      <w:r>
        <w:rPr>
          <w:rFonts w:hint="eastAsia" w:ascii="宋体" w:hAnsi="宋体"/>
          <w:bCs/>
          <w:snapToGrid w:val="0"/>
          <w:sz w:val="28"/>
          <w:szCs w:val="28"/>
        </w:rPr>
        <w:t>物资</w:t>
      </w:r>
      <w:r>
        <w:rPr>
          <w:rFonts w:ascii="宋体" w:hAnsi="宋体"/>
          <w:bCs/>
          <w:snapToGrid w:val="0"/>
          <w:sz w:val="28"/>
          <w:szCs w:val="28"/>
        </w:rPr>
        <w:t>”</w:t>
      </w:r>
      <w:r>
        <w:rPr>
          <w:rFonts w:hint="eastAsia" w:ascii="宋体" w:hAnsi="宋体"/>
          <w:bCs/>
          <w:snapToGrid w:val="0"/>
          <w:sz w:val="28"/>
          <w:szCs w:val="28"/>
        </w:rPr>
        <w:t>是</w:t>
      </w:r>
      <w:r>
        <w:rPr>
          <w:rFonts w:ascii="宋体" w:hAnsi="宋体"/>
          <w:bCs/>
          <w:snapToGrid w:val="0"/>
          <w:sz w:val="28"/>
          <w:szCs w:val="28"/>
        </w:rPr>
        <w:t>指中标供应商按招标文件规定，提供的各种形态和种类的物品，包括设备、产品、备品备件、工具、手册等</w:t>
      </w:r>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2.8“服务”</w:t>
      </w:r>
      <w:r>
        <w:rPr>
          <w:rFonts w:hint="eastAsia" w:ascii="宋体" w:hAnsi="宋体"/>
          <w:bCs/>
          <w:snapToGrid w:val="0"/>
          <w:sz w:val="28"/>
          <w:szCs w:val="28"/>
        </w:rPr>
        <w:t>是</w:t>
      </w:r>
      <w:r>
        <w:rPr>
          <w:rFonts w:ascii="宋体" w:hAnsi="宋体"/>
          <w:bCs/>
          <w:snapToGrid w:val="0"/>
          <w:sz w:val="28"/>
          <w:szCs w:val="28"/>
        </w:rPr>
        <w:t>指中标供应商按招标文件规定，</w:t>
      </w:r>
      <w:r>
        <w:rPr>
          <w:rFonts w:hint="eastAsia" w:ascii="宋体" w:hAnsi="宋体"/>
          <w:bCs/>
          <w:snapToGrid w:val="0"/>
          <w:sz w:val="28"/>
          <w:szCs w:val="28"/>
        </w:rPr>
        <w:t>应当</w:t>
      </w:r>
      <w:r>
        <w:rPr>
          <w:rFonts w:ascii="宋体" w:hAnsi="宋体"/>
          <w:bCs/>
          <w:snapToGrid w:val="0"/>
          <w:sz w:val="28"/>
          <w:szCs w:val="28"/>
        </w:rPr>
        <w:t>承担的运输、安装、调试、技术协助、培训、维修</w:t>
      </w:r>
      <w:r>
        <w:rPr>
          <w:rFonts w:hint="eastAsia" w:ascii="宋体" w:hAnsi="宋体"/>
          <w:bCs/>
          <w:snapToGrid w:val="0"/>
          <w:sz w:val="28"/>
          <w:szCs w:val="28"/>
        </w:rPr>
        <w:t>及</w:t>
      </w:r>
      <w:r>
        <w:rPr>
          <w:rFonts w:ascii="宋体" w:hAnsi="宋体"/>
          <w:bCs/>
          <w:snapToGrid w:val="0"/>
          <w:sz w:val="28"/>
          <w:szCs w:val="28"/>
        </w:rPr>
        <w:t>配件供应等义务。</w:t>
      </w:r>
    </w:p>
    <w:p>
      <w:pPr>
        <w:pStyle w:val="5"/>
        <w:keepNext w:val="0"/>
        <w:keepLines w:val="0"/>
        <w:adjustRightInd w:val="0"/>
        <w:snapToGrid w:val="0"/>
        <w:ind w:firstLine="560" w:firstLineChars="200"/>
        <w:rPr>
          <w:rFonts w:ascii="黑体" w:hAnsi="黑体"/>
          <w:b w:val="0"/>
        </w:rPr>
      </w:pPr>
      <w:bookmarkStart w:id="28" w:name="_Toc20918"/>
      <w:bookmarkStart w:id="29" w:name="_Toc24817"/>
      <w:bookmarkStart w:id="30" w:name="_Toc30001"/>
      <w:bookmarkStart w:id="31" w:name="_Toc6915"/>
      <w:r>
        <w:rPr>
          <w:rFonts w:ascii="黑体" w:hAnsi="黑体"/>
          <w:b w:val="0"/>
        </w:rPr>
        <w:t>3.合格的投标供应商</w:t>
      </w:r>
      <w:bookmarkEnd w:id="28"/>
      <w:bookmarkEnd w:id="29"/>
      <w:bookmarkEnd w:id="30"/>
      <w:bookmarkEnd w:id="31"/>
    </w:p>
    <w:p>
      <w:pPr>
        <w:tabs>
          <w:tab w:val="left" w:pos="574"/>
        </w:tabs>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3.1能够遵守国家和军队的有关法律、法规和本次招标的有关规定</w:t>
      </w:r>
      <w:r>
        <w:rPr>
          <w:rFonts w:hint="eastAsia" w:ascii="宋体" w:hAnsi="宋体"/>
          <w:bCs/>
          <w:snapToGrid w:val="0"/>
          <w:sz w:val="28"/>
          <w:szCs w:val="28"/>
        </w:rPr>
        <w:t>。</w:t>
      </w:r>
    </w:p>
    <w:p>
      <w:pPr>
        <w:tabs>
          <w:tab w:val="left" w:pos="574"/>
        </w:tabs>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3.2符合</w:t>
      </w:r>
      <w:r>
        <w:rPr>
          <w:rFonts w:hint="eastAsia" w:ascii="宋体" w:hAnsi="宋体"/>
          <w:bCs/>
          <w:snapToGrid w:val="0"/>
          <w:sz w:val="28"/>
          <w:szCs w:val="28"/>
        </w:rPr>
        <w:t>招标文件的专用文件</w:t>
      </w:r>
      <w:r>
        <w:rPr>
          <w:rFonts w:hint="eastAsia" w:asciiTheme="minorEastAsia" w:hAnsiTheme="minorEastAsia" w:eastAsiaTheme="minorEastAsia"/>
          <w:bCs/>
          <w:sz w:val="28"/>
          <w:szCs w:val="28"/>
        </w:rPr>
        <w:t>【投标供应商须知前附表】</w:t>
      </w:r>
      <w:r>
        <w:rPr>
          <w:rFonts w:ascii="宋体" w:hAnsi="宋体"/>
          <w:bCs/>
          <w:snapToGrid w:val="0"/>
          <w:sz w:val="28"/>
          <w:szCs w:val="28"/>
        </w:rPr>
        <w:t>所述的投标供应商资格条件</w:t>
      </w:r>
      <w:r>
        <w:rPr>
          <w:rFonts w:hint="eastAsia" w:ascii="宋体" w:hAnsi="宋体"/>
          <w:bCs/>
          <w:snapToGrid w:val="0"/>
          <w:sz w:val="28"/>
          <w:szCs w:val="28"/>
        </w:rPr>
        <w:t>。</w:t>
      </w:r>
    </w:p>
    <w:p>
      <w:pPr>
        <w:tabs>
          <w:tab w:val="left" w:pos="574"/>
        </w:tabs>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3.3能够承担投标</w:t>
      </w:r>
      <w:r>
        <w:rPr>
          <w:rFonts w:hint="eastAsia" w:ascii="宋体" w:hAnsi="宋体"/>
          <w:bCs/>
          <w:snapToGrid w:val="0"/>
          <w:sz w:val="28"/>
          <w:szCs w:val="28"/>
        </w:rPr>
        <w:t>文件</w:t>
      </w:r>
      <w:r>
        <w:rPr>
          <w:rFonts w:ascii="宋体" w:hAnsi="宋体"/>
          <w:bCs/>
          <w:snapToGrid w:val="0"/>
          <w:sz w:val="28"/>
          <w:szCs w:val="28"/>
        </w:rPr>
        <w:t>及</w:t>
      </w:r>
      <w:r>
        <w:rPr>
          <w:rFonts w:hint="eastAsia" w:ascii="宋体" w:hAnsi="宋体"/>
          <w:bCs/>
          <w:snapToGrid w:val="0"/>
          <w:sz w:val="28"/>
          <w:szCs w:val="28"/>
        </w:rPr>
        <w:t>采购合同</w:t>
      </w:r>
      <w:r>
        <w:rPr>
          <w:rFonts w:ascii="宋体" w:hAnsi="宋体"/>
          <w:bCs/>
          <w:snapToGrid w:val="0"/>
          <w:sz w:val="28"/>
          <w:szCs w:val="28"/>
        </w:rPr>
        <w:t>中</w:t>
      </w:r>
      <w:r>
        <w:rPr>
          <w:rFonts w:hint="eastAsia" w:ascii="宋体" w:hAnsi="宋体"/>
          <w:bCs/>
          <w:snapToGrid w:val="0"/>
          <w:sz w:val="28"/>
          <w:szCs w:val="28"/>
        </w:rPr>
        <w:t>明确的</w:t>
      </w:r>
      <w:r>
        <w:rPr>
          <w:rFonts w:ascii="宋体" w:hAnsi="宋体"/>
          <w:bCs/>
          <w:snapToGrid w:val="0"/>
          <w:sz w:val="28"/>
          <w:szCs w:val="28"/>
        </w:rPr>
        <w:t>全部责任与义务。</w:t>
      </w:r>
    </w:p>
    <w:p>
      <w:pPr>
        <w:pStyle w:val="5"/>
        <w:keepNext w:val="0"/>
        <w:keepLines w:val="0"/>
        <w:adjustRightInd w:val="0"/>
        <w:snapToGrid w:val="0"/>
        <w:ind w:firstLine="560" w:firstLineChars="200"/>
        <w:rPr>
          <w:rFonts w:ascii="黑体" w:hAnsi="黑体"/>
          <w:b w:val="0"/>
        </w:rPr>
      </w:pPr>
      <w:bookmarkStart w:id="32" w:name="_Toc385"/>
      <w:bookmarkStart w:id="33" w:name="_Toc22457"/>
      <w:bookmarkStart w:id="34" w:name="_Toc16827"/>
      <w:bookmarkStart w:id="35" w:name="_Toc31193"/>
      <w:r>
        <w:rPr>
          <w:rFonts w:ascii="黑体" w:hAnsi="黑体"/>
          <w:b w:val="0"/>
        </w:rPr>
        <w:t>4.</w:t>
      </w:r>
      <w:r>
        <w:rPr>
          <w:rFonts w:hint="eastAsia" w:ascii="黑体" w:hAnsi="黑体"/>
          <w:b w:val="0"/>
        </w:rPr>
        <w:t>合格的物资及其相关服务</w:t>
      </w:r>
      <w:bookmarkEnd w:id="32"/>
      <w:bookmarkEnd w:id="33"/>
      <w:bookmarkEnd w:id="34"/>
      <w:bookmarkEnd w:id="35"/>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4</w:t>
      </w:r>
      <w:r>
        <w:rPr>
          <w:rFonts w:hint="eastAsia" w:ascii="宋体" w:hAnsi="宋体"/>
          <w:bCs/>
          <w:snapToGrid w:val="0"/>
          <w:sz w:val="28"/>
          <w:szCs w:val="28"/>
        </w:rPr>
        <w:t>.</w:t>
      </w:r>
      <w:r>
        <w:rPr>
          <w:rFonts w:ascii="宋体" w:hAnsi="宋体"/>
          <w:bCs/>
          <w:snapToGrid w:val="0"/>
          <w:sz w:val="28"/>
          <w:szCs w:val="28"/>
        </w:rPr>
        <w:t>1投标供应商对</w:t>
      </w:r>
      <w:r>
        <w:rPr>
          <w:rFonts w:hint="eastAsia" w:ascii="宋体" w:hAnsi="宋体"/>
          <w:bCs/>
          <w:snapToGrid w:val="0"/>
          <w:sz w:val="28"/>
          <w:szCs w:val="28"/>
        </w:rPr>
        <w:t>其</w:t>
      </w:r>
      <w:r>
        <w:rPr>
          <w:rFonts w:ascii="宋体" w:hAnsi="宋体"/>
          <w:bCs/>
          <w:snapToGrid w:val="0"/>
          <w:sz w:val="28"/>
          <w:szCs w:val="28"/>
        </w:rPr>
        <w:t>提供的物资应当享有合法的所有权，没有侵犯任何第三方的知识产权、技术秘密等权利，而且不存在任何抵押、留置、查封等产权瑕疵</w:t>
      </w:r>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4.2投标供应商提供的物资</w:t>
      </w:r>
      <w:r>
        <w:rPr>
          <w:rFonts w:hint="eastAsia" w:ascii="宋体" w:hAnsi="宋体"/>
          <w:bCs/>
          <w:snapToGrid w:val="0"/>
          <w:sz w:val="28"/>
          <w:szCs w:val="28"/>
        </w:rPr>
        <w:t>应当</w:t>
      </w:r>
      <w:r>
        <w:rPr>
          <w:rFonts w:ascii="宋体" w:hAnsi="宋体"/>
          <w:bCs/>
          <w:snapToGrid w:val="0"/>
          <w:sz w:val="28"/>
          <w:szCs w:val="28"/>
        </w:rPr>
        <w:t>是全新</w:t>
      </w:r>
      <w:r>
        <w:rPr>
          <w:rFonts w:hint="eastAsia" w:ascii="宋体" w:hAnsi="宋体"/>
          <w:bCs/>
          <w:snapToGrid w:val="0"/>
          <w:sz w:val="28"/>
          <w:szCs w:val="28"/>
        </w:rPr>
        <w:t>且</w:t>
      </w:r>
      <w:r>
        <w:rPr>
          <w:rFonts w:ascii="宋体" w:hAnsi="宋体"/>
          <w:bCs/>
          <w:snapToGrid w:val="0"/>
          <w:sz w:val="28"/>
          <w:szCs w:val="28"/>
        </w:rPr>
        <w:t>未使用过的，物资和相关服务应当符合招标文件要求。</w:t>
      </w:r>
    </w:p>
    <w:p>
      <w:pPr>
        <w:pStyle w:val="5"/>
        <w:keepNext w:val="0"/>
        <w:keepLines w:val="0"/>
        <w:adjustRightInd w:val="0"/>
        <w:snapToGrid w:val="0"/>
        <w:ind w:firstLine="560" w:firstLineChars="200"/>
        <w:rPr>
          <w:rFonts w:ascii="黑体" w:hAnsi="黑体"/>
          <w:b w:val="0"/>
        </w:rPr>
      </w:pPr>
      <w:bookmarkStart w:id="36" w:name="_Toc32694"/>
      <w:bookmarkStart w:id="37" w:name="_Toc19329"/>
      <w:bookmarkStart w:id="38" w:name="_Toc26490"/>
      <w:bookmarkStart w:id="39" w:name="_Toc14319"/>
      <w:r>
        <w:rPr>
          <w:rFonts w:ascii="黑体" w:hAnsi="黑体"/>
          <w:b w:val="0"/>
        </w:rPr>
        <w:t>5.</w:t>
      </w:r>
      <w:r>
        <w:rPr>
          <w:rFonts w:hint="eastAsia" w:ascii="黑体" w:hAnsi="黑体"/>
          <w:b w:val="0"/>
        </w:rPr>
        <w:t>投标委托</w:t>
      </w:r>
      <w:bookmarkEnd w:id="36"/>
      <w:bookmarkEnd w:id="37"/>
      <w:bookmarkEnd w:id="38"/>
      <w:bookmarkEnd w:id="39"/>
    </w:p>
    <w:p>
      <w:pPr>
        <w:adjustRightInd w:val="0"/>
        <w:snapToGrid w:val="0"/>
        <w:spacing w:line="560" w:lineRule="exact"/>
        <w:ind w:firstLine="560" w:firstLineChars="200"/>
        <w:rPr>
          <w:rFonts w:asciiTheme="majorEastAsia" w:hAnsiTheme="majorEastAsia" w:eastAsiaTheme="majorEastAsia"/>
          <w:bCs/>
          <w:snapToGrid w:val="0"/>
          <w:sz w:val="28"/>
          <w:szCs w:val="28"/>
        </w:rPr>
      </w:pPr>
      <w:r>
        <w:rPr>
          <w:rFonts w:asciiTheme="majorEastAsia" w:hAnsiTheme="majorEastAsia" w:eastAsiaTheme="majorEastAsia"/>
          <w:bCs/>
          <w:snapToGrid w:val="0"/>
          <w:sz w:val="28"/>
          <w:szCs w:val="28"/>
        </w:rPr>
        <w:t>5.1</w:t>
      </w:r>
      <w:r>
        <w:rPr>
          <w:rFonts w:hint="eastAsia" w:asciiTheme="majorEastAsia" w:hAnsiTheme="majorEastAsia" w:eastAsiaTheme="majorEastAsia"/>
          <w:bCs/>
          <w:snapToGrid w:val="0"/>
          <w:sz w:val="28"/>
          <w:szCs w:val="28"/>
        </w:rPr>
        <w:t>如投标供应商代表不是法定代表人，应当在投标文件中提供《法定代表人授权书》，后附授权代表在投标前</w:t>
      </w:r>
      <w:r>
        <w:rPr>
          <w:rFonts w:asciiTheme="majorEastAsia" w:hAnsiTheme="majorEastAsia" w:eastAsiaTheme="majorEastAsia"/>
          <w:bCs/>
          <w:snapToGrid w:val="0"/>
          <w:sz w:val="28"/>
          <w:szCs w:val="28"/>
        </w:rPr>
        <w:t>4</w:t>
      </w:r>
      <w:r>
        <w:rPr>
          <w:rFonts w:hint="eastAsia" w:asciiTheme="majorEastAsia" w:hAnsiTheme="majorEastAsia" w:eastAsiaTheme="majorEastAsia"/>
          <w:bCs/>
          <w:snapToGrid w:val="0"/>
          <w:sz w:val="28"/>
          <w:szCs w:val="28"/>
        </w:rPr>
        <w:t>个月内（不含投标当月）连续</w:t>
      </w:r>
      <w:r>
        <w:rPr>
          <w:rFonts w:asciiTheme="majorEastAsia" w:hAnsiTheme="majorEastAsia" w:eastAsiaTheme="majorEastAsia"/>
          <w:bCs/>
          <w:snapToGrid w:val="0"/>
          <w:sz w:val="28"/>
          <w:szCs w:val="28"/>
        </w:rPr>
        <w:t>3</w:t>
      </w:r>
      <w:r>
        <w:rPr>
          <w:rFonts w:hint="eastAsia" w:asciiTheme="majorEastAsia" w:hAnsiTheme="majorEastAsia" w:eastAsiaTheme="majorEastAsia"/>
          <w:bCs/>
          <w:snapToGrid w:val="0"/>
          <w:sz w:val="28"/>
          <w:szCs w:val="28"/>
        </w:rPr>
        <w:t>个月由投标供应商缴纳社保证明材料。代缴社保证明材料不予认可。</w:t>
      </w:r>
    </w:p>
    <w:p>
      <w:pPr>
        <w:pStyle w:val="5"/>
        <w:keepNext w:val="0"/>
        <w:keepLines w:val="0"/>
        <w:adjustRightInd w:val="0"/>
        <w:snapToGrid w:val="0"/>
        <w:ind w:firstLine="560" w:firstLineChars="200"/>
        <w:rPr>
          <w:rFonts w:ascii="黑体" w:hAnsi="黑体"/>
          <w:b w:val="0"/>
        </w:rPr>
      </w:pPr>
      <w:bookmarkStart w:id="40" w:name="_Toc9227"/>
      <w:bookmarkStart w:id="41" w:name="_Toc8712"/>
      <w:bookmarkStart w:id="42" w:name="_Toc19327"/>
      <w:bookmarkStart w:id="43" w:name="_Toc18715"/>
      <w:r>
        <w:rPr>
          <w:rFonts w:ascii="黑体" w:hAnsi="黑体"/>
          <w:b w:val="0"/>
        </w:rPr>
        <w:t>6.</w:t>
      </w:r>
      <w:r>
        <w:rPr>
          <w:rFonts w:hint="eastAsia" w:ascii="黑体" w:hAnsi="黑体"/>
          <w:b w:val="0"/>
        </w:rPr>
        <w:t>投标费用</w:t>
      </w:r>
      <w:bookmarkEnd w:id="40"/>
      <w:bookmarkEnd w:id="41"/>
      <w:bookmarkEnd w:id="42"/>
      <w:bookmarkEnd w:id="43"/>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6.1</w:t>
      </w:r>
      <w:r>
        <w:rPr>
          <w:rFonts w:hint="eastAsia" w:ascii="宋体" w:hAnsi="宋体"/>
          <w:bCs/>
          <w:snapToGrid w:val="0"/>
          <w:sz w:val="28"/>
          <w:szCs w:val="28"/>
        </w:rPr>
        <w:t>无论投标结果如何，投标供应商均应当自行承担准备和参加投标相关的全部费用。</w:t>
      </w:r>
      <w:bookmarkStart w:id="44" w:name="_Toc112317768"/>
    </w:p>
    <w:p>
      <w:pPr>
        <w:pStyle w:val="5"/>
        <w:keepNext w:val="0"/>
        <w:keepLines w:val="0"/>
        <w:adjustRightInd w:val="0"/>
        <w:snapToGrid w:val="0"/>
        <w:ind w:firstLine="560" w:firstLineChars="200"/>
        <w:rPr>
          <w:rFonts w:ascii="黑体" w:hAnsi="黑体"/>
          <w:b w:val="0"/>
        </w:rPr>
      </w:pPr>
      <w:bookmarkStart w:id="45" w:name="_Toc21299"/>
      <w:bookmarkStart w:id="46" w:name="_Toc3327"/>
      <w:bookmarkStart w:id="47" w:name="_Toc28246"/>
      <w:bookmarkStart w:id="48" w:name="_Toc27134"/>
      <w:r>
        <w:rPr>
          <w:rFonts w:ascii="黑体" w:hAnsi="黑体"/>
          <w:b w:val="0"/>
        </w:rPr>
        <w:t>7.</w:t>
      </w:r>
      <w:r>
        <w:rPr>
          <w:rFonts w:hint="eastAsia" w:ascii="黑体" w:hAnsi="黑体"/>
          <w:b w:val="0"/>
        </w:rPr>
        <w:t>组织现场踏勘或召开标前答疑会</w:t>
      </w:r>
      <w:bookmarkEnd w:id="45"/>
      <w:bookmarkEnd w:id="46"/>
      <w:bookmarkEnd w:id="47"/>
      <w:bookmarkEnd w:id="48"/>
    </w:p>
    <w:p>
      <w:pPr>
        <w:adjustRightInd w:val="0"/>
        <w:snapToGrid w:val="0"/>
        <w:spacing w:line="560" w:lineRule="exact"/>
        <w:ind w:firstLine="560" w:firstLineChars="200"/>
        <w:jc w:val="left"/>
        <w:rPr>
          <w:rFonts w:asciiTheme="minorEastAsia" w:hAnsiTheme="minorEastAsia" w:eastAsiaTheme="minorEastAsia"/>
          <w:bCs/>
          <w:sz w:val="28"/>
          <w:szCs w:val="28"/>
        </w:rPr>
      </w:pPr>
      <w:r>
        <w:rPr>
          <w:rFonts w:asciiTheme="minorEastAsia" w:hAnsiTheme="minorEastAsia" w:eastAsiaTheme="minorEastAsia"/>
          <w:bCs/>
          <w:sz w:val="28"/>
          <w:szCs w:val="28"/>
        </w:rPr>
        <w:t>7.1采购机构可以在</w:t>
      </w:r>
      <w:r>
        <w:rPr>
          <w:rFonts w:hint="eastAsia" w:asciiTheme="minorEastAsia" w:hAnsiTheme="minorEastAsia" w:eastAsiaTheme="minorEastAsia"/>
          <w:bCs/>
          <w:sz w:val="28"/>
          <w:szCs w:val="28"/>
        </w:rPr>
        <w:t>【投标供应商须知前附表】明确的招标文件申领时间截止后，组织已获取招标文件的投标供应商现场踏勘或召开标前答疑会。</w:t>
      </w:r>
    </w:p>
    <w:p>
      <w:pPr>
        <w:adjustRightInd w:val="0"/>
        <w:snapToGrid w:val="0"/>
        <w:spacing w:line="560" w:lineRule="exact"/>
        <w:ind w:firstLine="560" w:firstLineChars="200"/>
        <w:jc w:val="left"/>
        <w:rPr>
          <w:rFonts w:asciiTheme="minorEastAsia" w:hAnsiTheme="minorEastAsia" w:eastAsiaTheme="minorEastAsia"/>
          <w:bCs/>
          <w:sz w:val="28"/>
          <w:szCs w:val="28"/>
        </w:rPr>
      </w:pPr>
      <w:r>
        <w:rPr>
          <w:rFonts w:asciiTheme="minorEastAsia" w:hAnsiTheme="minorEastAsia" w:eastAsiaTheme="minorEastAsia"/>
          <w:bCs/>
          <w:sz w:val="28"/>
          <w:szCs w:val="28"/>
        </w:rPr>
        <w:t>7.2</w:t>
      </w:r>
      <w:r>
        <w:rPr>
          <w:rFonts w:hint="eastAsia" w:asciiTheme="minorEastAsia" w:hAnsiTheme="minorEastAsia" w:eastAsiaTheme="minorEastAsia"/>
          <w:bCs/>
          <w:sz w:val="28"/>
          <w:szCs w:val="28"/>
        </w:rPr>
        <w:t>已</w:t>
      </w:r>
      <w:r>
        <w:rPr>
          <w:rFonts w:asciiTheme="minorEastAsia" w:hAnsiTheme="minorEastAsia" w:eastAsiaTheme="minorEastAsia"/>
          <w:bCs/>
          <w:sz w:val="28"/>
          <w:szCs w:val="28"/>
        </w:rPr>
        <w:t>申领招标文件的供应商</w:t>
      </w:r>
      <w:r>
        <w:rPr>
          <w:rFonts w:hint="eastAsia" w:asciiTheme="minorEastAsia" w:hAnsiTheme="minorEastAsia" w:eastAsiaTheme="minorEastAsia"/>
          <w:bCs/>
          <w:sz w:val="28"/>
          <w:szCs w:val="28"/>
        </w:rPr>
        <w:t>按【投标供应商须知前附表】明确的要求参加现场踏勘或标前答疑会；如不参加，风险自行承担。</w:t>
      </w:r>
    </w:p>
    <w:p>
      <w:pPr>
        <w:adjustRightInd w:val="0"/>
        <w:snapToGrid w:val="0"/>
        <w:spacing w:line="560" w:lineRule="exact"/>
        <w:ind w:firstLine="560" w:firstLineChars="200"/>
        <w:jc w:val="left"/>
        <w:rPr>
          <w:rFonts w:asciiTheme="minorEastAsia" w:hAnsiTheme="minorEastAsia" w:eastAsiaTheme="minorEastAsia"/>
          <w:bCs/>
          <w:sz w:val="28"/>
          <w:szCs w:val="28"/>
        </w:rPr>
      </w:pPr>
      <w:r>
        <w:rPr>
          <w:rFonts w:asciiTheme="minorEastAsia" w:hAnsiTheme="minorEastAsia" w:eastAsiaTheme="minorEastAsia"/>
          <w:bCs/>
          <w:sz w:val="28"/>
          <w:szCs w:val="28"/>
        </w:rPr>
        <w:t>7.3投标供应商</w:t>
      </w:r>
      <w:r>
        <w:rPr>
          <w:rFonts w:hint="eastAsia" w:asciiTheme="minorEastAsia" w:hAnsiTheme="minorEastAsia" w:eastAsiaTheme="minorEastAsia"/>
          <w:bCs/>
          <w:sz w:val="28"/>
          <w:szCs w:val="28"/>
        </w:rPr>
        <w:t>现场踏勘或参加标前答疑会的费用自行承担，现场踏勘期间发生的人身伤害及财产损失自行负责。</w:t>
      </w:r>
    </w:p>
    <w:p>
      <w:pPr>
        <w:pStyle w:val="152"/>
        <w:spacing w:before="0" w:beforeAutospacing="0" w:after="0" w:afterAutospacing="0" w:line="560" w:lineRule="exact"/>
        <w:ind w:firstLine="560" w:firstLineChars="200"/>
        <w:rPr>
          <w:bCs/>
          <w:sz w:val="28"/>
          <w:szCs w:val="28"/>
        </w:rPr>
      </w:pPr>
      <w:r>
        <w:rPr>
          <w:rFonts w:asciiTheme="minorEastAsia" w:hAnsiTheme="minorEastAsia" w:eastAsiaTheme="minorEastAsia"/>
          <w:bCs/>
          <w:sz w:val="28"/>
          <w:szCs w:val="28"/>
        </w:rPr>
        <w:t>7.4</w:t>
      </w:r>
      <w:r>
        <w:rPr>
          <w:bCs/>
          <w:sz w:val="28"/>
          <w:szCs w:val="28"/>
        </w:rPr>
        <w:t>采购机构不对</w:t>
      </w:r>
      <w:r>
        <w:rPr>
          <w:rStyle w:val="153"/>
          <w:rFonts w:hint="default" w:ascii="宋体" w:hAnsi="宋体" w:eastAsia="宋体" w:cs="Arial"/>
          <w:sz w:val="28"/>
          <w:szCs w:val="28"/>
        </w:rPr>
        <w:t>招标文件或最终书面答复之外，投标供应商自行得出的推论、理解和结论</w:t>
      </w:r>
      <w:r>
        <w:rPr>
          <w:bCs/>
          <w:sz w:val="28"/>
          <w:szCs w:val="28"/>
        </w:rPr>
        <w:t>负责。投标供应商</w:t>
      </w:r>
      <w:r>
        <w:rPr>
          <w:rFonts w:hint="eastAsia"/>
          <w:bCs/>
          <w:sz w:val="28"/>
          <w:szCs w:val="28"/>
        </w:rPr>
        <w:t>未参加现场踏勘或</w:t>
      </w:r>
      <w:r>
        <w:rPr>
          <w:rFonts w:hint="eastAsia" w:asciiTheme="minorEastAsia" w:hAnsiTheme="minorEastAsia" w:eastAsiaTheme="minorEastAsia"/>
          <w:bCs/>
          <w:sz w:val="28"/>
          <w:szCs w:val="28"/>
        </w:rPr>
        <w:t>标前</w:t>
      </w:r>
      <w:r>
        <w:rPr>
          <w:rFonts w:hint="eastAsia"/>
          <w:bCs/>
          <w:sz w:val="28"/>
          <w:szCs w:val="28"/>
        </w:rPr>
        <w:t>答疑会的，</w:t>
      </w:r>
      <w:r>
        <w:rPr>
          <w:bCs/>
          <w:sz w:val="28"/>
          <w:szCs w:val="28"/>
        </w:rPr>
        <w:t>一旦中标，不得以任何借口，提出额外补偿或延长合同期限</w:t>
      </w:r>
      <w:r>
        <w:rPr>
          <w:rFonts w:hint="eastAsia"/>
          <w:bCs/>
          <w:sz w:val="28"/>
          <w:szCs w:val="28"/>
        </w:rPr>
        <w:t>等不合理</w:t>
      </w:r>
      <w:r>
        <w:rPr>
          <w:bCs/>
          <w:sz w:val="28"/>
          <w:szCs w:val="28"/>
        </w:rPr>
        <w:t>要求。</w:t>
      </w:r>
    </w:p>
    <w:p>
      <w:pPr>
        <w:pStyle w:val="5"/>
        <w:keepNext w:val="0"/>
        <w:keepLines w:val="0"/>
        <w:adjustRightInd w:val="0"/>
        <w:snapToGrid w:val="0"/>
        <w:ind w:firstLine="560" w:firstLineChars="200"/>
        <w:rPr>
          <w:rFonts w:ascii="黑体" w:hAnsi="黑体"/>
          <w:b w:val="0"/>
        </w:rPr>
      </w:pPr>
      <w:bookmarkStart w:id="49" w:name="_Toc3251"/>
      <w:bookmarkStart w:id="50" w:name="_Toc27257"/>
      <w:bookmarkStart w:id="51" w:name="_Toc22602"/>
      <w:bookmarkStart w:id="52" w:name="_Toc15865"/>
      <w:r>
        <w:rPr>
          <w:rFonts w:ascii="黑体" w:hAnsi="黑体"/>
          <w:b w:val="0"/>
        </w:rPr>
        <w:t>8.</w:t>
      </w:r>
      <w:r>
        <w:rPr>
          <w:rFonts w:hint="eastAsia" w:ascii="黑体" w:hAnsi="黑体"/>
          <w:b w:val="0"/>
        </w:rPr>
        <w:t>信息发布及媒体</w:t>
      </w:r>
      <w:bookmarkEnd w:id="49"/>
      <w:bookmarkEnd w:id="50"/>
      <w:bookmarkEnd w:id="51"/>
      <w:bookmarkEnd w:id="52"/>
    </w:p>
    <w:p>
      <w:pPr>
        <w:adjustRightInd w:val="0"/>
        <w:snapToGrid w:val="0"/>
        <w:spacing w:line="560" w:lineRule="exact"/>
        <w:ind w:firstLine="560" w:firstLineChars="200"/>
        <w:rPr>
          <w:rFonts w:asciiTheme="minorEastAsia" w:hAnsiTheme="minorEastAsia" w:eastAsiaTheme="minorEastAsia"/>
          <w:bCs/>
          <w:sz w:val="28"/>
          <w:szCs w:val="28"/>
        </w:rPr>
      </w:pPr>
      <w:r>
        <w:rPr>
          <w:rFonts w:ascii="宋体" w:hAnsi="宋体"/>
          <w:bCs/>
          <w:snapToGrid w:val="0"/>
          <w:sz w:val="28"/>
          <w:szCs w:val="28"/>
        </w:rPr>
        <w:t>8.1投标供应商参与采购活动期间，</w:t>
      </w:r>
      <w:r>
        <w:rPr>
          <w:rFonts w:hint="eastAsia" w:ascii="宋体" w:hAnsi="宋体"/>
          <w:bCs/>
          <w:snapToGrid w:val="0"/>
          <w:sz w:val="28"/>
          <w:szCs w:val="28"/>
        </w:rPr>
        <w:t>应当</w:t>
      </w:r>
      <w:r>
        <w:rPr>
          <w:rFonts w:ascii="宋体" w:hAnsi="宋体"/>
          <w:bCs/>
          <w:snapToGrid w:val="0"/>
          <w:sz w:val="28"/>
          <w:szCs w:val="28"/>
        </w:rPr>
        <w:t>及时关注</w:t>
      </w:r>
      <w:bookmarkStart w:id="53" w:name="_Hlk112497301"/>
      <w:r>
        <w:rPr>
          <w:rFonts w:hint="eastAsia" w:asciiTheme="minorEastAsia" w:hAnsiTheme="minorEastAsia" w:eastAsiaTheme="minorEastAsia"/>
          <w:bCs/>
          <w:sz w:val="28"/>
          <w:szCs w:val="28"/>
        </w:rPr>
        <w:t>【投标供应商须知前附表】明确的</w:t>
      </w:r>
      <w:bookmarkStart w:id="54" w:name="_Hlk112508361"/>
      <w:r>
        <w:rPr>
          <w:rFonts w:ascii="宋体" w:hAnsi="宋体"/>
          <w:bCs/>
          <w:snapToGrid w:val="0"/>
          <w:sz w:val="28"/>
          <w:szCs w:val="28"/>
        </w:rPr>
        <w:t>媒体</w:t>
      </w:r>
      <w:bookmarkEnd w:id="53"/>
      <w:bookmarkEnd w:id="54"/>
      <w:r>
        <w:rPr>
          <w:rFonts w:ascii="宋体" w:hAnsi="宋体"/>
          <w:bCs/>
          <w:snapToGrid w:val="0"/>
          <w:sz w:val="28"/>
          <w:szCs w:val="28"/>
        </w:rPr>
        <w:t>上</w:t>
      </w:r>
      <w:r>
        <w:rPr>
          <w:rFonts w:hint="eastAsia" w:ascii="宋体" w:hAnsi="宋体"/>
          <w:bCs/>
          <w:snapToGrid w:val="0"/>
          <w:sz w:val="28"/>
          <w:szCs w:val="28"/>
        </w:rPr>
        <w:t>发布</w:t>
      </w:r>
      <w:r>
        <w:rPr>
          <w:rFonts w:ascii="宋体" w:hAnsi="宋体"/>
          <w:bCs/>
          <w:snapToGrid w:val="0"/>
          <w:sz w:val="28"/>
          <w:szCs w:val="28"/>
        </w:rPr>
        <w:t>的</w:t>
      </w:r>
      <w:r>
        <w:rPr>
          <w:rFonts w:hint="eastAsia" w:ascii="宋体" w:hAnsi="宋体"/>
          <w:bCs/>
          <w:snapToGrid w:val="0"/>
          <w:sz w:val="28"/>
          <w:szCs w:val="28"/>
        </w:rPr>
        <w:t>项目</w:t>
      </w:r>
      <w:r>
        <w:rPr>
          <w:rFonts w:ascii="宋体" w:hAnsi="宋体"/>
          <w:bCs/>
          <w:snapToGrid w:val="0"/>
          <w:sz w:val="28"/>
          <w:szCs w:val="28"/>
        </w:rPr>
        <w:t>相关信息。</w:t>
      </w:r>
    </w:p>
    <w:p>
      <w:pPr>
        <w:pStyle w:val="4"/>
        <w:keepNext w:val="0"/>
        <w:keepLines w:val="0"/>
        <w:adjustRightInd w:val="0"/>
        <w:snapToGrid w:val="0"/>
        <w:spacing w:before="120" w:beforeLines="50" w:after="120" w:afterLines="50" w:line="560" w:lineRule="exact"/>
        <w:jc w:val="center"/>
        <w:rPr>
          <w:b w:val="0"/>
        </w:rPr>
      </w:pPr>
      <w:bookmarkStart w:id="55" w:name="_Toc12848"/>
      <w:bookmarkStart w:id="56" w:name="_Toc2754"/>
      <w:bookmarkStart w:id="57" w:name="_Toc20584"/>
      <w:bookmarkStart w:id="58" w:name="_Toc19582"/>
      <w:bookmarkStart w:id="59" w:name="_Toc132190597"/>
      <w:r>
        <w:rPr>
          <w:rFonts w:hint="eastAsia"/>
          <w:b w:val="0"/>
        </w:rPr>
        <w:t>二、招标文件</w:t>
      </w:r>
      <w:bookmarkEnd w:id="44"/>
      <w:bookmarkEnd w:id="55"/>
      <w:bookmarkEnd w:id="56"/>
      <w:bookmarkEnd w:id="57"/>
      <w:bookmarkEnd w:id="58"/>
      <w:r>
        <w:rPr>
          <w:rFonts w:hint="eastAsia"/>
          <w:b w:val="0"/>
        </w:rPr>
        <w:t>的内容及澄清与修改</w:t>
      </w:r>
      <w:bookmarkEnd w:id="59"/>
    </w:p>
    <w:p>
      <w:pPr>
        <w:pStyle w:val="5"/>
        <w:keepNext w:val="0"/>
        <w:keepLines w:val="0"/>
        <w:adjustRightInd w:val="0"/>
        <w:snapToGrid w:val="0"/>
        <w:ind w:firstLine="560" w:firstLineChars="200"/>
        <w:rPr>
          <w:rFonts w:ascii="黑体" w:hAnsi="黑体"/>
          <w:b w:val="0"/>
        </w:rPr>
      </w:pPr>
      <w:bookmarkStart w:id="60" w:name="_Toc19910"/>
      <w:bookmarkStart w:id="61" w:name="_Toc28585"/>
      <w:bookmarkStart w:id="62" w:name="_Toc3578"/>
      <w:bookmarkStart w:id="63" w:name="_Toc1093"/>
      <w:r>
        <w:rPr>
          <w:rFonts w:ascii="黑体" w:hAnsi="黑体"/>
          <w:b w:val="0"/>
        </w:rPr>
        <w:t>9.</w:t>
      </w:r>
      <w:r>
        <w:rPr>
          <w:rFonts w:hint="eastAsia" w:ascii="黑体" w:hAnsi="黑体"/>
          <w:b w:val="0"/>
        </w:rPr>
        <w:t>招标文件的内容</w:t>
      </w:r>
      <w:bookmarkEnd w:id="60"/>
      <w:bookmarkEnd w:id="61"/>
      <w:bookmarkEnd w:id="62"/>
      <w:bookmarkEnd w:id="63"/>
    </w:p>
    <w:p>
      <w:pPr>
        <w:adjustRightInd w:val="0"/>
        <w:snapToGrid w:val="0"/>
        <w:spacing w:line="560" w:lineRule="exact"/>
        <w:ind w:firstLine="560" w:firstLineChars="200"/>
        <w:rPr>
          <w:rFonts w:ascii="宋体" w:hAnsi="宋体"/>
          <w:bCs/>
          <w:sz w:val="28"/>
          <w:szCs w:val="28"/>
        </w:rPr>
      </w:pPr>
      <w:r>
        <w:rPr>
          <w:rFonts w:ascii="宋体" w:hAnsi="宋体"/>
          <w:bCs/>
          <w:sz w:val="28"/>
          <w:szCs w:val="28"/>
          <w:lang w:val="zh-CN"/>
        </w:rPr>
        <w:t>9.1</w:t>
      </w:r>
      <w:r>
        <w:rPr>
          <w:rFonts w:hint="eastAsia" w:ascii="宋体" w:hAnsi="宋体"/>
          <w:bCs/>
          <w:sz w:val="28"/>
          <w:szCs w:val="28"/>
        </w:rPr>
        <w:t>招标文件由特别提示、通用文件和专用文件3部分组成，通用文件载明军队物资类公开招标项目的一般性说明，专用文件载明本项目特定条件和要求。</w:t>
      </w:r>
      <w:r>
        <w:rPr>
          <w:rFonts w:hint="eastAsia" w:ascii="宋体" w:hAnsi="宋体"/>
          <w:bCs/>
          <w:sz w:val="28"/>
          <w:szCs w:val="28"/>
          <w:highlight w:val="none"/>
        </w:rPr>
        <w:t>通用文件与专用文件内容不一致的，以专用文件为准。</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9.2</w:t>
      </w:r>
      <w:r>
        <w:rPr>
          <w:rFonts w:hint="eastAsia" w:ascii="宋体" w:hAnsi="宋体"/>
          <w:bCs/>
          <w:sz w:val="28"/>
          <w:szCs w:val="28"/>
        </w:rPr>
        <w:t>招标文件以中文编写。为便于投标供应商编制投标文件，采购机构可以向投标供应商提供电子版招标文件，纸质版与电子版招标文件内容不一致的，以纸质版为准。</w:t>
      </w:r>
    </w:p>
    <w:p>
      <w:pPr>
        <w:pStyle w:val="5"/>
        <w:keepNext w:val="0"/>
        <w:keepLines w:val="0"/>
        <w:adjustRightInd w:val="0"/>
        <w:snapToGrid w:val="0"/>
        <w:ind w:firstLine="560" w:firstLineChars="200"/>
        <w:rPr>
          <w:rFonts w:ascii="黑体" w:hAnsi="黑体"/>
          <w:b w:val="0"/>
        </w:rPr>
      </w:pPr>
      <w:bookmarkStart w:id="64" w:name="_Toc20436"/>
      <w:bookmarkStart w:id="65" w:name="_Toc8853"/>
      <w:bookmarkStart w:id="66" w:name="_Toc24177"/>
      <w:bookmarkStart w:id="67" w:name="_Toc22181"/>
      <w:r>
        <w:rPr>
          <w:rFonts w:ascii="黑体" w:hAnsi="黑体"/>
          <w:b w:val="0"/>
        </w:rPr>
        <w:t>10</w:t>
      </w:r>
      <w:r>
        <w:rPr>
          <w:rFonts w:hint="eastAsia" w:ascii="黑体" w:hAnsi="黑体"/>
          <w:b w:val="0"/>
        </w:rPr>
        <w:t>.招标文件的澄清</w:t>
      </w:r>
      <w:bookmarkEnd w:id="64"/>
      <w:bookmarkEnd w:id="65"/>
      <w:bookmarkEnd w:id="66"/>
      <w:bookmarkEnd w:id="67"/>
      <w:r>
        <w:rPr>
          <w:rFonts w:hint="eastAsia" w:ascii="黑体" w:hAnsi="黑体"/>
          <w:b w:val="0"/>
        </w:rPr>
        <w:t>与修改</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10.1供应商对招标文件如有疑问要求澄清，应当在</w:t>
      </w:r>
      <w:r>
        <w:rPr>
          <w:rFonts w:hint="eastAsia" w:asciiTheme="minorEastAsia" w:hAnsiTheme="minorEastAsia" w:eastAsiaTheme="minorEastAsia"/>
          <w:bCs/>
          <w:sz w:val="28"/>
          <w:szCs w:val="28"/>
        </w:rPr>
        <w:t>【投标供应商须知前附表】</w:t>
      </w:r>
      <w:r>
        <w:rPr>
          <w:rFonts w:hint="eastAsia" w:ascii="宋体" w:hAnsi="宋体"/>
          <w:bCs/>
          <w:snapToGrid w:val="0"/>
          <w:sz w:val="28"/>
          <w:szCs w:val="28"/>
          <w:lang w:val="zh-CN"/>
        </w:rPr>
        <w:t>明确的</w:t>
      </w:r>
      <w:r>
        <w:rPr>
          <w:rFonts w:ascii="宋体" w:hAnsi="宋体"/>
          <w:bCs/>
          <w:sz w:val="28"/>
          <w:szCs w:val="28"/>
        </w:rPr>
        <w:t>投标截止时间10日前以书面形式通知采购机构，采购机构视情以适当方式予以澄清。如有必要，在不标明问题来源情况下，采购机构可将答复内容以</w:t>
      </w:r>
      <w:r>
        <w:rPr>
          <w:rFonts w:hint="eastAsia" w:ascii="宋体" w:hAnsi="宋体"/>
          <w:bCs/>
          <w:sz w:val="28"/>
          <w:szCs w:val="28"/>
        </w:rPr>
        <w:t>公告或</w:t>
      </w:r>
      <w:r>
        <w:rPr>
          <w:rFonts w:ascii="宋体" w:hAnsi="宋体"/>
          <w:bCs/>
          <w:sz w:val="28"/>
          <w:szCs w:val="28"/>
        </w:rPr>
        <w:t>书面形式通知所有</w:t>
      </w:r>
      <w:r>
        <w:rPr>
          <w:rFonts w:hint="eastAsia" w:ascii="宋体" w:hAnsi="宋体"/>
          <w:bCs/>
          <w:sz w:val="28"/>
          <w:szCs w:val="28"/>
        </w:rPr>
        <w:t>已申领招标文件的</w:t>
      </w:r>
      <w:r>
        <w:rPr>
          <w:rFonts w:ascii="宋体" w:hAnsi="宋体"/>
          <w:bCs/>
          <w:sz w:val="28"/>
          <w:szCs w:val="28"/>
        </w:rPr>
        <w:t>供应商。</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10.2投标截止时间前，采购机构可以对已发出的招标文件进行必要的澄清</w:t>
      </w:r>
      <w:r>
        <w:rPr>
          <w:rFonts w:hint="eastAsia" w:ascii="宋体" w:hAnsi="宋体"/>
          <w:bCs/>
          <w:sz w:val="28"/>
          <w:szCs w:val="28"/>
        </w:rPr>
        <w:t>和修改。</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1</w:t>
      </w:r>
      <w:r>
        <w:rPr>
          <w:rFonts w:ascii="宋体" w:hAnsi="宋体"/>
          <w:bCs/>
          <w:sz w:val="28"/>
          <w:szCs w:val="28"/>
        </w:rPr>
        <w:t>0.3</w:t>
      </w:r>
      <w:r>
        <w:rPr>
          <w:rFonts w:hint="eastAsia" w:ascii="宋体" w:hAnsi="宋体"/>
          <w:bCs/>
          <w:sz w:val="28"/>
          <w:szCs w:val="28"/>
        </w:rPr>
        <w:t>澄清的内容不影响投标文件编制的，采购机构可以采取</w:t>
      </w:r>
      <w:r>
        <w:rPr>
          <w:rFonts w:ascii="宋体" w:hAnsi="宋体"/>
          <w:bCs/>
          <w:sz w:val="28"/>
          <w:szCs w:val="28"/>
        </w:rPr>
        <w:t>发布澄清公告</w:t>
      </w:r>
      <w:r>
        <w:rPr>
          <w:rFonts w:hint="eastAsia" w:ascii="宋体" w:hAnsi="宋体"/>
          <w:bCs/>
          <w:sz w:val="28"/>
          <w:szCs w:val="28"/>
        </w:rPr>
        <w:t>或</w:t>
      </w:r>
      <w:r>
        <w:rPr>
          <w:rFonts w:ascii="宋体" w:hAnsi="宋体"/>
          <w:bCs/>
          <w:sz w:val="28"/>
          <w:szCs w:val="28"/>
        </w:rPr>
        <w:t>书面函告</w:t>
      </w:r>
      <w:r>
        <w:rPr>
          <w:rFonts w:hint="eastAsia" w:ascii="宋体" w:hAnsi="宋体"/>
          <w:bCs/>
          <w:sz w:val="28"/>
          <w:szCs w:val="28"/>
        </w:rPr>
        <w:t>等形式通知</w:t>
      </w:r>
      <w:r>
        <w:rPr>
          <w:rFonts w:ascii="宋体" w:hAnsi="宋体"/>
          <w:bCs/>
          <w:sz w:val="28"/>
          <w:szCs w:val="28"/>
        </w:rPr>
        <w:t>所有</w:t>
      </w:r>
      <w:r>
        <w:rPr>
          <w:rFonts w:hint="eastAsia" w:ascii="宋体" w:hAnsi="宋体"/>
          <w:bCs/>
          <w:sz w:val="28"/>
          <w:szCs w:val="28"/>
        </w:rPr>
        <w:t>已</w:t>
      </w:r>
      <w:r>
        <w:rPr>
          <w:rFonts w:ascii="宋体" w:hAnsi="宋体"/>
          <w:bCs/>
          <w:sz w:val="28"/>
          <w:szCs w:val="28"/>
        </w:rPr>
        <w:t>申领招标文件的供应商。</w:t>
      </w:r>
      <w:r>
        <w:rPr>
          <w:rFonts w:hint="eastAsia" w:ascii="宋体" w:hAnsi="宋体"/>
          <w:bCs/>
          <w:sz w:val="28"/>
          <w:szCs w:val="28"/>
        </w:rPr>
        <w:t>澄清的内容为招标文件的组成部分。</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10.4</w:t>
      </w:r>
      <w:r>
        <w:rPr>
          <w:rStyle w:val="153"/>
          <w:rFonts w:hint="default" w:ascii="宋体" w:hAnsi="宋体" w:eastAsia="宋体" w:cs="Arial"/>
          <w:sz w:val="28"/>
          <w:szCs w:val="28"/>
        </w:rPr>
        <w:t>澄清或修改的内容可能影响投标文件编制的</w:t>
      </w:r>
      <w:r>
        <w:rPr>
          <w:rFonts w:ascii="宋体" w:hAnsi="宋体"/>
          <w:bCs/>
          <w:sz w:val="28"/>
          <w:szCs w:val="28"/>
        </w:rPr>
        <w:t>，采购机构将在提交投标文件截止时间15日前，</w:t>
      </w:r>
      <w:r>
        <w:rPr>
          <w:rFonts w:hint="eastAsia" w:ascii="宋体" w:hAnsi="宋体"/>
          <w:bCs/>
          <w:sz w:val="28"/>
          <w:szCs w:val="28"/>
        </w:rPr>
        <w:t>发布公告并且书面函告</w:t>
      </w:r>
      <w:r>
        <w:rPr>
          <w:rFonts w:ascii="宋体" w:hAnsi="宋体"/>
          <w:bCs/>
          <w:sz w:val="28"/>
          <w:szCs w:val="28"/>
        </w:rPr>
        <w:t>所有</w:t>
      </w:r>
      <w:r>
        <w:rPr>
          <w:rFonts w:hint="eastAsia" w:ascii="宋体" w:hAnsi="宋体"/>
          <w:bCs/>
          <w:sz w:val="28"/>
          <w:szCs w:val="28"/>
        </w:rPr>
        <w:t>已</w:t>
      </w:r>
      <w:r>
        <w:rPr>
          <w:rFonts w:ascii="宋体" w:hAnsi="宋体"/>
          <w:bCs/>
          <w:sz w:val="28"/>
          <w:szCs w:val="28"/>
        </w:rPr>
        <w:t>申领招标文件的供应商；不足15日的，将相应</w:t>
      </w:r>
      <w:r>
        <w:rPr>
          <w:rFonts w:hint="eastAsia" w:ascii="宋体" w:hAnsi="宋体"/>
          <w:bCs/>
          <w:sz w:val="28"/>
          <w:szCs w:val="28"/>
        </w:rPr>
        <w:t>顺延</w:t>
      </w:r>
      <w:r>
        <w:rPr>
          <w:rFonts w:ascii="宋体" w:hAnsi="宋体"/>
          <w:bCs/>
          <w:sz w:val="28"/>
          <w:szCs w:val="28"/>
        </w:rPr>
        <w:t>提交投标文件的截止时间。</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10.5</w:t>
      </w:r>
      <w:r>
        <w:rPr>
          <w:rFonts w:hint="eastAsia" w:ascii="宋体" w:hAnsi="宋体"/>
          <w:bCs/>
          <w:sz w:val="28"/>
          <w:szCs w:val="28"/>
        </w:rPr>
        <w:t>采购标的、关键技术参数、资格条件等内容需修改的，采购机构将重新发布招标公告，并书面函告所有已申领招标文件的供应商。</w:t>
      </w:r>
    </w:p>
    <w:p>
      <w:pPr>
        <w:pStyle w:val="4"/>
        <w:keepNext w:val="0"/>
        <w:keepLines w:val="0"/>
        <w:adjustRightInd w:val="0"/>
        <w:snapToGrid w:val="0"/>
        <w:spacing w:before="120" w:beforeLines="50" w:after="120" w:afterLines="50" w:line="560" w:lineRule="exact"/>
        <w:jc w:val="center"/>
        <w:rPr>
          <w:b w:val="0"/>
        </w:rPr>
      </w:pPr>
      <w:bookmarkStart w:id="68" w:name="_Toc10634"/>
      <w:bookmarkStart w:id="69" w:name="_Toc112317769"/>
      <w:bookmarkStart w:id="70" w:name="_Toc21372"/>
      <w:bookmarkStart w:id="71" w:name="_Toc29121"/>
      <w:bookmarkStart w:id="72" w:name="_Toc7979"/>
      <w:bookmarkStart w:id="73" w:name="_Toc132190598"/>
      <w:r>
        <w:rPr>
          <w:rFonts w:hint="eastAsia"/>
          <w:b w:val="0"/>
        </w:rPr>
        <w:t>三、投标文件</w:t>
      </w:r>
      <w:bookmarkEnd w:id="68"/>
      <w:bookmarkEnd w:id="69"/>
      <w:bookmarkEnd w:id="70"/>
      <w:bookmarkEnd w:id="71"/>
      <w:bookmarkEnd w:id="72"/>
      <w:r>
        <w:rPr>
          <w:rFonts w:hint="eastAsia"/>
          <w:b w:val="0"/>
        </w:rPr>
        <w:t>的基本要求</w:t>
      </w:r>
      <w:bookmarkEnd w:id="73"/>
    </w:p>
    <w:p>
      <w:pPr>
        <w:pStyle w:val="5"/>
        <w:keepNext w:val="0"/>
        <w:keepLines w:val="0"/>
        <w:adjustRightInd w:val="0"/>
        <w:snapToGrid w:val="0"/>
        <w:ind w:firstLine="560" w:firstLineChars="200"/>
        <w:rPr>
          <w:rFonts w:ascii="黑体" w:hAnsi="黑体"/>
          <w:b w:val="0"/>
        </w:rPr>
      </w:pPr>
      <w:bookmarkStart w:id="74" w:name="_Toc8007"/>
      <w:bookmarkStart w:id="75" w:name="_Toc16024"/>
      <w:bookmarkStart w:id="76" w:name="_Toc10966"/>
      <w:bookmarkStart w:id="77" w:name="_Toc31638"/>
      <w:r>
        <w:rPr>
          <w:rFonts w:ascii="黑体" w:hAnsi="黑体"/>
          <w:b w:val="0"/>
        </w:rPr>
        <w:t>11.</w:t>
      </w:r>
      <w:bookmarkEnd w:id="74"/>
      <w:bookmarkEnd w:id="75"/>
      <w:bookmarkEnd w:id="76"/>
      <w:bookmarkEnd w:id="77"/>
      <w:r>
        <w:rPr>
          <w:rFonts w:hint="eastAsia" w:ascii="黑体" w:hAnsi="黑体"/>
          <w:b w:val="0"/>
        </w:rPr>
        <w:t>编制要求</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11.1</w:t>
      </w:r>
      <w:r>
        <w:rPr>
          <w:rFonts w:hint="eastAsia" w:ascii="宋体" w:hAnsi="宋体"/>
          <w:bCs/>
          <w:sz w:val="28"/>
          <w:szCs w:val="28"/>
        </w:rPr>
        <w:t>投标供应商应当仔细阅读招标文件，在完全了解全部内容后，依法真实编制投标文件。</w:t>
      </w:r>
    </w:p>
    <w:p>
      <w:pPr>
        <w:pStyle w:val="5"/>
        <w:keepNext w:val="0"/>
        <w:keepLines w:val="0"/>
        <w:adjustRightInd w:val="0"/>
        <w:snapToGrid w:val="0"/>
        <w:ind w:firstLine="560" w:firstLineChars="200"/>
        <w:rPr>
          <w:rFonts w:ascii="黑体" w:hAnsi="黑体"/>
          <w:b w:val="0"/>
        </w:rPr>
      </w:pPr>
      <w:bookmarkStart w:id="78" w:name="_Toc25199"/>
      <w:bookmarkStart w:id="79" w:name="_Toc1819"/>
      <w:bookmarkStart w:id="80" w:name="_Toc9124"/>
      <w:bookmarkStart w:id="81" w:name="_Toc32710"/>
      <w:r>
        <w:rPr>
          <w:rFonts w:hint="eastAsia" w:ascii="黑体" w:hAnsi="黑体"/>
          <w:b w:val="0"/>
        </w:rPr>
        <w:t>1</w:t>
      </w:r>
      <w:r>
        <w:rPr>
          <w:rFonts w:ascii="黑体" w:hAnsi="黑体"/>
          <w:b w:val="0"/>
        </w:rPr>
        <w:t>2.</w:t>
      </w:r>
      <w:r>
        <w:rPr>
          <w:rFonts w:hint="eastAsia" w:ascii="黑体" w:hAnsi="黑体"/>
          <w:b w:val="0"/>
        </w:rPr>
        <w:t>投标文件的语言及计量单位</w:t>
      </w:r>
      <w:bookmarkEnd w:id="78"/>
      <w:bookmarkEnd w:id="79"/>
      <w:bookmarkEnd w:id="80"/>
      <w:bookmarkEnd w:id="81"/>
    </w:p>
    <w:p>
      <w:pPr>
        <w:adjustRightInd w:val="0"/>
        <w:snapToGrid w:val="0"/>
        <w:spacing w:line="560" w:lineRule="exact"/>
        <w:ind w:firstLine="560" w:firstLineChars="200"/>
        <w:rPr>
          <w:rFonts w:ascii="宋体" w:hAnsi="宋体"/>
          <w:bCs/>
          <w:sz w:val="28"/>
          <w:szCs w:val="28"/>
        </w:rPr>
      </w:pPr>
      <w:r>
        <w:rPr>
          <w:rFonts w:ascii="宋体" w:hAnsi="宋体"/>
          <w:bCs/>
          <w:sz w:val="28"/>
          <w:szCs w:val="28"/>
          <w:lang w:val="zh-CN"/>
        </w:rPr>
        <w:t>12.1投标文件和</w:t>
      </w:r>
      <w:r>
        <w:rPr>
          <w:rFonts w:hint="eastAsia"/>
          <w:bCs/>
          <w:snapToGrid w:val="0"/>
          <w:sz w:val="28"/>
          <w:szCs w:val="28"/>
          <w:lang w:val="zh-CN"/>
        </w:rPr>
        <w:t>投标供应商与采购机构就有关投标的</w:t>
      </w:r>
      <w:r>
        <w:rPr>
          <w:rFonts w:ascii="宋体" w:hAnsi="宋体"/>
          <w:bCs/>
          <w:sz w:val="28"/>
          <w:szCs w:val="28"/>
          <w:lang w:val="zh-CN"/>
        </w:rPr>
        <w:t>来往信函均以中文书写。确有需要时，</w:t>
      </w:r>
      <w:r>
        <w:rPr>
          <w:rFonts w:hint="eastAsia" w:ascii="宋体" w:hAnsi="宋体"/>
          <w:bCs/>
          <w:sz w:val="28"/>
          <w:szCs w:val="28"/>
          <w:lang w:val="zh-CN"/>
        </w:rPr>
        <w:t>可以提供</w:t>
      </w:r>
      <w:r>
        <w:rPr>
          <w:rFonts w:ascii="宋体" w:hAnsi="宋体"/>
          <w:bCs/>
          <w:sz w:val="28"/>
          <w:szCs w:val="28"/>
          <w:lang w:val="zh-CN"/>
        </w:rPr>
        <w:t>使用其他语言书写</w:t>
      </w:r>
      <w:r>
        <w:rPr>
          <w:rFonts w:hint="eastAsia" w:ascii="宋体" w:hAnsi="宋体"/>
          <w:bCs/>
          <w:sz w:val="28"/>
          <w:szCs w:val="28"/>
          <w:lang w:val="zh-CN"/>
        </w:rPr>
        <w:t>的相关材料</w:t>
      </w:r>
      <w:r>
        <w:rPr>
          <w:rFonts w:ascii="宋体" w:hAnsi="宋体"/>
          <w:bCs/>
          <w:sz w:val="28"/>
          <w:szCs w:val="28"/>
          <w:lang w:val="zh-CN"/>
        </w:rPr>
        <w:t>，但</w:t>
      </w:r>
      <w:bookmarkStart w:id="82" w:name="_Hlk130370619"/>
      <w:r>
        <w:rPr>
          <w:rFonts w:hint="eastAsia" w:ascii="黑体" w:hAnsi="黑体" w:eastAsia="黑体"/>
          <w:bCs/>
          <w:sz w:val="28"/>
          <w:szCs w:val="28"/>
          <w:lang w:val="zh-CN"/>
        </w:rPr>
        <w:t>应当</w:t>
      </w:r>
      <w:bookmarkEnd w:id="82"/>
      <w:r>
        <w:rPr>
          <w:rFonts w:ascii="黑体" w:hAnsi="黑体" w:eastAsia="黑体"/>
          <w:bCs/>
          <w:sz w:val="28"/>
          <w:szCs w:val="28"/>
          <w:lang w:val="zh-CN"/>
        </w:rPr>
        <w:t>同时提供</w:t>
      </w:r>
      <w:r>
        <w:rPr>
          <w:rFonts w:hint="eastAsia" w:ascii="黑体" w:hAnsi="黑体" w:eastAsia="黑体"/>
          <w:bCs/>
          <w:sz w:val="28"/>
          <w:szCs w:val="28"/>
          <w:lang w:val="zh-CN"/>
        </w:rPr>
        <w:t>能够准确表达原文原意的</w:t>
      </w:r>
      <w:r>
        <w:rPr>
          <w:rFonts w:ascii="黑体" w:hAnsi="黑体" w:eastAsia="黑体"/>
          <w:bCs/>
          <w:sz w:val="28"/>
          <w:szCs w:val="28"/>
          <w:lang w:val="zh-CN"/>
        </w:rPr>
        <w:t>中文译文</w:t>
      </w:r>
      <w:r>
        <w:rPr>
          <w:rFonts w:ascii="宋体" w:hAnsi="宋体"/>
          <w:bCs/>
          <w:sz w:val="28"/>
          <w:szCs w:val="28"/>
          <w:lang w:val="zh-CN"/>
        </w:rPr>
        <w:t>，</w:t>
      </w:r>
      <w:r>
        <w:rPr>
          <w:rFonts w:hint="eastAsia" w:ascii="宋体" w:hAnsi="宋体"/>
          <w:bCs/>
          <w:sz w:val="28"/>
          <w:szCs w:val="28"/>
          <w:lang w:val="zh-CN"/>
        </w:rPr>
        <w:t>原文与中文译文</w:t>
      </w:r>
      <w:r>
        <w:rPr>
          <w:rFonts w:ascii="宋体" w:hAnsi="宋体"/>
          <w:bCs/>
          <w:sz w:val="28"/>
          <w:szCs w:val="28"/>
          <w:lang w:val="zh-CN"/>
        </w:rPr>
        <w:t>的解释发生异议的</w:t>
      </w:r>
      <w:r>
        <w:rPr>
          <w:rFonts w:hint="eastAsia" w:ascii="宋体" w:hAnsi="宋体"/>
          <w:bCs/>
          <w:sz w:val="28"/>
          <w:szCs w:val="28"/>
          <w:lang w:val="zh-CN"/>
        </w:rPr>
        <w:t>，一般以中文译文为准；采购机构或评审委员会认为属于明显翻译错误的，以原文为准。</w:t>
      </w:r>
      <w:r>
        <w:rPr>
          <w:rFonts w:hint="eastAsia" w:ascii="宋体" w:hAnsi="宋体"/>
          <w:bCs/>
          <w:sz w:val="28"/>
          <w:szCs w:val="28"/>
        </w:rPr>
        <w:t>未提供中文译文的，该文本无效。</w:t>
      </w:r>
    </w:p>
    <w:p>
      <w:pPr>
        <w:adjustRightInd w:val="0"/>
        <w:snapToGrid w:val="0"/>
        <w:spacing w:line="560" w:lineRule="exact"/>
        <w:ind w:firstLine="560" w:firstLineChars="200"/>
        <w:rPr>
          <w:rFonts w:ascii="宋体" w:hAnsi="宋体"/>
          <w:bCs/>
          <w:sz w:val="28"/>
          <w:szCs w:val="28"/>
        </w:rPr>
      </w:pPr>
      <w:r>
        <w:rPr>
          <w:rFonts w:ascii="宋体" w:hAnsi="宋体"/>
          <w:bCs/>
          <w:sz w:val="28"/>
          <w:szCs w:val="28"/>
          <w:lang w:val="zh-CN"/>
        </w:rPr>
        <w:t>12.2投标文件中所使用的计量单位，除投标文件中有特殊要求外，均采用</w:t>
      </w:r>
      <w:r>
        <w:rPr>
          <w:rFonts w:hint="eastAsia" w:ascii="宋体" w:hAnsi="宋体"/>
          <w:bCs/>
          <w:sz w:val="28"/>
          <w:szCs w:val="28"/>
          <w:lang w:val="zh-CN"/>
        </w:rPr>
        <w:t>中华人民共和国</w:t>
      </w:r>
      <w:r>
        <w:rPr>
          <w:rFonts w:ascii="宋体" w:hAnsi="宋体"/>
          <w:bCs/>
          <w:sz w:val="28"/>
          <w:szCs w:val="28"/>
          <w:lang w:val="zh-CN"/>
        </w:rPr>
        <w:t>法定计量单位</w:t>
      </w:r>
      <w:r>
        <w:rPr>
          <w:rFonts w:ascii="宋体" w:hAnsi="宋体"/>
          <w:bCs/>
          <w:sz w:val="28"/>
          <w:szCs w:val="28"/>
        </w:rPr>
        <w:t>。</w:t>
      </w:r>
    </w:p>
    <w:p>
      <w:pPr>
        <w:pStyle w:val="5"/>
        <w:keepNext w:val="0"/>
        <w:keepLines w:val="0"/>
        <w:adjustRightInd w:val="0"/>
        <w:snapToGrid w:val="0"/>
        <w:ind w:firstLine="560" w:firstLineChars="200"/>
        <w:rPr>
          <w:rFonts w:ascii="黑体" w:hAnsi="黑体"/>
          <w:b w:val="0"/>
        </w:rPr>
      </w:pPr>
      <w:bookmarkStart w:id="83" w:name="_Toc7726"/>
      <w:bookmarkStart w:id="84" w:name="_Toc22392"/>
      <w:bookmarkStart w:id="85" w:name="_Toc14932"/>
      <w:bookmarkStart w:id="86" w:name="_Toc18518"/>
      <w:r>
        <w:rPr>
          <w:rFonts w:ascii="黑体" w:hAnsi="黑体"/>
          <w:b w:val="0"/>
        </w:rPr>
        <w:t>13.</w:t>
      </w:r>
      <w:r>
        <w:rPr>
          <w:rFonts w:hint="eastAsia" w:ascii="黑体" w:hAnsi="黑体"/>
          <w:b w:val="0"/>
        </w:rPr>
        <w:t>投标文件组成</w:t>
      </w:r>
      <w:bookmarkEnd w:id="83"/>
      <w:bookmarkEnd w:id="84"/>
      <w:bookmarkEnd w:id="85"/>
      <w:bookmarkEnd w:id="86"/>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13.1投标文件</w:t>
      </w:r>
      <w:r>
        <w:rPr>
          <w:rFonts w:hint="eastAsia" w:ascii="宋体" w:hAnsi="宋体"/>
          <w:bCs/>
          <w:sz w:val="28"/>
          <w:szCs w:val="28"/>
          <w:lang w:val="zh-CN"/>
        </w:rPr>
        <w:t>一般</w:t>
      </w:r>
      <w:r>
        <w:rPr>
          <w:rFonts w:ascii="宋体" w:hAnsi="宋体"/>
          <w:bCs/>
          <w:sz w:val="28"/>
          <w:szCs w:val="28"/>
          <w:lang w:val="zh-CN"/>
        </w:rPr>
        <w:t>由</w:t>
      </w:r>
      <w:bookmarkStart w:id="87" w:name="_Hlk112504983"/>
      <w:r>
        <w:rPr>
          <w:rFonts w:hint="eastAsia" w:ascii="黑体" w:hAnsi="黑体" w:eastAsia="黑体"/>
          <w:bCs/>
          <w:sz w:val="28"/>
          <w:szCs w:val="28"/>
          <w:lang w:val="zh-CN"/>
        </w:rPr>
        <w:t>价格文件、</w:t>
      </w:r>
      <w:bookmarkStart w:id="88" w:name="_Hlk112353436"/>
      <w:r>
        <w:rPr>
          <w:rFonts w:hint="eastAsia" w:ascii="黑体" w:hAnsi="黑体" w:eastAsia="黑体"/>
          <w:bCs/>
          <w:sz w:val="28"/>
          <w:szCs w:val="28"/>
          <w:lang w:val="zh-CN"/>
        </w:rPr>
        <w:t>商务技术</w:t>
      </w:r>
      <w:bookmarkEnd w:id="88"/>
      <w:r>
        <w:rPr>
          <w:rFonts w:hint="eastAsia" w:ascii="黑体" w:hAnsi="黑体" w:eastAsia="黑体"/>
          <w:bCs/>
          <w:sz w:val="28"/>
          <w:szCs w:val="28"/>
          <w:lang w:val="zh-CN"/>
        </w:rPr>
        <w:t>文件、资格证明文件</w:t>
      </w:r>
      <w:r>
        <w:rPr>
          <w:rFonts w:hint="eastAsia" w:ascii="宋体" w:hAnsi="宋体"/>
          <w:bCs/>
          <w:sz w:val="28"/>
          <w:szCs w:val="28"/>
          <w:lang w:val="zh-CN"/>
        </w:rPr>
        <w:t>三部分组成。每部分应当分别编制目录，具体要求</w:t>
      </w:r>
      <w:r>
        <w:rPr>
          <w:rFonts w:ascii="宋体" w:hAnsi="宋体"/>
          <w:bCs/>
          <w:sz w:val="28"/>
          <w:szCs w:val="28"/>
          <w:lang w:val="zh-CN"/>
        </w:rPr>
        <w:t>详见第三章投标文件内容及格式</w:t>
      </w:r>
      <w:r>
        <w:rPr>
          <w:rFonts w:hint="eastAsia" w:ascii="宋体" w:hAnsi="宋体"/>
          <w:bCs/>
          <w:sz w:val="28"/>
          <w:szCs w:val="28"/>
          <w:lang w:val="zh-CN"/>
        </w:rPr>
        <w:t>。</w:t>
      </w:r>
    </w:p>
    <w:bookmarkEnd w:id="87"/>
    <w:p>
      <w:pPr>
        <w:pStyle w:val="5"/>
        <w:keepNext w:val="0"/>
        <w:keepLines w:val="0"/>
        <w:adjustRightInd w:val="0"/>
        <w:snapToGrid w:val="0"/>
        <w:ind w:firstLine="560" w:firstLineChars="200"/>
        <w:rPr>
          <w:rFonts w:ascii="黑体" w:hAnsi="黑体"/>
          <w:b w:val="0"/>
        </w:rPr>
      </w:pPr>
      <w:bookmarkStart w:id="89" w:name="_Toc19972"/>
      <w:bookmarkStart w:id="90" w:name="_Toc19507"/>
      <w:bookmarkStart w:id="91" w:name="_Toc24457"/>
      <w:bookmarkStart w:id="92" w:name="_Toc21237"/>
      <w:r>
        <w:rPr>
          <w:rFonts w:ascii="黑体" w:hAnsi="黑体"/>
          <w:b w:val="0"/>
        </w:rPr>
        <w:t>14.</w:t>
      </w:r>
      <w:r>
        <w:rPr>
          <w:rFonts w:hint="eastAsia" w:ascii="黑体" w:hAnsi="黑体"/>
          <w:b w:val="0"/>
        </w:rPr>
        <w:t>投标文件的编制</w:t>
      </w:r>
      <w:bookmarkEnd w:id="89"/>
      <w:bookmarkEnd w:id="90"/>
      <w:bookmarkEnd w:id="91"/>
      <w:bookmarkEnd w:id="92"/>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14.1</w:t>
      </w:r>
      <w:r>
        <w:rPr>
          <w:rFonts w:hint="eastAsia" w:ascii="宋体" w:hAnsi="宋体"/>
          <w:bCs/>
          <w:sz w:val="28"/>
          <w:szCs w:val="28"/>
          <w:lang w:val="zh-CN"/>
        </w:rPr>
        <w:t>投标供应商应当按招标文件第</w:t>
      </w:r>
      <w:r>
        <w:rPr>
          <w:rFonts w:ascii="宋体" w:hAnsi="宋体"/>
          <w:bCs/>
          <w:sz w:val="28"/>
          <w:szCs w:val="28"/>
          <w:lang w:val="zh-CN"/>
        </w:rPr>
        <w:t>13.1</w:t>
      </w:r>
      <w:r>
        <w:rPr>
          <w:rFonts w:hint="eastAsia" w:ascii="宋体" w:hAnsi="宋体"/>
          <w:bCs/>
          <w:sz w:val="28"/>
          <w:szCs w:val="28"/>
          <w:lang w:val="zh-CN"/>
        </w:rPr>
        <w:t>条的内容与要求和第三章明确的格式编制投标文件。</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14.2投标文件</w:t>
      </w:r>
      <w:r>
        <w:rPr>
          <w:rFonts w:hint="eastAsia" w:ascii="宋体" w:hAnsi="宋体"/>
          <w:bCs/>
          <w:sz w:val="28"/>
          <w:szCs w:val="28"/>
          <w:lang w:val="zh-CN"/>
        </w:rPr>
        <w:t>应当</w:t>
      </w:r>
      <w:r>
        <w:rPr>
          <w:rFonts w:ascii="宋体" w:hAnsi="宋体"/>
          <w:bCs/>
          <w:sz w:val="28"/>
          <w:szCs w:val="28"/>
          <w:lang w:val="zh-CN"/>
        </w:rPr>
        <w:t>工整、规范、统一、清晰，采用A4幅面纸</w:t>
      </w:r>
      <w:r>
        <w:rPr>
          <w:rFonts w:hint="eastAsia" w:ascii="宋体" w:hAnsi="宋体"/>
          <w:bCs/>
          <w:sz w:val="28"/>
          <w:szCs w:val="28"/>
          <w:lang w:val="zh-CN"/>
        </w:rPr>
        <w:t>打印，页面不可抽取，不得有活页。商务技术文件和资格证明文件应当</w:t>
      </w:r>
      <w:r>
        <w:rPr>
          <w:rFonts w:ascii="宋体" w:hAnsi="宋体"/>
          <w:bCs/>
          <w:sz w:val="28"/>
          <w:szCs w:val="28"/>
          <w:lang w:val="zh-CN"/>
        </w:rPr>
        <w:t>胶装成册</w:t>
      </w:r>
      <w:r>
        <w:rPr>
          <w:rFonts w:hint="eastAsia" w:ascii="宋体" w:hAnsi="宋体"/>
          <w:bCs/>
          <w:sz w:val="28"/>
          <w:szCs w:val="28"/>
          <w:lang w:val="zh-CN"/>
        </w:rPr>
        <w:t>；价格文件纸张在</w:t>
      </w:r>
      <w:r>
        <w:rPr>
          <w:rFonts w:ascii="宋体" w:hAnsi="宋体"/>
          <w:bCs/>
          <w:sz w:val="28"/>
          <w:szCs w:val="28"/>
          <w:lang w:val="zh-CN"/>
        </w:rPr>
        <w:t>10</w:t>
      </w:r>
      <w:r>
        <w:rPr>
          <w:rFonts w:hint="eastAsia" w:ascii="宋体" w:hAnsi="宋体"/>
          <w:bCs/>
          <w:sz w:val="28"/>
          <w:szCs w:val="28"/>
          <w:lang w:val="zh-CN"/>
        </w:rPr>
        <w:t>张以上的也应当</w:t>
      </w:r>
      <w:r>
        <w:rPr>
          <w:rFonts w:ascii="宋体" w:hAnsi="宋体"/>
          <w:bCs/>
          <w:sz w:val="28"/>
          <w:szCs w:val="28"/>
          <w:lang w:val="zh-CN"/>
        </w:rPr>
        <w:t>胶装成册</w:t>
      </w:r>
      <w:r>
        <w:rPr>
          <w:rFonts w:hint="eastAsia" w:ascii="宋体" w:hAnsi="宋体"/>
          <w:bCs/>
          <w:sz w:val="28"/>
          <w:szCs w:val="28"/>
          <w:lang w:val="zh-CN"/>
        </w:rPr>
        <w:t>，不足</w:t>
      </w:r>
      <w:r>
        <w:rPr>
          <w:rFonts w:ascii="宋体" w:hAnsi="宋体"/>
          <w:bCs/>
          <w:sz w:val="28"/>
          <w:szCs w:val="28"/>
          <w:lang w:val="zh-CN"/>
        </w:rPr>
        <w:t>10</w:t>
      </w:r>
      <w:r>
        <w:rPr>
          <w:rFonts w:hint="eastAsia" w:ascii="宋体" w:hAnsi="宋体"/>
          <w:bCs/>
          <w:sz w:val="28"/>
          <w:szCs w:val="28"/>
          <w:lang w:val="zh-CN"/>
        </w:rPr>
        <w:t>张的应当装订或胶装成册。</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14.3投标文件</w:t>
      </w:r>
      <w:r>
        <w:rPr>
          <w:rFonts w:hint="eastAsia" w:ascii="宋体" w:hAnsi="宋体"/>
          <w:bCs/>
          <w:sz w:val="28"/>
          <w:szCs w:val="28"/>
          <w:lang w:val="zh-CN"/>
        </w:rPr>
        <w:t>应当</w:t>
      </w:r>
      <w:r>
        <w:rPr>
          <w:rFonts w:ascii="宋体" w:hAnsi="宋体"/>
          <w:bCs/>
          <w:sz w:val="28"/>
          <w:szCs w:val="28"/>
          <w:lang w:val="zh-CN"/>
        </w:rPr>
        <w:t>打印或用黑色、蓝黑色墨水填写。</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14.4开标一览表</w:t>
      </w:r>
      <w:r>
        <w:rPr>
          <w:rFonts w:hint="eastAsia" w:ascii="宋体" w:hAnsi="宋体"/>
          <w:bCs/>
          <w:sz w:val="28"/>
          <w:szCs w:val="28"/>
          <w:lang w:val="zh-CN"/>
        </w:rPr>
        <w:t>表格应当</w:t>
      </w:r>
      <w:r>
        <w:rPr>
          <w:rFonts w:ascii="宋体" w:hAnsi="宋体"/>
          <w:bCs/>
          <w:sz w:val="28"/>
          <w:szCs w:val="28"/>
          <w:lang w:val="zh-CN"/>
        </w:rPr>
        <w:t>按照规定的</w:t>
      </w:r>
      <w:r>
        <w:rPr>
          <w:rFonts w:hint="eastAsia" w:ascii="宋体" w:hAnsi="宋体"/>
          <w:bCs/>
          <w:sz w:val="28"/>
          <w:szCs w:val="28"/>
          <w:lang w:val="zh-CN"/>
        </w:rPr>
        <w:t>要素</w:t>
      </w:r>
      <w:r>
        <w:rPr>
          <w:rFonts w:ascii="宋体" w:hAnsi="宋体"/>
          <w:bCs/>
          <w:sz w:val="28"/>
          <w:szCs w:val="28"/>
          <w:lang w:val="zh-CN"/>
        </w:rPr>
        <w:t>填写，</w:t>
      </w:r>
      <w:r>
        <w:rPr>
          <w:rFonts w:hint="eastAsia" w:ascii="宋体" w:hAnsi="宋体"/>
          <w:bCs/>
          <w:sz w:val="28"/>
          <w:szCs w:val="28"/>
          <w:lang w:val="zh-CN"/>
        </w:rPr>
        <w:t>其中：</w:t>
      </w:r>
    </w:p>
    <w:p>
      <w:pPr>
        <w:adjustRightInd w:val="0"/>
        <w:snapToGrid w:val="0"/>
        <w:spacing w:line="560" w:lineRule="exact"/>
        <w:ind w:firstLine="560" w:firstLineChars="200"/>
        <w:rPr>
          <w:rFonts w:ascii="宋体" w:hAnsi="宋体"/>
          <w:bCs/>
          <w:sz w:val="28"/>
          <w:szCs w:val="28"/>
          <w:lang w:val="zh-CN"/>
        </w:rPr>
      </w:pPr>
      <w:r>
        <w:rPr>
          <w:rFonts w:hint="eastAsia" w:ascii="宋体" w:hAnsi="宋体"/>
          <w:bCs/>
          <w:sz w:val="28"/>
          <w:szCs w:val="28"/>
          <w:lang w:val="zh-CN"/>
        </w:rPr>
        <w:t>（1）表格各列不得自行增减，不得调整顺序。</w:t>
      </w:r>
    </w:p>
    <w:p>
      <w:pPr>
        <w:adjustRightInd w:val="0"/>
        <w:snapToGrid w:val="0"/>
        <w:spacing w:line="560" w:lineRule="exact"/>
        <w:ind w:firstLine="560" w:firstLineChars="200"/>
        <w:rPr>
          <w:rFonts w:ascii="宋体" w:hAnsi="宋体"/>
          <w:bCs/>
          <w:sz w:val="28"/>
          <w:szCs w:val="28"/>
          <w:lang w:val="zh-CN"/>
        </w:rPr>
      </w:pPr>
      <w:r>
        <w:rPr>
          <w:rFonts w:hint="eastAsia" w:ascii="宋体" w:hAnsi="宋体"/>
          <w:bCs/>
          <w:sz w:val="28"/>
          <w:szCs w:val="28"/>
          <w:lang w:val="zh-CN"/>
        </w:rPr>
        <w:t>（2）</w:t>
      </w:r>
      <w:bookmarkStart w:id="93" w:name="_Hlk130370840"/>
      <w:r>
        <w:rPr>
          <w:rFonts w:hint="eastAsia" w:ascii="宋体" w:hAnsi="宋体"/>
          <w:bCs/>
          <w:sz w:val="28"/>
          <w:szCs w:val="28"/>
          <w:lang w:val="zh-CN"/>
        </w:rPr>
        <w:t>招标文件</w:t>
      </w:r>
      <w:bookmarkEnd w:id="93"/>
      <w:r>
        <w:rPr>
          <w:rFonts w:hint="eastAsia" w:ascii="宋体" w:hAnsi="宋体"/>
          <w:bCs/>
          <w:sz w:val="28"/>
          <w:szCs w:val="28"/>
          <w:lang w:val="zh-CN"/>
        </w:rPr>
        <w:t>已经明确物资明细的，应当严格按照明确的物资名称填写各行内容，不得自行增减，调整顺序的不影响投标有效性；未明确物资明细的，自行填写各行内容，应当包含所投所有物资。</w:t>
      </w:r>
    </w:p>
    <w:p>
      <w:pPr>
        <w:adjustRightInd w:val="0"/>
        <w:snapToGrid w:val="0"/>
        <w:spacing w:line="560" w:lineRule="exact"/>
        <w:ind w:firstLine="560" w:firstLineChars="200"/>
        <w:rPr>
          <w:rFonts w:ascii="宋体" w:hAnsi="宋体"/>
          <w:bCs/>
          <w:sz w:val="28"/>
          <w:szCs w:val="28"/>
          <w:lang w:val="zh-CN"/>
        </w:rPr>
      </w:pPr>
      <w:r>
        <w:rPr>
          <w:rFonts w:hint="eastAsia" w:ascii="宋体" w:hAnsi="宋体"/>
          <w:bCs/>
          <w:sz w:val="28"/>
          <w:szCs w:val="28"/>
          <w:lang w:val="zh-CN"/>
        </w:rPr>
        <w:t>（3）单元格内容相同的，可以合并。</w:t>
      </w:r>
    </w:p>
    <w:p>
      <w:pPr>
        <w:pStyle w:val="16"/>
        <w:spacing w:after="0" w:line="560" w:lineRule="exact"/>
        <w:ind w:firstLine="560" w:firstLineChars="200"/>
        <w:rPr>
          <w:rFonts w:ascii="宋体" w:hAnsi="宋体"/>
          <w:sz w:val="28"/>
          <w:szCs w:val="28"/>
          <w:lang w:val="zh-CN"/>
        </w:rPr>
      </w:pPr>
      <w:r>
        <w:rPr>
          <w:rFonts w:hint="eastAsia" w:ascii="宋体" w:hAnsi="宋体"/>
          <w:sz w:val="28"/>
          <w:szCs w:val="28"/>
          <w:lang w:val="zh-CN"/>
        </w:rPr>
        <w:t>（</w:t>
      </w:r>
      <w:r>
        <w:rPr>
          <w:rFonts w:ascii="宋体" w:hAnsi="宋体"/>
          <w:sz w:val="28"/>
          <w:szCs w:val="28"/>
          <w:lang w:val="zh-CN"/>
        </w:rPr>
        <w:t>4</w:t>
      </w:r>
      <w:r>
        <w:rPr>
          <w:rFonts w:hint="eastAsia" w:ascii="宋体" w:hAnsi="宋体"/>
          <w:sz w:val="28"/>
          <w:szCs w:val="28"/>
          <w:lang w:val="zh-CN"/>
        </w:rPr>
        <w:t>）不得增加附件。</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14.5</w:t>
      </w:r>
      <w:r>
        <w:rPr>
          <w:rFonts w:hint="eastAsia" w:ascii="宋体" w:hAnsi="宋体"/>
          <w:bCs/>
          <w:sz w:val="28"/>
          <w:szCs w:val="28"/>
          <w:lang w:val="zh-CN"/>
        </w:rPr>
        <w:t>投标文件正本应当打印，并按照招标文件规定，应当盖章处加盖投标供应商公章，应当签字处由投标供应商代表签字。由投标供应商的法定代表人签字的，应当附法定代表人身份证明；投标供应商代表不是投标供应商的法定代表人的，应当提供法定代表人授权委托书。投标文件的副本可以是正本已盖章和签字文件的复印件。投标文件的正本与副本应当分别装订成册。</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14.6</w:t>
      </w:r>
      <w:r>
        <w:rPr>
          <w:rFonts w:hint="eastAsia" w:ascii="宋体" w:hAnsi="宋体"/>
          <w:bCs/>
          <w:sz w:val="28"/>
          <w:szCs w:val="28"/>
          <w:lang w:val="zh-CN"/>
        </w:rPr>
        <w:t>投标供应商应当提交投标文件正本一份，副本、电子版份数见【投标供应商须知前附表】。投标文件正本和副本的封面右上角上应当清楚标记“正本”或“副本”字样。当副本和正本不一致或电子版文件与纸质正本文件不一致时，以纸质正本文件为准。</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14.7</w:t>
      </w:r>
      <w:r>
        <w:rPr>
          <w:rFonts w:hint="eastAsia" w:ascii="宋体" w:hAnsi="宋体"/>
          <w:b/>
          <w:bCs w:val="0"/>
          <w:color w:val="FF0000"/>
          <w:sz w:val="28"/>
          <w:szCs w:val="28"/>
          <w:lang w:val="zh-CN"/>
        </w:rPr>
        <w:t>投标文件正本应当加盖骑缝章</w:t>
      </w:r>
      <w:bookmarkStart w:id="94" w:name="_Hlk130371190"/>
      <w:r>
        <w:rPr>
          <w:rFonts w:hint="eastAsia" w:ascii="宋体" w:hAnsi="宋体"/>
          <w:b/>
          <w:bCs w:val="0"/>
          <w:color w:val="FF0000"/>
          <w:sz w:val="28"/>
          <w:szCs w:val="28"/>
          <w:lang w:val="zh-CN"/>
        </w:rPr>
        <w:t>（每页均加盖公章的，可以不盖骑缝章）</w:t>
      </w:r>
      <w:bookmarkEnd w:id="94"/>
      <w:r>
        <w:rPr>
          <w:rFonts w:hint="eastAsia" w:ascii="宋体" w:hAnsi="宋体"/>
          <w:bCs/>
          <w:sz w:val="28"/>
          <w:szCs w:val="28"/>
          <w:lang w:val="zh-CN"/>
        </w:rPr>
        <w:t>，不得随意涂改和增删。如有修改错漏之处，应当由法定代表人或授权代表签字。</w:t>
      </w:r>
    </w:p>
    <w:p>
      <w:pPr>
        <w:pStyle w:val="5"/>
        <w:keepNext w:val="0"/>
        <w:keepLines w:val="0"/>
        <w:adjustRightInd w:val="0"/>
        <w:snapToGrid w:val="0"/>
        <w:ind w:firstLine="560" w:firstLineChars="200"/>
        <w:rPr>
          <w:rFonts w:ascii="黑体" w:hAnsi="黑体"/>
          <w:b w:val="0"/>
        </w:rPr>
      </w:pPr>
      <w:bookmarkStart w:id="95" w:name="_Toc18347"/>
      <w:bookmarkStart w:id="96" w:name="_Toc15503"/>
      <w:bookmarkStart w:id="97" w:name="_Toc23265"/>
      <w:bookmarkStart w:id="98" w:name="_Toc14720"/>
      <w:r>
        <w:rPr>
          <w:rFonts w:hint="eastAsia" w:ascii="黑体" w:hAnsi="黑体"/>
          <w:b w:val="0"/>
        </w:rPr>
        <w:t>1</w:t>
      </w:r>
      <w:r>
        <w:rPr>
          <w:rFonts w:ascii="黑体" w:hAnsi="黑体"/>
          <w:b w:val="0"/>
        </w:rPr>
        <w:t>5.</w:t>
      </w:r>
      <w:r>
        <w:rPr>
          <w:rFonts w:hint="eastAsia" w:ascii="黑体" w:hAnsi="黑体"/>
          <w:b w:val="0"/>
        </w:rPr>
        <w:t>投标有效期</w:t>
      </w:r>
      <w:bookmarkEnd w:id="95"/>
      <w:bookmarkEnd w:id="96"/>
      <w:bookmarkEnd w:id="97"/>
      <w:bookmarkEnd w:id="98"/>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15.1投标</w:t>
      </w:r>
      <w:r>
        <w:rPr>
          <w:rFonts w:hint="eastAsia" w:ascii="宋体" w:hAnsi="宋体"/>
          <w:bCs/>
          <w:sz w:val="28"/>
          <w:szCs w:val="28"/>
          <w:lang w:val="zh-CN"/>
        </w:rPr>
        <w:t>有效期从提交投标文件的</w:t>
      </w:r>
      <w:bookmarkStart w:id="488" w:name="_GoBack"/>
      <w:bookmarkEnd w:id="488"/>
      <w:r>
        <w:rPr>
          <w:rFonts w:hint="eastAsia" w:ascii="宋体" w:hAnsi="宋体"/>
          <w:bCs/>
          <w:sz w:val="28"/>
          <w:szCs w:val="28"/>
          <w:lang w:val="zh-CN"/>
        </w:rPr>
        <w:t>截止之日起算。投标文件中承诺的投标有效期应当不少于【投标供应商须知前附表】中载明的投标有效期，否则视为无效投标。</w:t>
      </w:r>
    </w:p>
    <w:p>
      <w:pPr>
        <w:adjustRightInd w:val="0"/>
        <w:snapToGrid w:val="0"/>
        <w:spacing w:line="560" w:lineRule="exact"/>
        <w:ind w:firstLine="560" w:firstLineChars="200"/>
        <w:rPr>
          <w:rFonts w:ascii="宋体" w:hAnsi="宋体"/>
          <w:bCs/>
          <w:sz w:val="28"/>
          <w:szCs w:val="28"/>
        </w:rPr>
      </w:pPr>
      <w:r>
        <w:rPr>
          <w:rFonts w:ascii="宋体" w:hAnsi="宋体"/>
          <w:bCs/>
          <w:sz w:val="28"/>
          <w:szCs w:val="28"/>
          <w:lang w:val="zh-CN"/>
        </w:rPr>
        <w:t>15.2投标有效期需要延长的，采购机构可与投标供应商进行协商，并以书面形式确认，投标保证金有效期相应延长。投标供应商拒绝延长有效期不影响退还投标保证金。同意延长有效期的投标供应商不</w:t>
      </w:r>
      <w:r>
        <w:rPr>
          <w:rFonts w:hint="eastAsia" w:ascii="宋体" w:hAnsi="宋体"/>
          <w:bCs/>
          <w:sz w:val="28"/>
          <w:szCs w:val="28"/>
          <w:lang w:val="zh-CN"/>
        </w:rPr>
        <w:t>得</w:t>
      </w:r>
      <w:r>
        <w:rPr>
          <w:rFonts w:ascii="宋体" w:hAnsi="宋体"/>
          <w:bCs/>
          <w:sz w:val="28"/>
          <w:szCs w:val="28"/>
          <w:lang w:val="zh-CN"/>
        </w:rPr>
        <w:t>修改投标文件。</w:t>
      </w:r>
    </w:p>
    <w:p>
      <w:pPr>
        <w:pStyle w:val="5"/>
        <w:keepNext w:val="0"/>
        <w:keepLines w:val="0"/>
        <w:adjustRightInd w:val="0"/>
        <w:snapToGrid w:val="0"/>
        <w:ind w:firstLine="560" w:firstLineChars="200"/>
        <w:rPr>
          <w:rFonts w:ascii="黑体" w:hAnsi="黑体"/>
          <w:b w:val="0"/>
        </w:rPr>
      </w:pPr>
      <w:bookmarkStart w:id="99" w:name="_Toc14212"/>
      <w:bookmarkStart w:id="100" w:name="_Toc16961"/>
      <w:bookmarkStart w:id="101" w:name="_Toc11462"/>
      <w:bookmarkStart w:id="102" w:name="_Toc3489"/>
      <w:r>
        <w:rPr>
          <w:rFonts w:hint="eastAsia" w:ascii="黑体" w:hAnsi="黑体"/>
          <w:b w:val="0"/>
        </w:rPr>
        <w:t>1</w:t>
      </w:r>
      <w:r>
        <w:rPr>
          <w:rFonts w:ascii="黑体" w:hAnsi="黑体"/>
          <w:b w:val="0"/>
        </w:rPr>
        <w:t>6.</w:t>
      </w:r>
      <w:r>
        <w:rPr>
          <w:rFonts w:hint="eastAsia" w:ascii="黑体" w:hAnsi="黑体"/>
          <w:b w:val="0"/>
        </w:rPr>
        <w:t>投标报价</w:t>
      </w:r>
      <w:bookmarkEnd w:id="99"/>
      <w:bookmarkEnd w:id="100"/>
      <w:bookmarkEnd w:id="101"/>
      <w:bookmarkEnd w:id="102"/>
    </w:p>
    <w:p>
      <w:pPr>
        <w:adjustRightInd w:val="0"/>
        <w:snapToGrid w:val="0"/>
        <w:spacing w:line="560" w:lineRule="exact"/>
        <w:ind w:firstLine="560" w:firstLineChars="200"/>
        <w:rPr>
          <w:rFonts w:ascii="宋体" w:hAnsi="宋体"/>
          <w:bCs/>
          <w:sz w:val="28"/>
          <w:szCs w:val="28"/>
        </w:rPr>
      </w:pPr>
      <w:r>
        <w:rPr>
          <w:rFonts w:ascii="宋体" w:hAnsi="宋体"/>
          <w:bCs/>
          <w:sz w:val="28"/>
          <w:szCs w:val="28"/>
          <w:lang w:val="zh-CN"/>
        </w:rPr>
        <w:t>16.1所有报价均以人民币为货币单位</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16.2所有单价和总价按照开标一览表格式要求填报。</w:t>
      </w:r>
      <w:r>
        <w:rPr>
          <w:rFonts w:ascii="宋体" w:hAnsi="宋体"/>
          <w:bCs/>
          <w:snapToGrid w:val="0"/>
          <w:sz w:val="28"/>
          <w:szCs w:val="28"/>
          <w:lang w:val="zh-CN"/>
        </w:rPr>
        <w:t>报价应当包括货款、标准附件、备品备件、专用工具、包装、安装、调试、培训、保修等费用和税金。</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16.3投标供应商</w:t>
      </w:r>
      <w:r>
        <w:rPr>
          <w:rFonts w:ascii="宋体" w:hAnsi="宋体"/>
          <w:bCs/>
          <w:sz w:val="28"/>
          <w:szCs w:val="28"/>
        </w:rPr>
        <w:t>对同一种物资只允许有</w:t>
      </w:r>
      <w:r>
        <w:rPr>
          <w:rFonts w:hint="eastAsia" w:ascii="宋体" w:hAnsi="宋体"/>
          <w:bCs/>
          <w:sz w:val="28"/>
          <w:szCs w:val="28"/>
        </w:rPr>
        <w:t>唯一</w:t>
      </w:r>
      <w:r>
        <w:rPr>
          <w:rFonts w:ascii="宋体" w:hAnsi="宋体"/>
          <w:bCs/>
          <w:sz w:val="28"/>
          <w:szCs w:val="28"/>
        </w:rPr>
        <w:t>报价，任何有选择的报价或有附加条件的</w:t>
      </w:r>
      <w:r>
        <w:rPr>
          <w:rFonts w:hint="eastAsia" w:ascii="宋体" w:hAnsi="宋体"/>
          <w:bCs/>
          <w:sz w:val="28"/>
          <w:szCs w:val="28"/>
        </w:rPr>
        <w:t>报价，视为无效投标。</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16.4</w:t>
      </w:r>
      <w:r>
        <w:rPr>
          <w:rFonts w:hint="eastAsia" w:ascii="宋体" w:hAnsi="宋体"/>
          <w:bCs/>
          <w:sz w:val="28"/>
          <w:szCs w:val="28"/>
          <w:lang w:val="zh-CN"/>
        </w:rPr>
        <w:t>投标报价的其他要求见【投标供应商须知前附表】。</w:t>
      </w:r>
    </w:p>
    <w:p>
      <w:pPr>
        <w:pStyle w:val="5"/>
        <w:keepNext w:val="0"/>
        <w:keepLines w:val="0"/>
        <w:adjustRightInd w:val="0"/>
        <w:snapToGrid w:val="0"/>
        <w:ind w:firstLine="560" w:firstLineChars="200"/>
        <w:rPr>
          <w:rFonts w:ascii="黑体" w:hAnsi="黑体"/>
          <w:b w:val="0"/>
        </w:rPr>
      </w:pPr>
      <w:bookmarkStart w:id="103" w:name="_Toc10177"/>
      <w:bookmarkStart w:id="104" w:name="_Toc5641"/>
      <w:bookmarkStart w:id="105" w:name="_Toc28896"/>
      <w:bookmarkStart w:id="106" w:name="_Toc9609"/>
      <w:r>
        <w:rPr>
          <w:rFonts w:ascii="黑体" w:hAnsi="黑体"/>
          <w:b w:val="0"/>
        </w:rPr>
        <w:t>17.</w:t>
      </w:r>
      <w:r>
        <w:rPr>
          <w:rFonts w:hint="eastAsia" w:ascii="黑体" w:hAnsi="黑体"/>
          <w:b w:val="0"/>
        </w:rPr>
        <w:t>投标保证金</w:t>
      </w:r>
      <w:bookmarkEnd w:id="103"/>
      <w:bookmarkEnd w:id="104"/>
      <w:bookmarkEnd w:id="105"/>
      <w:bookmarkEnd w:id="106"/>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17.1投标</w:t>
      </w:r>
      <w:r>
        <w:rPr>
          <w:rFonts w:hint="eastAsia" w:ascii="宋体" w:hAnsi="宋体"/>
          <w:bCs/>
          <w:sz w:val="28"/>
          <w:szCs w:val="28"/>
          <w:lang w:val="zh-CN"/>
        </w:rPr>
        <w:t>保证金金额、账号及缴纳截止时间见【投标供应商须知前附表】。</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rPr>
        <w:t>17.2投标</w:t>
      </w:r>
      <w:r>
        <w:rPr>
          <w:rFonts w:ascii="宋体" w:hAnsi="宋体"/>
          <w:bCs/>
          <w:sz w:val="28"/>
          <w:szCs w:val="28"/>
          <w:lang w:val="zh-CN"/>
        </w:rPr>
        <w:t>保证金</w:t>
      </w:r>
      <w:bookmarkStart w:id="107" w:name="_Hlk130371222"/>
      <w:r>
        <w:rPr>
          <w:rFonts w:hint="eastAsia" w:ascii="宋体" w:hAnsi="宋体"/>
          <w:bCs/>
          <w:sz w:val="28"/>
          <w:szCs w:val="28"/>
          <w:lang w:val="zh-CN"/>
        </w:rPr>
        <w:t>应当</w:t>
      </w:r>
      <w:bookmarkEnd w:id="107"/>
      <w:r>
        <w:rPr>
          <w:rFonts w:ascii="宋体" w:hAnsi="宋体"/>
          <w:bCs/>
          <w:sz w:val="28"/>
          <w:szCs w:val="28"/>
          <w:lang w:val="zh-CN"/>
        </w:rPr>
        <w:t>采取非现金方式</w:t>
      </w:r>
      <w:r>
        <w:rPr>
          <w:rFonts w:hint="eastAsia" w:ascii="宋体" w:hAnsi="宋体"/>
          <w:bCs/>
          <w:sz w:val="28"/>
          <w:szCs w:val="28"/>
          <w:lang w:val="zh-CN"/>
        </w:rPr>
        <w:t>缴纳</w:t>
      </w:r>
      <w:bookmarkStart w:id="108" w:name="_Hlk130371231"/>
      <w:r>
        <w:rPr>
          <w:rFonts w:hint="eastAsia" w:ascii="宋体" w:hAnsi="宋体"/>
          <w:bCs/>
          <w:sz w:val="28"/>
          <w:szCs w:val="28"/>
          <w:lang w:val="zh-CN"/>
        </w:rPr>
        <w:t>。采取汇款方式缴纳的，</w:t>
      </w:r>
      <w:bookmarkEnd w:id="108"/>
      <w:r>
        <w:rPr>
          <w:rFonts w:hint="eastAsia" w:ascii="宋体" w:hAnsi="宋体"/>
          <w:bCs/>
          <w:sz w:val="28"/>
          <w:szCs w:val="28"/>
          <w:lang w:val="zh-CN"/>
        </w:rPr>
        <w:t>投标保证金应当从投标供应商的银行账户缴纳且在投标截止时间前到达采购机构账户内，否则</w:t>
      </w:r>
      <w:r>
        <w:rPr>
          <w:rFonts w:hint="eastAsia" w:ascii="宋体" w:hAnsi="宋体"/>
          <w:bCs/>
          <w:sz w:val="28"/>
          <w:szCs w:val="28"/>
        </w:rPr>
        <w:t>视为无效投标</w:t>
      </w:r>
      <w:r>
        <w:rPr>
          <w:rFonts w:hint="eastAsia" w:ascii="宋体" w:hAnsi="宋体"/>
          <w:bCs/>
          <w:sz w:val="28"/>
          <w:szCs w:val="28"/>
          <w:lang w:val="zh-CN"/>
        </w:rPr>
        <w:t>；投标供应商在汇款时应当在备注信息中注明本项目的编号及用途（如“项目编号，投标保证金”），以便采购机构的财务人员查证入账。采取</w:t>
      </w:r>
      <w:r>
        <w:rPr>
          <w:rFonts w:ascii="宋体" w:hAnsi="宋体"/>
          <w:bCs/>
          <w:sz w:val="28"/>
          <w:szCs w:val="28"/>
          <w:lang w:val="zh-CN"/>
        </w:rPr>
        <w:t>银行保函</w:t>
      </w:r>
      <w:r>
        <w:rPr>
          <w:rFonts w:hint="eastAsia" w:ascii="宋体" w:hAnsi="宋体"/>
          <w:bCs/>
          <w:sz w:val="28"/>
          <w:szCs w:val="28"/>
          <w:lang w:val="zh-CN"/>
        </w:rPr>
        <w:t>方式缴纳的，应当提供</w:t>
      </w:r>
      <w:r>
        <w:rPr>
          <w:rFonts w:ascii="宋体" w:hAnsi="宋体"/>
          <w:bCs/>
          <w:sz w:val="28"/>
          <w:szCs w:val="28"/>
          <w:lang w:val="zh-CN"/>
        </w:rPr>
        <w:t>1份银行保函原件，投标时单独</w:t>
      </w:r>
      <w:r>
        <w:rPr>
          <w:rFonts w:hint="eastAsia" w:ascii="宋体" w:hAnsi="宋体"/>
          <w:bCs/>
          <w:sz w:val="28"/>
          <w:szCs w:val="28"/>
          <w:lang w:val="zh-CN"/>
        </w:rPr>
        <w:t>提</w:t>
      </w:r>
      <w:r>
        <w:rPr>
          <w:rFonts w:ascii="宋体" w:hAnsi="宋体"/>
          <w:bCs/>
          <w:sz w:val="28"/>
          <w:szCs w:val="28"/>
          <w:lang w:val="zh-CN"/>
        </w:rPr>
        <w:t>交。</w:t>
      </w:r>
    </w:p>
    <w:p>
      <w:pPr>
        <w:adjustRightInd w:val="0"/>
        <w:snapToGrid w:val="0"/>
        <w:spacing w:line="560" w:lineRule="exact"/>
        <w:ind w:firstLine="560" w:firstLineChars="200"/>
        <w:rPr>
          <w:rFonts w:ascii="宋体" w:hAnsi="宋体"/>
          <w:bCs/>
          <w:sz w:val="28"/>
          <w:szCs w:val="28"/>
        </w:rPr>
      </w:pPr>
      <w:r>
        <w:rPr>
          <w:rFonts w:ascii="宋体" w:hAnsi="宋体"/>
          <w:bCs/>
          <w:sz w:val="28"/>
          <w:szCs w:val="28"/>
          <w:lang w:val="zh-CN"/>
        </w:rPr>
        <w:t>17.3</w:t>
      </w:r>
      <w:r>
        <w:rPr>
          <w:rFonts w:ascii="宋体" w:hAnsi="宋体"/>
          <w:bCs/>
          <w:sz w:val="28"/>
          <w:szCs w:val="28"/>
        </w:rPr>
        <w:t>中标供应商的投标保证金，在签订正式合同后5个工作日内全额无息退还。未中标供应商的投标保证金，将在采购机构发出未中标通知书后5个工作日内全额无息退还。</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17.4有下列情况之一的，投标保证金将不予退还：</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1）开标后投标供应商在投标有效期内撤回其投标文件的；</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2）投标供应商干扰开标</w:t>
      </w:r>
      <w:r>
        <w:rPr>
          <w:rFonts w:hint="eastAsia" w:ascii="宋体" w:hAnsi="宋体"/>
          <w:bCs/>
          <w:sz w:val="28"/>
          <w:szCs w:val="28"/>
        </w:rPr>
        <w:t>或</w:t>
      </w:r>
      <w:r>
        <w:rPr>
          <w:rFonts w:ascii="宋体" w:hAnsi="宋体"/>
          <w:bCs/>
          <w:sz w:val="28"/>
          <w:szCs w:val="28"/>
        </w:rPr>
        <w:t>评标活动，造成严重影响和后果的；</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3）虚假投标</w:t>
      </w:r>
      <w:r>
        <w:rPr>
          <w:rFonts w:hint="eastAsia" w:ascii="宋体" w:hAnsi="宋体"/>
          <w:bCs/>
          <w:sz w:val="28"/>
          <w:szCs w:val="28"/>
        </w:rPr>
        <w:t>或</w:t>
      </w:r>
      <w:r>
        <w:rPr>
          <w:rFonts w:ascii="宋体" w:hAnsi="宋体"/>
          <w:bCs/>
          <w:sz w:val="28"/>
          <w:szCs w:val="28"/>
        </w:rPr>
        <w:t>串通投标的；</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4）中标</w:t>
      </w:r>
      <w:r>
        <w:rPr>
          <w:rFonts w:hint="eastAsia" w:ascii="宋体" w:hAnsi="宋体"/>
          <w:bCs/>
          <w:sz w:val="28"/>
          <w:szCs w:val="28"/>
        </w:rPr>
        <w:t>（预中标）</w:t>
      </w:r>
      <w:r>
        <w:rPr>
          <w:rFonts w:ascii="宋体" w:hAnsi="宋体"/>
          <w:bCs/>
          <w:sz w:val="28"/>
          <w:szCs w:val="28"/>
        </w:rPr>
        <w:t>供应商无正当理由放弃中标的；</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5）</w:t>
      </w:r>
      <w:bookmarkStart w:id="109" w:name="_Hlk130371293"/>
      <w:r>
        <w:rPr>
          <w:rFonts w:hint="eastAsia" w:ascii="宋体" w:hAnsi="宋体"/>
          <w:bCs/>
          <w:sz w:val="28"/>
          <w:szCs w:val="28"/>
        </w:rPr>
        <w:t>中标供应商无正当理由不与采购单位订立合同，在签订合同时向采购单位提出附加条件，或不按照招标文件要求提交履约保证金的</w:t>
      </w:r>
      <w:bookmarkEnd w:id="109"/>
      <w:r>
        <w:rPr>
          <w:rFonts w:hint="eastAsia"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6）其他违反国家和军队法律法规行为的。</w:t>
      </w:r>
      <w:bookmarkStart w:id="110" w:name="_Toc112317770"/>
    </w:p>
    <w:p>
      <w:pPr>
        <w:pStyle w:val="4"/>
        <w:keepNext w:val="0"/>
        <w:keepLines w:val="0"/>
        <w:adjustRightInd w:val="0"/>
        <w:snapToGrid w:val="0"/>
        <w:spacing w:before="120" w:beforeLines="50" w:after="120" w:afterLines="50" w:line="560" w:lineRule="exact"/>
        <w:jc w:val="center"/>
        <w:rPr>
          <w:b w:val="0"/>
        </w:rPr>
      </w:pPr>
      <w:bookmarkStart w:id="111" w:name="_Toc132190599"/>
      <w:bookmarkStart w:id="112" w:name="_Toc21788"/>
      <w:bookmarkStart w:id="113" w:name="_Toc23111"/>
      <w:bookmarkStart w:id="114" w:name="_Toc29835"/>
      <w:bookmarkStart w:id="115" w:name="_Toc9861"/>
      <w:r>
        <w:rPr>
          <w:rFonts w:hint="eastAsia"/>
          <w:b w:val="0"/>
        </w:rPr>
        <w:t>四、投标文件提交</w:t>
      </w:r>
      <w:bookmarkEnd w:id="110"/>
      <w:bookmarkEnd w:id="111"/>
      <w:bookmarkEnd w:id="112"/>
      <w:bookmarkEnd w:id="113"/>
      <w:bookmarkEnd w:id="114"/>
      <w:bookmarkEnd w:id="115"/>
    </w:p>
    <w:p>
      <w:pPr>
        <w:pStyle w:val="5"/>
        <w:keepNext w:val="0"/>
        <w:keepLines w:val="0"/>
        <w:adjustRightInd w:val="0"/>
        <w:snapToGrid w:val="0"/>
        <w:ind w:firstLine="560" w:firstLineChars="200"/>
        <w:rPr>
          <w:rFonts w:ascii="黑体" w:hAnsi="黑体"/>
          <w:b w:val="0"/>
        </w:rPr>
      </w:pPr>
      <w:bookmarkStart w:id="116" w:name="_Toc23560"/>
      <w:bookmarkStart w:id="117" w:name="_Toc11049"/>
      <w:bookmarkStart w:id="118" w:name="_Toc23336"/>
      <w:bookmarkStart w:id="119" w:name="_Toc30431"/>
      <w:r>
        <w:rPr>
          <w:rFonts w:ascii="黑体" w:hAnsi="黑体"/>
          <w:b w:val="0"/>
        </w:rPr>
        <w:t>18.</w:t>
      </w:r>
      <w:r>
        <w:rPr>
          <w:rFonts w:hint="eastAsia" w:ascii="黑体" w:hAnsi="黑体"/>
          <w:b w:val="0"/>
        </w:rPr>
        <w:t>投标文件密封及标记</w:t>
      </w:r>
      <w:bookmarkEnd w:id="116"/>
      <w:bookmarkEnd w:id="117"/>
      <w:bookmarkEnd w:id="118"/>
      <w:bookmarkEnd w:id="119"/>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18.1</w:t>
      </w:r>
      <w:r>
        <w:rPr>
          <w:rFonts w:hint="eastAsia" w:ascii="宋体" w:hAnsi="宋体"/>
          <w:bCs/>
          <w:sz w:val="28"/>
          <w:szCs w:val="28"/>
        </w:rPr>
        <w:t>投标文件中“价格文件”应当与“商务技术文件”和“资格证明文件”分开，单独密封包装，并在封套的封口处加盖投标供应商公章。</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18.2</w:t>
      </w:r>
      <w:r>
        <w:rPr>
          <w:rFonts w:hint="eastAsia" w:ascii="宋体" w:hAnsi="宋体"/>
          <w:bCs/>
          <w:sz w:val="28"/>
          <w:szCs w:val="28"/>
        </w:rPr>
        <w:t>投标文件封套上应当写明</w:t>
      </w:r>
      <w:r>
        <w:rPr>
          <w:rFonts w:ascii="宋体" w:hAnsi="宋体"/>
          <w:bCs/>
          <w:sz w:val="28"/>
          <w:szCs w:val="28"/>
        </w:rPr>
        <w:t>项目名称、项目编号、所投包号、投标供应商名称</w:t>
      </w:r>
      <w:r>
        <w:rPr>
          <w:rFonts w:hint="eastAsia" w:ascii="宋体" w:hAnsi="宋体"/>
          <w:bCs/>
          <w:sz w:val="28"/>
          <w:szCs w:val="28"/>
        </w:rPr>
        <w:t>，以及“价格文件”“商务技术文件”或“资格证明文件”</w:t>
      </w:r>
      <w:r>
        <w:rPr>
          <w:rFonts w:ascii="宋体" w:hAnsi="宋体"/>
          <w:bCs/>
          <w:sz w:val="28"/>
          <w:szCs w:val="28"/>
        </w:rPr>
        <w:t>和“开标时启封”字样。</w:t>
      </w:r>
    </w:p>
    <w:p>
      <w:pPr>
        <w:pStyle w:val="16"/>
        <w:spacing w:after="0" w:line="560" w:lineRule="exact"/>
        <w:ind w:firstLine="560" w:firstLineChars="200"/>
      </w:pPr>
      <w:r>
        <w:rPr>
          <w:rFonts w:ascii="宋体" w:hAnsi="宋体"/>
          <w:bCs/>
          <w:sz w:val="28"/>
          <w:szCs w:val="28"/>
        </w:rPr>
        <w:t>18.3</w:t>
      </w:r>
      <w:r>
        <w:rPr>
          <w:rFonts w:hint="eastAsia" w:ascii="宋体" w:hAnsi="宋体"/>
          <w:bCs/>
          <w:sz w:val="28"/>
          <w:szCs w:val="28"/>
        </w:rPr>
        <w:t>评审方法为质量优先法的，开标一览表分为“开标一览表（不含价格）”和“开标一览表（含价格）”两部分，“开标一览表（不含价格）”应当单独密封包装，在封面注明“开标一览表（不含价格）”字样。其他要求同第</w:t>
      </w:r>
      <w:r>
        <w:rPr>
          <w:rFonts w:ascii="宋体" w:hAnsi="宋体"/>
          <w:bCs/>
          <w:sz w:val="28"/>
          <w:szCs w:val="28"/>
        </w:rPr>
        <w:t>18.1</w:t>
      </w:r>
      <w:r>
        <w:rPr>
          <w:rFonts w:hint="eastAsia" w:ascii="宋体" w:hAnsi="宋体"/>
          <w:bCs/>
          <w:sz w:val="28"/>
          <w:szCs w:val="28"/>
        </w:rPr>
        <w:t>条和第</w:t>
      </w:r>
      <w:r>
        <w:rPr>
          <w:rFonts w:ascii="宋体" w:hAnsi="宋体"/>
          <w:bCs/>
          <w:sz w:val="28"/>
          <w:szCs w:val="28"/>
        </w:rPr>
        <w:t>18.2</w:t>
      </w:r>
      <w:r>
        <w:rPr>
          <w:rFonts w:hint="eastAsia" w:ascii="宋体" w:hAnsi="宋体"/>
          <w:bCs/>
          <w:sz w:val="28"/>
          <w:szCs w:val="28"/>
        </w:rPr>
        <w:t>条。</w:t>
      </w:r>
      <w:r>
        <w:rPr>
          <w:rFonts w:hint="eastAsia" w:ascii="黑体" w:hAnsi="黑体" w:eastAsia="黑体"/>
          <w:bCs/>
          <w:sz w:val="28"/>
          <w:szCs w:val="28"/>
        </w:rPr>
        <w:t>“开标一览表（不含价格）”和“开标一览表（含价格）”，除单价、金额和投标总价外，其他实质性内容应当保持一致，否则视为无效投标。</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18.4投标供应商应当在</w:t>
      </w:r>
      <w:r>
        <w:rPr>
          <w:rFonts w:hint="eastAsia" w:ascii="宋体" w:hAnsi="宋体"/>
          <w:bCs/>
          <w:sz w:val="28"/>
          <w:szCs w:val="28"/>
          <w:lang w:val="zh-CN"/>
        </w:rPr>
        <w:t>【投标供应商须知前附表】</w:t>
      </w:r>
      <w:r>
        <w:rPr>
          <w:rFonts w:hint="eastAsia" w:ascii="宋体" w:hAnsi="宋体"/>
          <w:bCs/>
          <w:sz w:val="28"/>
          <w:szCs w:val="28"/>
        </w:rPr>
        <w:t>明确</w:t>
      </w:r>
      <w:r>
        <w:rPr>
          <w:rFonts w:ascii="宋体" w:hAnsi="宋体"/>
          <w:bCs/>
          <w:sz w:val="28"/>
          <w:szCs w:val="28"/>
        </w:rPr>
        <w:t>的</w:t>
      </w:r>
      <w:r>
        <w:rPr>
          <w:rFonts w:hint="eastAsia" w:ascii="宋体" w:hAnsi="宋体"/>
          <w:bCs/>
          <w:sz w:val="28"/>
          <w:szCs w:val="28"/>
        </w:rPr>
        <w:t>提</w:t>
      </w:r>
      <w:r>
        <w:rPr>
          <w:rFonts w:ascii="宋体" w:hAnsi="宋体"/>
          <w:bCs/>
          <w:sz w:val="28"/>
          <w:szCs w:val="28"/>
        </w:rPr>
        <w:t>交投标文件截止时间前，将投标文件送达采购机构指定地点。</w:t>
      </w:r>
      <w:bookmarkStart w:id="120" w:name="_Hlk112260229"/>
      <w:r>
        <w:rPr>
          <w:rFonts w:ascii="宋体" w:hAnsi="宋体"/>
          <w:bCs/>
          <w:sz w:val="28"/>
          <w:szCs w:val="28"/>
        </w:rPr>
        <w:t>逾期</w:t>
      </w:r>
      <w:r>
        <w:rPr>
          <w:rFonts w:hint="eastAsia" w:ascii="宋体" w:hAnsi="宋体"/>
          <w:bCs/>
          <w:sz w:val="28"/>
          <w:szCs w:val="28"/>
        </w:rPr>
        <w:t>提</w:t>
      </w:r>
      <w:r>
        <w:rPr>
          <w:rFonts w:ascii="宋体" w:hAnsi="宋体"/>
          <w:bCs/>
          <w:sz w:val="28"/>
          <w:szCs w:val="28"/>
        </w:rPr>
        <w:t>交</w:t>
      </w:r>
      <w:r>
        <w:rPr>
          <w:rFonts w:hint="eastAsia" w:ascii="宋体" w:hAnsi="宋体"/>
          <w:bCs/>
          <w:sz w:val="28"/>
          <w:szCs w:val="28"/>
        </w:rPr>
        <w:t>的投标文件</w:t>
      </w:r>
      <w:r>
        <w:rPr>
          <w:rFonts w:ascii="宋体" w:hAnsi="宋体"/>
          <w:bCs/>
          <w:sz w:val="28"/>
          <w:szCs w:val="28"/>
        </w:rPr>
        <w:t>，采购机构将拒收</w:t>
      </w:r>
      <w:bookmarkEnd w:id="120"/>
      <w:r>
        <w:rPr>
          <w:rFonts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18.5电报、电话、电传、邮寄等形式的投标文件概不</w:t>
      </w:r>
      <w:r>
        <w:rPr>
          <w:rFonts w:hint="eastAsia" w:ascii="宋体" w:hAnsi="宋体"/>
          <w:bCs/>
          <w:sz w:val="28"/>
          <w:szCs w:val="28"/>
        </w:rPr>
        <w:t>接收</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18.6</w:t>
      </w:r>
      <w:r>
        <w:rPr>
          <w:rFonts w:ascii="宋体" w:hAnsi="宋体"/>
          <w:b/>
          <w:bCs w:val="0"/>
          <w:color w:val="FF0000"/>
          <w:sz w:val="28"/>
          <w:szCs w:val="28"/>
          <w:highlight w:val="none"/>
        </w:rPr>
        <w:t>投标文件未按要求密封、标记的，采购机构将拒收。</w:t>
      </w:r>
    </w:p>
    <w:p>
      <w:pPr>
        <w:pStyle w:val="5"/>
        <w:keepNext w:val="0"/>
        <w:keepLines w:val="0"/>
        <w:adjustRightInd w:val="0"/>
        <w:snapToGrid w:val="0"/>
        <w:ind w:firstLine="560" w:firstLineChars="200"/>
        <w:rPr>
          <w:rFonts w:ascii="黑体" w:hAnsi="黑体"/>
          <w:b w:val="0"/>
        </w:rPr>
      </w:pPr>
      <w:bookmarkStart w:id="121" w:name="_Toc8208"/>
      <w:bookmarkStart w:id="122" w:name="_Toc27185"/>
      <w:bookmarkStart w:id="123" w:name="_Toc12761"/>
      <w:bookmarkStart w:id="124" w:name="_Toc16058"/>
      <w:r>
        <w:rPr>
          <w:rFonts w:ascii="黑体" w:hAnsi="黑体"/>
          <w:b w:val="0"/>
        </w:rPr>
        <w:t>19.</w:t>
      </w:r>
      <w:r>
        <w:rPr>
          <w:rFonts w:hint="eastAsia" w:ascii="黑体" w:hAnsi="黑体"/>
          <w:b w:val="0"/>
        </w:rPr>
        <w:t>投标文件的修改和撤回</w:t>
      </w:r>
      <w:bookmarkEnd w:id="121"/>
      <w:bookmarkEnd w:id="122"/>
      <w:bookmarkEnd w:id="123"/>
      <w:bookmarkEnd w:id="124"/>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19.1投标供应商在投标截止时间前，可以对提交的投标文件进行补充、修改或撤回</w:t>
      </w:r>
      <w:r>
        <w:rPr>
          <w:rFonts w:hint="eastAsia" w:ascii="宋体" w:hAnsi="宋体"/>
          <w:bCs/>
          <w:sz w:val="28"/>
          <w:szCs w:val="28"/>
          <w:lang w:val="zh-CN"/>
        </w:rPr>
        <w:t>，</w:t>
      </w:r>
      <w:r>
        <w:rPr>
          <w:rFonts w:ascii="宋体" w:hAnsi="宋体"/>
          <w:bCs/>
          <w:sz w:val="28"/>
          <w:szCs w:val="28"/>
          <w:lang w:val="zh-CN"/>
        </w:rPr>
        <w:t>补充</w:t>
      </w:r>
      <w:r>
        <w:rPr>
          <w:rFonts w:hint="eastAsia" w:ascii="宋体" w:hAnsi="宋体"/>
          <w:bCs/>
          <w:sz w:val="28"/>
          <w:szCs w:val="28"/>
          <w:lang w:val="zh-CN"/>
        </w:rPr>
        <w:t>或</w:t>
      </w:r>
      <w:r>
        <w:rPr>
          <w:rFonts w:ascii="宋体" w:hAnsi="宋体"/>
          <w:bCs/>
          <w:sz w:val="28"/>
          <w:szCs w:val="28"/>
          <w:lang w:val="zh-CN"/>
        </w:rPr>
        <w:t>修改的内容应当以书面形式</w:t>
      </w:r>
      <w:r>
        <w:rPr>
          <w:rFonts w:hint="eastAsia" w:ascii="宋体" w:hAnsi="宋体"/>
          <w:bCs/>
          <w:sz w:val="28"/>
          <w:szCs w:val="28"/>
          <w:lang w:val="zh-CN"/>
        </w:rPr>
        <w:t>提交</w:t>
      </w:r>
      <w:r>
        <w:rPr>
          <w:rFonts w:ascii="宋体" w:hAnsi="宋体"/>
          <w:bCs/>
          <w:sz w:val="28"/>
          <w:szCs w:val="28"/>
          <w:lang w:val="zh-CN"/>
        </w:rPr>
        <w:t>采购机构，并按照招标文件要求签字盖章，作为投标文件的组成部分。</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19.2</w:t>
      </w:r>
      <w:r>
        <w:rPr>
          <w:rFonts w:hint="eastAsia" w:ascii="宋体" w:hAnsi="宋体"/>
          <w:bCs/>
          <w:sz w:val="28"/>
          <w:szCs w:val="28"/>
        </w:rPr>
        <w:t>投标截止时间后，</w:t>
      </w:r>
      <w:r>
        <w:rPr>
          <w:rFonts w:ascii="宋体" w:hAnsi="宋体"/>
          <w:bCs/>
          <w:sz w:val="28"/>
          <w:szCs w:val="28"/>
          <w:lang w:val="zh-CN"/>
        </w:rPr>
        <w:t>采购机构不接受对投标文件内容的实质性修改</w:t>
      </w:r>
      <w:r>
        <w:rPr>
          <w:rFonts w:hint="eastAsia" w:ascii="宋体" w:hAnsi="宋体"/>
          <w:bCs/>
          <w:sz w:val="28"/>
          <w:szCs w:val="28"/>
          <w:lang w:val="zh-CN"/>
        </w:rPr>
        <w:t>。</w:t>
      </w:r>
    </w:p>
    <w:p>
      <w:pPr>
        <w:adjustRightInd w:val="0"/>
        <w:snapToGrid w:val="0"/>
        <w:spacing w:line="560" w:lineRule="exact"/>
        <w:ind w:firstLine="560" w:firstLineChars="200"/>
        <w:rPr>
          <w:rFonts w:ascii="宋体" w:hAnsi="宋体"/>
          <w:bCs/>
          <w:sz w:val="28"/>
          <w:szCs w:val="28"/>
        </w:rPr>
      </w:pPr>
      <w:r>
        <w:rPr>
          <w:rFonts w:ascii="宋体" w:hAnsi="宋体"/>
          <w:bCs/>
          <w:sz w:val="28"/>
          <w:szCs w:val="28"/>
          <w:lang w:val="zh-CN"/>
        </w:rPr>
        <w:t>19.3投标供应商修改投标文件的书面材料，</w:t>
      </w:r>
      <w:r>
        <w:rPr>
          <w:rFonts w:hint="eastAsia" w:ascii="宋体" w:hAnsi="宋体"/>
          <w:bCs/>
          <w:sz w:val="28"/>
          <w:szCs w:val="28"/>
        </w:rPr>
        <w:t>应当</w:t>
      </w:r>
      <w:r>
        <w:rPr>
          <w:rFonts w:ascii="宋体" w:hAnsi="宋体"/>
          <w:bCs/>
          <w:sz w:val="28"/>
          <w:szCs w:val="28"/>
        </w:rPr>
        <w:t>密封送达投标地点，并在封面上标明项目名称、项目编号、投标供应商名称和“投标修改文件</w:t>
      </w:r>
      <w:r>
        <w:rPr>
          <w:rFonts w:hint="eastAsia" w:ascii="宋体" w:hAnsi="宋体"/>
          <w:bCs/>
          <w:sz w:val="28"/>
          <w:szCs w:val="28"/>
        </w:rPr>
        <w:t>”</w:t>
      </w:r>
      <w:r>
        <w:rPr>
          <w:rFonts w:ascii="宋体" w:hAnsi="宋体"/>
          <w:bCs/>
          <w:sz w:val="28"/>
          <w:szCs w:val="28"/>
        </w:rPr>
        <w:t>“开标时启封”字样。</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19.4投标供应商撤回投标应当以书面形式通知采购机构。采取电报或传真形式撤回投标的，</w:t>
      </w:r>
      <w:r>
        <w:rPr>
          <w:rFonts w:hint="eastAsia" w:ascii="宋体" w:hAnsi="宋体"/>
          <w:bCs/>
          <w:sz w:val="28"/>
          <w:szCs w:val="28"/>
        </w:rPr>
        <w:t>应当</w:t>
      </w:r>
      <w:r>
        <w:rPr>
          <w:rFonts w:ascii="宋体" w:hAnsi="宋体"/>
          <w:bCs/>
          <w:sz w:val="28"/>
          <w:szCs w:val="28"/>
        </w:rPr>
        <w:t>补充法定代表人或授权代表签字的撤回投标的正式文件。撤回投标的时间以投标供应商的书面撤回通知送达采购机构时间为准。</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19.5开标后，投标供应商不得撤回投标，否则投标保证金不予退还。</w:t>
      </w:r>
      <w:bookmarkStart w:id="125" w:name="_Toc112317771"/>
    </w:p>
    <w:p>
      <w:pPr>
        <w:pStyle w:val="4"/>
        <w:keepNext w:val="0"/>
        <w:keepLines w:val="0"/>
        <w:adjustRightInd w:val="0"/>
        <w:snapToGrid w:val="0"/>
        <w:spacing w:before="120" w:beforeLines="50" w:after="120" w:afterLines="50" w:line="560" w:lineRule="exact"/>
        <w:jc w:val="center"/>
        <w:rPr>
          <w:b w:val="0"/>
        </w:rPr>
      </w:pPr>
      <w:bookmarkStart w:id="126" w:name="_Toc14016"/>
      <w:bookmarkStart w:id="127" w:name="_Toc757"/>
      <w:bookmarkStart w:id="128" w:name="_Toc15835"/>
      <w:bookmarkStart w:id="129" w:name="_Toc19755"/>
      <w:bookmarkStart w:id="130" w:name="_Toc132190600"/>
      <w:r>
        <w:rPr>
          <w:rFonts w:hint="eastAsia"/>
          <w:b w:val="0"/>
        </w:rPr>
        <w:t>五、开标与评标</w:t>
      </w:r>
      <w:bookmarkEnd w:id="125"/>
      <w:bookmarkEnd w:id="126"/>
      <w:bookmarkEnd w:id="127"/>
      <w:bookmarkEnd w:id="128"/>
      <w:bookmarkEnd w:id="129"/>
      <w:bookmarkEnd w:id="130"/>
    </w:p>
    <w:p>
      <w:pPr>
        <w:pStyle w:val="5"/>
        <w:keepNext w:val="0"/>
        <w:keepLines w:val="0"/>
        <w:adjustRightInd w:val="0"/>
        <w:snapToGrid w:val="0"/>
        <w:ind w:firstLine="560" w:firstLineChars="200"/>
        <w:rPr>
          <w:rFonts w:ascii="黑体" w:hAnsi="黑体"/>
          <w:b w:val="0"/>
        </w:rPr>
      </w:pPr>
      <w:bookmarkStart w:id="131" w:name="_Toc6783"/>
      <w:bookmarkStart w:id="132" w:name="_Toc14656"/>
      <w:bookmarkStart w:id="133" w:name="_Toc28475"/>
      <w:bookmarkStart w:id="134" w:name="_Toc20058"/>
      <w:r>
        <w:rPr>
          <w:rFonts w:ascii="黑体" w:hAnsi="黑体"/>
          <w:b w:val="0"/>
        </w:rPr>
        <w:t>20.</w:t>
      </w:r>
      <w:r>
        <w:rPr>
          <w:rFonts w:hint="eastAsia" w:ascii="黑体" w:hAnsi="黑体"/>
          <w:b w:val="0"/>
        </w:rPr>
        <w:t>开标</w:t>
      </w:r>
      <w:bookmarkEnd w:id="131"/>
      <w:bookmarkEnd w:id="132"/>
      <w:bookmarkEnd w:id="133"/>
      <w:bookmarkEnd w:id="134"/>
    </w:p>
    <w:p>
      <w:pPr>
        <w:tabs>
          <w:tab w:val="left" w:pos="1020"/>
        </w:tabs>
        <w:adjustRightInd w:val="0"/>
        <w:snapToGrid w:val="0"/>
        <w:spacing w:line="560" w:lineRule="exact"/>
        <w:ind w:firstLine="560" w:firstLineChars="200"/>
        <w:rPr>
          <w:rFonts w:ascii="宋体" w:hAnsi="宋体"/>
          <w:bCs/>
          <w:sz w:val="28"/>
          <w:szCs w:val="28"/>
        </w:rPr>
      </w:pPr>
      <w:r>
        <w:rPr>
          <w:rFonts w:ascii="宋体" w:hAnsi="宋体"/>
          <w:bCs/>
          <w:sz w:val="28"/>
          <w:szCs w:val="28"/>
        </w:rPr>
        <w:t>20.1</w:t>
      </w:r>
      <w:r>
        <w:rPr>
          <w:rFonts w:hint="eastAsia" w:ascii="宋体" w:hAnsi="宋体"/>
          <w:bCs/>
          <w:sz w:val="28"/>
          <w:szCs w:val="28"/>
        </w:rPr>
        <w:t>成功提交投标文件的投标供应商不足3家的，一般不得组织开标，满足第</w:t>
      </w:r>
      <w:r>
        <w:rPr>
          <w:rFonts w:ascii="宋体" w:hAnsi="宋体"/>
          <w:bCs/>
          <w:sz w:val="28"/>
          <w:szCs w:val="28"/>
        </w:rPr>
        <w:t>20.4</w:t>
      </w:r>
      <w:r>
        <w:rPr>
          <w:rFonts w:hint="eastAsia" w:ascii="宋体" w:hAnsi="宋体"/>
          <w:bCs/>
          <w:sz w:val="28"/>
          <w:szCs w:val="28"/>
        </w:rPr>
        <w:t>条情形的除外。</w:t>
      </w:r>
      <w:r>
        <w:rPr>
          <w:rFonts w:ascii="宋体" w:hAnsi="宋体"/>
          <w:bCs/>
          <w:sz w:val="28"/>
          <w:szCs w:val="28"/>
        </w:rPr>
        <w:t>采购机构按</w:t>
      </w:r>
      <w:r>
        <w:rPr>
          <w:rFonts w:hint="eastAsia" w:ascii="宋体" w:hAnsi="宋体"/>
          <w:bCs/>
          <w:sz w:val="28"/>
          <w:szCs w:val="28"/>
          <w:lang w:val="zh-CN"/>
        </w:rPr>
        <w:t>【投标供应商须知前附表】</w:t>
      </w:r>
      <w:r>
        <w:rPr>
          <w:rFonts w:hint="eastAsia" w:ascii="宋体" w:hAnsi="宋体"/>
          <w:bCs/>
          <w:sz w:val="28"/>
          <w:szCs w:val="28"/>
        </w:rPr>
        <w:t>明确</w:t>
      </w:r>
      <w:r>
        <w:rPr>
          <w:rFonts w:ascii="宋体" w:hAnsi="宋体"/>
          <w:bCs/>
          <w:sz w:val="28"/>
          <w:szCs w:val="28"/>
        </w:rPr>
        <w:t>的时间、地点</w:t>
      </w:r>
      <w:r>
        <w:rPr>
          <w:rFonts w:hint="eastAsia" w:ascii="宋体" w:hAnsi="宋体"/>
          <w:bCs/>
          <w:sz w:val="28"/>
          <w:szCs w:val="28"/>
        </w:rPr>
        <w:t>组织</w:t>
      </w:r>
      <w:r>
        <w:rPr>
          <w:rFonts w:ascii="宋体" w:hAnsi="宋体"/>
          <w:bCs/>
          <w:sz w:val="28"/>
          <w:szCs w:val="28"/>
        </w:rPr>
        <w:t>开标</w:t>
      </w:r>
      <w:r>
        <w:rPr>
          <w:rFonts w:hint="eastAsia" w:ascii="宋体" w:hAnsi="宋体"/>
          <w:bCs/>
          <w:sz w:val="28"/>
          <w:szCs w:val="28"/>
        </w:rPr>
        <w:t>，</w:t>
      </w:r>
      <w:r>
        <w:rPr>
          <w:rFonts w:ascii="宋体" w:hAnsi="宋体"/>
          <w:bCs/>
          <w:sz w:val="28"/>
          <w:szCs w:val="28"/>
        </w:rPr>
        <w:t>投标供应商和有关方面代表参加。</w:t>
      </w:r>
      <w:r>
        <w:rPr>
          <w:rFonts w:hint="eastAsia" w:ascii="宋体" w:hAnsi="宋体"/>
          <w:bCs/>
          <w:sz w:val="28"/>
          <w:szCs w:val="28"/>
        </w:rPr>
        <w:t>评审委员会</w:t>
      </w:r>
      <w:r>
        <w:rPr>
          <w:rFonts w:ascii="宋体" w:hAnsi="宋体"/>
          <w:bCs/>
          <w:sz w:val="28"/>
          <w:szCs w:val="28"/>
        </w:rPr>
        <w:t>成员不得参加开标大会。</w:t>
      </w:r>
    </w:p>
    <w:p>
      <w:pPr>
        <w:tabs>
          <w:tab w:val="left" w:pos="1020"/>
        </w:tabs>
        <w:adjustRightInd w:val="0"/>
        <w:snapToGrid w:val="0"/>
        <w:spacing w:line="560" w:lineRule="exact"/>
        <w:ind w:firstLine="560" w:firstLineChars="200"/>
        <w:rPr>
          <w:rFonts w:ascii="宋体" w:hAnsi="宋体"/>
          <w:bCs/>
          <w:sz w:val="28"/>
          <w:szCs w:val="28"/>
        </w:rPr>
      </w:pPr>
      <w:r>
        <w:rPr>
          <w:rFonts w:ascii="宋体" w:hAnsi="宋体"/>
          <w:bCs/>
          <w:sz w:val="28"/>
          <w:szCs w:val="28"/>
        </w:rPr>
        <w:t>20.2</w:t>
      </w:r>
      <w:r>
        <w:rPr>
          <w:rFonts w:hint="eastAsia" w:ascii="宋体" w:hAnsi="宋体"/>
          <w:bCs/>
          <w:sz w:val="28"/>
          <w:szCs w:val="28"/>
        </w:rPr>
        <w:t>开标时，由投标供应商或其推选的代表检查所有投标文件的密封情况并当场公布检查结果。经确认无误后，当众</w:t>
      </w:r>
      <w:bookmarkStart w:id="135" w:name="_Hlk112507062"/>
      <w:r>
        <w:rPr>
          <w:rFonts w:hint="eastAsia" w:ascii="宋体" w:hAnsi="宋体"/>
          <w:bCs/>
          <w:sz w:val="28"/>
          <w:szCs w:val="28"/>
        </w:rPr>
        <w:t>拆封</w:t>
      </w:r>
      <w:bookmarkEnd w:id="135"/>
      <w:r>
        <w:rPr>
          <w:rFonts w:hint="eastAsia" w:ascii="宋体" w:hAnsi="宋体"/>
          <w:bCs/>
          <w:sz w:val="28"/>
          <w:szCs w:val="28"/>
        </w:rPr>
        <w:t>投标文件，宣读价格文件中“开标一览表”的全部内容，开标未宣读的投标报价信息无效。</w:t>
      </w:r>
    </w:p>
    <w:p>
      <w:pPr>
        <w:tabs>
          <w:tab w:val="left" w:pos="1020"/>
        </w:tabs>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采用质量优先法评审的，第一次开标：当众拆封“开标一览表（不含价格）”，宣读公布投标供应商名称、投标包号（包名称）、主要产品规格型号等内容，“价格文件”不予拆封。第二次开标：在商务、技术评审后，现场宣布商务、技术得分和技术排名，公布技术得分达到招标</w:t>
      </w:r>
      <w:r>
        <w:rPr>
          <w:rFonts w:hint="eastAsia" w:ascii="宋体" w:hAnsi="宋体"/>
          <w:bCs/>
          <w:sz w:val="28"/>
          <w:szCs w:val="28"/>
          <w:lang w:val="zh-CN"/>
        </w:rPr>
        <w:t>文件中</w:t>
      </w:r>
      <w:r>
        <w:rPr>
          <w:rFonts w:hint="eastAsia" w:ascii="宋体" w:hAnsi="宋体"/>
          <w:bCs/>
          <w:sz w:val="28"/>
          <w:szCs w:val="28"/>
        </w:rPr>
        <w:t>规定的合格分或规定名次的投标供应商，并对其“开标一览表（含价格）”进行开标，公布投标报价。</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20.3投标供应商对开标过程有异议的，应当在开标</w:t>
      </w:r>
      <w:r>
        <w:rPr>
          <w:rFonts w:hint="eastAsia" w:ascii="宋体" w:hAnsi="宋体"/>
          <w:bCs/>
          <w:sz w:val="28"/>
          <w:szCs w:val="28"/>
        </w:rPr>
        <w:t>现场提出，采购机构当场答复。采购机构同时作开标记录，并打印《开标记录表》发放给所有投标供应商代表进行核对，核对无误后所有投标供应商代表签字确认。《开标记录表》未经法定代表人或授权代表签字的，该投标供应商投标视为无效投标，因特殊原因未允许进入开标现场的除外。</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20.4</w:t>
      </w:r>
      <w:r>
        <w:rPr>
          <w:rFonts w:hint="eastAsia" w:ascii="宋体" w:hAnsi="宋体"/>
          <w:bCs/>
          <w:sz w:val="28"/>
          <w:szCs w:val="28"/>
        </w:rPr>
        <w:t>投标供应商或通过资格性、符合性审查的投标供应商只有</w:t>
      </w:r>
      <w:r>
        <w:rPr>
          <w:rFonts w:ascii="宋体" w:hAnsi="宋体"/>
          <w:bCs/>
          <w:sz w:val="28"/>
          <w:szCs w:val="28"/>
        </w:rPr>
        <w:t>2家且预算金额在500万元以下项目，或重新组织</w:t>
      </w:r>
      <w:r>
        <w:rPr>
          <w:rFonts w:hint="eastAsia" w:ascii="宋体" w:hAnsi="宋体"/>
          <w:bCs/>
          <w:sz w:val="28"/>
          <w:szCs w:val="28"/>
        </w:rPr>
        <w:t>采购仍只有</w:t>
      </w:r>
      <w:r>
        <w:rPr>
          <w:rFonts w:ascii="宋体" w:hAnsi="宋体"/>
          <w:bCs/>
          <w:sz w:val="28"/>
          <w:szCs w:val="28"/>
        </w:rPr>
        <w:t>2家投标供应商响应的项目，采购机构应当组织评审委员会</w:t>
      </w:r>
      <w:r>
        <w:rPr>
          <w:rFonts w:hint="eastAsia" w:ascii="宋体" w:hAnsi="宋体"/>
          <w:bCs/>
          <w:sz w:val="28"/>
          <w:szCs w:val="28"/>
        </w:rPr>
        <w:t>成员</w:t>
      </w:r>
      <w:r>
        <w:rPr>
          <w:rFonts w:ascii="宋体" w:hAnsi="宋体"/>
          <w:bCs/>
          <w:sz w:val="28"/>
          <w:szCs w:val="28"/>
        </w:rPr>
        <w:t>对招标文件进行论证，并根据论证情况按照以下方式处理：</w:t>
      </w:r>
    </w:p>
    <w:p>
      <w:pPr>
        <w:adjustRightInd w:val="0"/>
        <w:snapToGrid w:val="0"/>
        <w:spacing w:line="560" w:lineRule="exact"/>
        <w:ind w:firstLine="560" w:firstLineChars="200"/>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评审委员会认为</w:t>
      </w:r>
      <w:r>
        <w:rPr>
          <w:rFonts w:ascii="宋体" w:hAnsi="宋体"/>
          <w:bCs/>
          <w:sz w:val="28"/>
          <w:szCs w:val="28"/>
        </w:rPr>
        <w:t>招标文件</w:t>
      </w:r>
      <w:r>
        <w:rPr>
          <w:rFonts w:hint="eastAsia" w:ascii="宋体" w:hAnsi="宋体"/>
          <w:bCs/>
          <w:sz w:val="28"/>
          <w:szCs w:val="28"/>
        </w:rPr>
        <w:t>无倾向性或排他性条款，供应商选择程序合规的</w:t>
      </w:r>
      <w:r>
        <w:rPr>
          <w:rFonts w:ascii="宋体" w:hAnsi="宋体"/>
          <w:bCs/>
          <w:sz w:val="28"/>
          <w:szCs w:val="28"/>
        </w:rPr>
        <w:t>，采购机构可以重新招标</w:t>
      </w:r>
      <w:r>
        <w:rPr>
          <w:rFonts w:hint="eastAsia" w:ascii="宋体" w:hAnsi="宋体"/>
          <w:bCs/>
          <w:sz w:val="28"/>
          <w:szCs w:val="28"/>
        </w:rPr>
        <w:t>，也可以由采购机构报上级采购管理部门批准，并经采购单位同意后，</w:t>
      </w:r>
      <w:r>
        <w:rPr>
          <w:rFonts w:ascii="宋体" w:hAnsi="宋体"/>
          <w:bCs/>
          <w:sz w:val="28"/>
          <w:szCs w:val="28"/>
        </w:rPr>
        <w:t>在不变更投标供应商资格条件和采购需求的前提下与这两家供应商进行竞争性谈判。</w:t>
      </w:r>
      <w:r>
        <w:rPr>
          <w:rFonts w:hint="eastAsia" w:ascii="宋体" w:hAnsi="宋体"/>
          <w:bCs/>
          <w:sz w:val="28"/>
          <w:szCs w:val="28"/>
        </w:rPr>
        <w:t>采购机构应当在评审报告中注明采购方式变更及后续评审情况。</w:t>
      </w:r>
      <w:r>
        <w:rPr>
          <w:rFonts w:hint="eastAsia" w:asciiTheme="minorEastAsia" w:hAnsiTheme="minorEastAsia" w:eastAsiaTheme="minorEastAsia"/>
          <w:bCs/>
          <w:sz w:val="28"/>
          <w:szCs w:val="28"/>
        </w:rPr>
        <w:t>评审委员会或采购机构认为存在价格虚高风险的，可以提出审价方式定价结算。</w:t>
      </w:r>
    </w:p>
    <w:p>
      <w:pPr>
        <w:adjustRightInd w:val="0"/>
        <w:snapToGrid w:val="0"/>
        <w:spacing w:line="560" w:lineRule="exact"/>
        <w:ind w:firstLine="560" w:firstLineChars="200"/>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评审委员会认为</w:t>
      </w:r>
      <w:r>
        <w:rPr>
          <w:rFonts w:ascii="宋体" w:hAnsi="宋体"/>
          <w:bCs/>
          <w:sz w:val="28"/>
          <w:szCs w:val="28"/>
        </w:rPr>
        <w:t>招标文件存在不合理条款或招标程序不符合规定的，采购机构改正后依法重新招标</w:t>
      </w:r>
      <w:r>
        <w:rPr>
          <w:rFonts w:hint="eastAsia" w:ascii="宋体" w:hAnsi="宋体"/>
          <w:bCs/>
          <w:sz w:val="28"/>
          <w:szCs w:val="28"/>
        </w:rPr>
        <w:t>。</w:t>
      </w:r>
    </w:p>
    <w:p>
      <w:pPr>
        <w:pStyle w:val="5"/>
        <w:keepNext w:val="0"/>
        <w:keepLines w:val="0"/>
        <w:adjustRightInd w:val="0"/>
        <w:snapToGrid w:val="0"/>
        <w:ind w:firstLine="560" w:firstLineChars="200"/>
        <w:rPr>
          <w:rFonts w:ascii="黑体" w:hAnsi="黑体"/>
          <w:b w:val="0"/>
        </w:rPr>
      </w:pPr>
      <w:bookmarkStart w:id="136" w:name="_Toc32061"/>
      <w:bookmarkStart w:id="137" w:name="_Toc30106"/>
      <w:bookmarkStart w:id="138" w:name="_Toc12233"/>
      <w:bookmarkStart w:id="139" w:name="_Toc26244"/>
      <w:r>
        <w:rPr>
          <w:rFonts w:ascii="黑体" w:hAnsi="黑体"/>
          <w:b w:val="0"/>
        </w:rPr>
        <w:t>21.</w:t>
      </w:r>
      <w:r>
        <w:rPr>
          <w:rFonts w:hint="eastAsia" w:ascii="黑体" w:hAnsi="黑体"/>
          <w:b w:val="0"/>
        </w:rPr>
        <w:t>评审原则与方法</w:t>
      </w:r>
      <w:bookmarkEnd w:id="136"/>
      <w:bookmarkEnd w:id="137"/>
      <w:bookmarkEnd w:id="138"/>
      <w:bookmarkEnd w:id="139"/>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21.1评审原则</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1）评审活动遵循公平、公正、科学和择优的原则</w:t>
      </w:r>
      <w:r>
        <w:rPr>
          <w:rFonts w:hint="eastAsia" w:ascii="宋体" w:hAnsi="宋体"/>
          <w:bCs/>
          <w:sz w:val="28"/>
          <w:szCs w:val="28"/>
        </w:rPr>
        <w:t>。</w:t>
      </w:r>
    </w:p>
    <w:p>
      <w:pPr>
        <w:adjustRightInd w:val="0"/>
        <w:snapToGrid w:val="0"/>
        <w:spacing w:line="560" w:lineRule="exact"/>
        <w:ind w:firstLine="560" w:firstLineChars="200"/>
        <w:rPr>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）严格依据招标文件规定的评审方法、程序和标准评审。不得以投票表决等形式修改招标文件规定的评审方法、</w:t>
      </w:r>
      <w:r>
        <w:rPr>
          <w:rFonts w:hint="eastAsia"/>
          <w:bCs/>
          <w:sz w:val="28"/>
          <w:szCs w:val="28"/>
        </w:rPr>
        <w:t>程序</w:t>
      </w:r>
      <w:r>
        <w:rPr>
          <w:rFonts w:hint="eastAsia" w:ascii="宋体" w:hAnsi="宋体"/>
          <w:bCs/>
          <w:sz w:val="28"/>
          <w:szCs w:val="28"/>
        </w:rPr>
        <w:t>和标准；招标文件</w:t>
      </w:r>
      <w:r>
        <w:rPr>
          <w:rFonts w:hint="eastAsia"/>
          <w:bCs/>
          <w:sz w:val="28"/>
          <w:szCs w:val="28"/>
        </w:rPr>
        <w:t>没有规定的评审方法、程序和标准，不得作为</w:t>
      </w:r>
      <w:r>
        <w:rPr>
          <w:rFonts w:hint="eastAsia" w:ascii="宋体" w:hAnsi="宋体"/>
          <w:bCs/>
          <w:sz w:val="28"/>
          <w:szCs w:val="28"/>
        </w:rPr>
        <w:t>评审</w:t>
      </w:r>
      <w:r>
        <w:rPr>
          <w:rFonts w:hint="eastAsia"/>
          <w:bCs/>
          <w:sz w:val="28"/>
          <w:szCs w:val="28"/>
        </w:rPr>
        <w:t>依据。</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（3）</w:t>
      </w:r>
      <w:r>
        <w:rPr>
          <w:rFonts w:ascii="宋体" w:hAnsi="宋体"/>
          <w:bCs/>
          <w:sz w:val="28"/>
          <w:szCs w:val="28"/>
        </w:rPr>
        <w:t>对所有投标</w:t>
      </w:r>
      <w:r>
        <w:rPr>
          <w:rFonts w:hint="eastAsia" w:ascii="宋体" w:hAnsi="宋体"/>
          <w:bCs/>
          <w:sz w:val="28"/>
          <w:szCs w:val="28"/>
        </w:rPr>
        <w:t>文件的评审依据和评审尺度保持一致。</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4）</w:t>
      </w:r>
      <w:r>
        <w:rPr>
          <w:rFonts w:hint="eastAsia" w:ascii="宋体" w:hAnsi="宋体"/>
          <w:bCs/>
          <w:sz w:val="28"/>
          <w:szCs w:val="28"/>
        </w:rPr>
        <w:t>对</w:t>
      </w:r>
      <w:r>
        <w:rPr>
          <w:rFonts w:ascii="宋体" w:hAnsi="宋体"/>
          <w:bCs/>
          <w:sz w:val="28"/>
          <w:szCs w:val="28"/>
        </w:rPr>
        <w:t>招标文件和投标文件</w:t>
      </w:r>
      <w:r>
        <w:rPr>
          <w:rFonts w:hint="eastAsia" w:ascii="宋体" w:hAnsi="宋体"/>
          <w:bCs/>
          <w:sz w:val="28"/>
          <w:szCs w:val="28"/>
        </w:rPr>
        <w:t>的</w:t>
      </w:r>
      <w:r>
        <w:rPr>
          <w:rFonts w:ascii="宋体" w:hAnsi="宋体"/>
          <w:bCs/>
          <w:sz w:val="28"/>
          <w:szCs w:val="28"/>
        </w:rPr>
        <w:t>解释澄清，在不改变文件原义的前提下，应当以有利于投标供应商为原则。</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21.2评审方法</w:t>
      </w:r>
    </w:p>
    <w:p>
      <w:pPr>
        <w:adjustRightInd w:val="0"/>
        <w:snapToGrid w:val="0"/>
        <w:spacing w:line="560" w:lineRule="exact"/>
        <w:ind w:firstLine="560" w:firstLineChars="200"/>
        <w:rPr>
          <w:rFonts w:ascii="宋体" w:hAnsi="宋体"/>
          <w:bCs/>
          <w:sz w:val="28"/>
          <w:szCs w:val="28"/>
        </w:rPr>
      </w:pPr>
      <w:r>
        <w:rPr>
          <w:rFonts w:hint="eastAsia" w:asciiTheme="minorEastAsia" w:hAnsiTheme="minorEastAsia" w:eastAsiaTheme="minorEastAsia"/>
          <w:bCs/>
          <w:sz w:val="28"/>
          <w:szCs w:val="28"/>
        </w:rPr>
        <w:t>采购机构在【投标供应商须知前附表】中明确采用下列一种评审方法：</w:t>
      </w:r>
    </w:p>
    <w:p>
      <w:pPr>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综合评分法，是指投标文件满足招标文件资格性和符合性要求，将按照评审标准综合评审得分最高的投标供应商，作为预中标供应商的评审方法。采用百分制评分。</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质量优先法，是指先不考虑价格因素，对投标文件满足招标文件资格性和符合性要求的供应商，按照商务、技术评审标准进行评审，淘汰技术评审得分排名靠后的供应商，再按照价格评审标准进行评审，综合评定中标供应商的评审方法。</w:t>
      </w:r>
    </w:p>
    <w:p>
      <w:pPr>
        <w:spacing w:line="560" w:lineRule="exact"/>
        <w:ind w:firstLine="560" w:firstLineChars="200"/>
      </w:pPr>
      <w:r>
        <w:rPr>
          <w:rFonts w:hint="eastAsia" w:ascii="宋体" w:hAnsi="宋体"/>
          <w:bCs/>
          <w:sz w:val="28"/>
          <w:szCs w:val="28"/>
        </w:rPr>
        <w:t>（</w:t>
      </w:r>
      <w:r>
        <w:rPr>
          <w:rFonts w:ascii="宋体" w:hAnsi="宋体"/>
          <w:bCs/>
          <w:sz w:val="28"/>
          <w:szCs w:val="28"/>
        </w:rPr>
        <w:t>3）</w:t>
      </w:r>
      <w:r>
        <w:rPr>
          <w:rFonts w:hint="eastAsia" w:ascii="宋体" w:hAnsi="宋体"/>
          <w:bCs/>
          <w:sz w:val="28"/>
          <w:szCs w:val="28"/>
        </w:rPr>
        <w:t>经评审的最低价法，是指投标文件满足招标文件资格性和符合性要求，将报价最低的投标供应商，作为预中标供应商的评审方法。</w:t>
      </w:r>
    </w:p>
    <w:p>
      <w:pPr>
        <w:pStyle w:val="5"/>
        <w:keepNext w:val="0"/>
        <w:keepLines w:val="0"/>
        <w:adjustRightInd w:val="0"/>
        <w:snapToGrid w:val="0"/>
        <w:ind w:firstLine="560" w:firstLineChars="200"/>
        <w:rPr>
          <w:rFonts w:ascii="黑体" w:hAnsi="黑体"/>
          <w:b w:val="0"/>
        </w:rPr>
      </w:pPr>
      <w:bookmarkStart w:id="140" w:name="_Toc27886"/>
      <w:bookmarkStart w:id="141" w:name="_Toc10826"/>
      <w:bookmarkStart w:id="142" w:name="_Toc13681"/>
      <w:bookmarkStart w:id="143" w:name="_Toc9920"/>
      <w:r>
        <w:rPr>
          <w:rFonts w:ascii="黑体" w:hAnsi="黑体"/>
          <w:b w:val="0"/>
        </w:rPr>
        <w:t>22.</w:t>
      </w:r>
      <w:r>
        <w:rPr>
          <w:rFonts w:hint="eastAsia" w:ascii="黑体" w:hAnsi="黑体"/>
          <w:b w:val="0"/>
        </w:rPr>
        <w:t>评审标准</w:t>
      </w:r>
      <w:bookmarkEnd w:id="140"/>
      <w:bookmarkEnd w:id="141"/>
      <w:bookmarkEnd w:id="142"/>
      <w:bookmarkEnd w:id="143"/>
    </w:p>
    <w:p>
      <w:pPr>
        <w:tabs>
          <w:tab w:val="left" w:pos="1020"/>
        </w:tabs>
        <w:adjustRightInd w:val="0"/>
        <w:snapToGrid w:val="0"/>
        <w:spacing w:line="560" w:lineRule="exact"/>
        <w:ind w:firstLine="574" w:firstLineChars="205"/>
        <w:rPr>
          <w:rFonts w:ascii="宋体" w:hAnsi="宋体"/>
          <w:bCs/>
          <w:sz w:val="28"/>
          <w:szCs w:val="28"/>
        </w:rPr>
      </w:pPr>
      <w:r>
        <w:rPr>
          <w:rFonts w:ascii="宋体" w:hAnsi="宋体"/>
          <w:bCs/>
          <w:sz w:val="28"/>
          <w:szCs w:val="28"/>
        </w:rPr>
        <w:t>22.1</w:t>
      </w:r>
      <w:r>
        <w:rPr>
          <w:rFonts w:hint="eastAsia" w:ascii="宋体" w:hAnsi="宋体"/>
          <w:bCs/>
          <w:sz w:val="28"/>
          <w:szCs w:val="28"/>
        </w:rPr>
        <w:t>资格性审查标准，见</w:t>
      </w:r>
      <w:r>
        <w:rPr>
          <w:rFonts w:hint="eastAsia" w:ascii="宋体" w:hAnsi="宋体"/>
          <w:bCs/>
          <w:sz w:val="28"/>
          <w:szCs w:val="28"/>
          <w:lang w:val="zh-CN"/>
        </w:rPr>
        <w:t>【投标供应商须知前附表】</w:t>
      </w:r>
      <w:r>
        <w:rPr>
          <w:rFonts w:hint="eastAsia" w:ascii="宋体" w:hAnsi="宋体"/>
          <w:bCs/>
          <w:sz w:val="28"/>
          <w:szCs w:val="28"/>
        </w:rPr>
        <w:t>。</w:t>
      </w:r>
    </w:p>
    <w:p>
      <w:pPr>
        <w:adjustRightInd w:val="0"/>
        <w:snapToGrid w:val="0"/>
        <w:spacing w:line="560" w:lineRule="exact"/>
        <w:ind w:firstLine="574" w:firstLineChars="205"/>
        <w:rPr>
          <w:rFonts w:ascii="宋体" w:hAnsi="宋体"/>
          <w:bCs/>
          <w:sz w:val="28"/>
          <w:szCs w:val="28"/>
        </w:rPr>
      </w:pPr>
      <w:r>
        <w:rPr>
          <w:rFonts w:ascii="宋体" w:hAnsi="宋体"/>
          <w:bCs/>
          <w:sz w:val="28"/>
          <w:szCs w:val="28"/>
        </w:rPr>
        <w:t>22.2</w:t>
      </w:r>
      <w:bookmarkStart w:id="144" w:name="_Hlk112422244"/>
      <w:r>
        <w:rPr>
          <w:rFonts w:hint="eastAsia" w:ascii="宋体" w:hAnsi="宋体"/>
          <w:bCs/>
          <w:sz w:val="28"/>
          <w:szCs w:val="28"/>
        </w:rPr>
        <w:t>符合性审查标准</w:t>
      </w:r>
      <w:bookmarkEnd w:id="144"/>
      <w:r>
        <w:rPr>
          <w:rFonts w:hint="eastAsia" w:ascii="宋体" w:hAnsi="宋体"/>
          <w:bCs/>
          <w:sz w:val="28"/>
          <w:szCs w:val="28"/>
        </w:rPr>
        <w:t>，见</w:t>
      </w:r>
      <w:r>
        <w:rPr>
          <w:rFonts w:hint="eastAsia" w:ascii="宋体" w:hAnsi="宋体"/>
          <w:bCs/>
          <w:sz w:val="28"/>
          <w:szCs w:val="28"/>
          <w:lang w:val="zh-CN"/>
        </w:rPr>
        <w:t>【投标供应商须知前附表】</w:t>
      </w:r>
      <w:r>
        <w:rPr>
          <w:rFonts w:hint="eastAsia" w:ascii="宋体" w:hAnsi="宋体"/>
          <w:bCs/>
          <w:sz w:val="28"/>
          <w:szCs w:val="28"/>
        </w:rPr>
        <w:t>。</w:t>
      </w:r>
    </w:p>
    <w:p>
      <w:pPr>
        <w:adjustRightInd w:val="0"/>
        <w:snapToGrid w:val="0"/>
        <w:spacing w:line="560" w:lineRule="exact"/>
        <w:ind w:firstLine="574" w:firstLineChars="205"/>
        <w:rPr>
          <w:rFonts w:ascii="宋体" w:hAnsi="宋体"/>
          <w:bCs/>
          <w:sz w:val="28"/>
          <w:szCs w:val="28"/>
        </w:rPr>
      </w:pPr>
      <w:r>
        <w:rPr>
          <w:rFonts w:ascii="宋体" w:hAnsi="宋体"/>
          <w:bCs/>
          <w:sz w:val="28"/>
          <w:szCs w:val="28"/>
        </w:rPr>
        <w:t>22.3</w:t>
      </w:r>
      <w:r>
        <w:rPr>
          <w:rFonts w:hint="eastAsia" w:ascii="宋体" w:hAnsi="宋体"/>
          <w:bCs/>
          <w:sz w:val="28"/>
          <w:szCs w:val="28"/>
        </w:rPr>
        <w:t>采用综合评分法</w:t>
      </w:r>
      <w:r>
        <w:rPr>
          <w:rFonts w:asciiTheme="minorEastAsia" w:hAnsiTheme="minorEastAsia" w:eastAsiaTheme="minorEastAsia"/>
          <w:bCs/>
          <w:sz w:val="28"/>
          <w:szCs w:val="28"/>
        </w:rPr>
        <w:t>/</w:t>
      </w:r>
      <w:r>
        <w:rPr>
          <w:rFonts w:hint="eastAsia" w:ascii="宋体" w:hAnsi="宋体"/>
          <w:bCs/>
          <w:sz w:val="28"/>
          <w:szCs w:val="28"/>
        </w:rPr>
        <w:t>质量优先法评审：</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1）商务评审标准，见【</w:t>
      </w:r>
      <w:r>
        <w:rPr>
          <w:rFonts w:hint="eastAsia" w:ascii="宋体" w:hAnsi="宋体"/>
          <w:bCs/>
          <w:sz w:val="28"/>
          <w:szCs w:val="28"/>
        </w:rPr>
        <w:t>投标供应商须知前附表】。</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2）技术评审标准，见【</w:t>
      </w:r>
      <w:r>
        <w:rPr>
          <w:rFonts w:hint="eastAsia" w:ascii="宋体" w:hAnsi="宋体"/>
          <w:bCs/>
          <w:sz w:val="28"/>
          <w:szCs w:val="28"/>
        </w:rPr>
        <w:t>投标供应商须知前附表】。</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3）价格评审标准，见</w:t>
      </w:r>
      <w:r>
        <w:rPr>
          <w:rFonts w:hint="eastAsia" w:ascii="宋体" w:hAnsi="宋体"/>
          <w:bCs/>
          <w:sz w:val="28"/>
          <w:szCs w:val="28"/>
          <w:lang w:val="zh-CN"/>
        </w:rPr>
        <w:t>【投标供应商须知前附表】</w:t>
      </w:r>
      <w:r>
        <w:rPr>
          <w:rFonts w:hint="eastAsia" w:ascii="宋体" w:hAnsi="宋体"/>
          <w:bCs/>
          <w:sz w:val="28"/>
          <w:szCs w:val="28"/>
        </w:rPr>
        <w:t>。</w:t>
      </w:r>
    </w:p>
    <w:p>
      <w:pPr>
        <w:pStyle w:val="5"/>
        <w:keepNext w:val="0"/>
        <w:keepLines w:val="0"/>
        <w:adjustRightInd w:val="0"/>
        <w:snapToGrid w:val="0"/>
        <w:ind w:firstLine="560" w:firstLineChars="200"/>
        <w:rPr>
          <w:rFonts w:ascii="黑体" w:hAnsi="黑体"/>
          <w:b w:val="0"/>
        </w:rPr>
      </w:pPr>
      <w:bookmarkStart w:id="145" w:name="_Toc18131"/>
      <w:bookmarkStart w:id="146" w:name="_Toc13319"/>
      <w:bookmarkStart w:id="147" w:name="_Toc30894"/>
      <w:bookmarkStart w:id="148" w:name="_Toc3179"/>
      <w:r>
        <w:rPr>
          <w:rFonts w:ascii="黑体" w:hAnsi="黑体"/>
          <w:b w:val="0"/>
        </w:rPr>
        <w:t>23.</w:t>
      </w:r>
      <w:r>
        <w:rPr>
          <w:rFonts w:hint="eastAsia" w:ascii="黑体" w:hAnsi="黑体"/>
          <w:b w:val="0"/>
        </w:rPr>
        <w:t>评审程序</w:t>
      </w:r>
      <w:bookmarkEnd w:id="145"/>
      <w:bookmarkEnd w:id="146"/>
      <w:bookmarkEnd w:id="147"/>
      <w:bookmarkEnd w:id="148"/>
    </w:p>
    <w:p>
      <w:pPr>
        <w:adjustRightInd w:val="0"/>
        <w:snapToGrid w:val="0"/>
        <w:spacing w:line="560" w:lineRule="exact"/>
        <w:ind w:firstLine="560" w:firstLineChars="200"/>
        <w:rPr>
          <w:rFonts w:ascii="宋体" w:hAnsi="宋体"/>
          <w:bCs/>
        </w:rPr>
      </w:pPr>
      <w:r>
        <w:rPr>
          <w:rFonts w:ascii="宋体" w:hAnsi="宋体"/>
          <w:bCs/>
          <w:sz w:val="28"/>
          <w:szCs w:val="28"/>
        </w:rPr>
        <w:t>23.1评审</w:t>
      </w:r>
      <w:r>
        <w:rPr>
          <w:rFonts w:hint="eastAsia" w:ascii="宋体" w:hAnsi="宋体"/>
          <w:bCs/>
          <w:sz w:val="28"/>
          <w:szCs w:val="28"/>
        </w:rPr>
        <w:t>按照资格性审查、召开评审预备会、审阅招标文件、符合性审查、商务技术评审、价格评审、复核评审结果、出具评审报告、宣布评审结果、公示评审结果的基本程序组织实施。</w:t>
      </w:r>
    </w:p>
    <w:p>
      <w:pPr>
        <w:pStyle w:val="5"/>
        <w:keepNext w:val="0"/>
        <w:keepLines w:val="0"/>
        <w:adjustRightInd w:val="0"/>
        <w:snapToGrid w:val="0"/>
        <w:ind w:firstLine="560" w:firstLineChars="200"/>
        <w:rPr>
          <w:rFonts w:ascii="黑体" w:hAnsi="黑体"/>
          <w:b w:val="0"/>
        </w:rPr>
      </w:pPr>
      <w:bookmarkStart w:id="149" w:name="_Toc2840"/>
      <w:bookmarkStart w:id="150" w:name="_Toc24106"/>
      <w:bookmarkStart w:id="151" w:name="_Toc7141"/>
      <w:bookmarkStart w:id="152" w:name="_Toc12697"/>
      <w:r>
        <w:rPr>
          <w:rFonts w:ascii="黑体" w:hAnsi="黑体"/>
          <w:b w:val="0"/>
        </w:rPr>
        <w:t>24.</w:t>
      </w:r>
      <w:r>
        <w:rPr>
          <w:rFonts w:hint="eastAsia" w:ascii="黑体" w:hAnsi="黑体"/>
          <w:b w:val="0"/>
        </w:rPr>
        <w:t>资格性审查</w:t>
      </w:r>
      <w:bookmarkEnd w:id="149"/>
      <w:bookmarkEnd w:id="150"/>
      <w:bookmarkEnd w:id="151"/>
      <w:bookmarkEnd w:id="152"/>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24.1</w:t>
      </w:r>
      <w:r>
        <w:rPr>
          <w:rFonts w:hint="eastAsia" w:ascii="宋体" w:hAnsi="宋体"/>
          <w:bCs/>
          <w:sz w:val="28"/>
          <w:szCs w:val="28"/>
        </w:rPr>
        <w:t>开标后，采购机构</w:t>
      </w:r>
      <w:r>
        <w:rPr>
          <w:rFonts w:ascii="宋体" w:hAnsi="宋体"/>
          <w:bCs/>
          <w:sz w:val="28"/>
          <w:szCs w:val="28"/>
        </w:rPr>
        <w:t>依据招标文件规定</w:t>
      </w:r>
      <w:r>
        <w:rPr>
          <w:rFonts w:hint="eastAsia" w:ascii="宋体" w:hAnsi="宋体"/>
          <w:bCs/>
          <w:sz w:val="28"/>
          <w:szCs w:val="28"/>
        </w:rPr>
        <w:t>的资格性审查标准</w:t>
      </w:r>
      <w:r>
        <w:rPr>
          <w:rFonts w:ascii="宋体" w:hAnsi="宋体"/>
          <w:bCs/>
          <w:sz w:val="28"/>
          <w:szCs w:val="28"/>
        </w:rPr>
        <w:t>，</w:t>
      </w:r>
      <w:r>
        <w:rPr>
          <w:rFonts w:hint="eastAsia" w:ascii="宋体" w:hAnsi="宋体"/>
          <w:bCs/>
          <w:sz w:val="28"/>
          <w:szCs w:val="28"/>
        </w:rPr>
        <w:t>对投标供应商的资格进行审查。</w:t>
      </w:r>
    </w:p>
    <w:p>
      <w:pPr>
        <w:adjustRightInd w:val="0"/>
        <w:snapToGrid w:val="0"/>
        <w:spacing w:line="560" w:lineRule="exact"/>
        <w:ind w:firstLine="560" w:firstLineChars="200"/>
        <w:rPr>
          <w:rFonts w:ascii="仿宋_GB2312" w:hAnsi="仿宋"/>
          <w:bCs/>
          <w:sz w:val="28"/>
          <w:szCs w:val="36"/>
        </w:rPr>
      </w:pPr>
      <w:r>
        <w:rPr>
          <w:rFonts w:hint="eastAsia" w:ascii="仿宋_GB2312" w:hAnsi="仿宋"/>
          <w:bCs/>
          <w:sz w:val="28"/>
          <w:szCs w:val="36"/>
        </w:rPr>
        <w:t>（</w:t>
      </w:r>
      <w:r>
        <w:rPr>
          <w:rFonts w:ascii="仿宋_GB2312" w:hAnsi="仿宋"/>
          <w:bCs/>
          <w:sz w:val="28"/>
          <w:szCs w:val="36"/>
        </w:rPr>
        <w:t>1</w:t>
      </w:r>
      <w:r>
        <w:rPr>
          <w:rFonts w:hint="eastAsia" w:ascii="仿宋_GB2312" w:hAnsi="仿宋"/>
          <w:bCs/>
          <w:sz w:val="28"/>
          <w:szCs w:val="36"/>
        </w:rPr>
        <w:t>）通过资格性审查的</w:t>
      </w:r>
      <w:r>
        <w:rPr>
          <w:rFonts w:hint="eastAsia" w:ascii="宋体" w:hAnsi="宋体"/>
          <w:bCs/>
          <w:sz w:val="28"/>
          <w:szCs w:val="28"/>
        </w:rPr>
        <w:t>投标供应商</w:t>
      </w:r>
      <w:r>
        <w:rPr>
          <w:rFonts w:hint="eastAsia" w:ascii="仿宋_GB2312" w:hAnsi="仿宋"/>
          <w:bCs/>
          <w:sz w:val="28"/>
          <w:szCs w:val="36"/>
        </w:rPr>
        <w:t>进入后续评审；未通过资格性审查的</w:t>
      </w:r>
      <w:r>
        <w:rPr>
          <w:rFonts w:hint="eastAsia" w:ascii="宋体" w:hAnsi="宋体"/>
          <w:bCs/>
          <w:sz w:val="28"/>
          <w:szCs w:val="28"/>
        </w:rPr>
        <w:t>投标供应商不得</w:t>
      </w:r>
      <w:r>
        <w:rPr>
          <w:rFonts w:hint="eastAsia" w:ascii="仿宋_GB2312" w:hAnsi="仿宋"/>
          <w:bCs/>
          <w:sz w:val="28"/>
          <w:szCs w:val="36"/>
        </w:rPr>
        <w:t>进入后续评审。</w:t>
      </w:r>
    </w:p>
    <w:p>
      <w:pPr>
        <w:adjustRightInd w:val="0"/>
        <w:snapToGrid w:val="0"/>
        <w:spacing w:line="560" w:lineRule="exact"/>
        <w:ind w:firstLine="560" w:firstLineChars="200"/>
        <w:rPr>
          <w:rFonts w:ascii="宋体" w:hAnsi="宋体"/>
          <w:bCs/>
          <w:sz w:val="28"/>
          <w:szCs w:val="36"/>
        </w:rPr>
      </w:pPr>
      <w:r>
        <w:rPr>
          <w:rFonts w:hint="eastAsia" w:ascii="宋体" w:hAnsi="宋体"/>
          <w:bCs/>
          <w:sz w:val="28"/>
          <w:szCs w:val="36"/>
        </w:rPr>
        <w:t>（</w:t>
      </w:r>
      <w:r>
        <w:rPr>
          <w:rFonts w:ascii="宋体" w:hAnsi="宋体"/>
          <w:bCs/>
          <w:sz w:val="28"/>
          <w:szCs w:val="36"/>
        </w:rPr>
        <w:t>2</w:t>
      </w:r>
      <w:r>
        <w:rPr>
          <w:rFonts w:hint="eastAsia" w:ascii="宋体" w:hAnsi="宋体"/>
          <w:bCs/>
          <w:sz w:val="28"/>
          <w:szCs w:val="36"/>
        </w:rPr>
        <w:t>）审查人员应当对资格性审查结果签字确认，并提交评审委员会。</w:t>
      </w:r>
    </w:p>
    <w:p>
      <w:pPr>
        <w:adjustRightInd w:val="0"/>
        <w:snapToGrid w:val="0"/>
        <w:spacing w:line="560" w:lineRule="exact"/>
        <w:ind w:firstLine="560" w:firstLineChars="200"/>
        <w:rPr>
          <w:rFonts w:ascii="宋体" w:hAnsi="宋体"/>
          <w:bCs/>
          <w:sz w:val="28"/>
          <w:szCs w:val="36"/>
        </w:rPr>
      </w:pPr>
      <w:r>
        <w:rPr>
          <w:rFonts w:hint="eastAsia" w:ascii="宋体" w:hAnsi="宋体"/>
          <w:bCs/>
          <w:sz w:val="28"/>
          <w:szCs w:val="36"/>
        </w:rPr>
        <w:t>（</w:t>
      </w:r>
      <w:r>
        <w:rPr>
          <w:rFonts w:ascii="宋体" w:hAnsi="宋体"/>
          <w:bCs/>
          <w:sz w:val="28"/>
          <w:szCs w:val="36"/>
        </w:rPr>
        <w:t>3</w:t>
      </w:r>
      <w:r>
        <w:rPr>
          <w:rFonts w:hint="eastAsia" w:ascii="宋体" w:hAnsi="宋体"/>
          <w:bCs/>
          <w:sz w:val="28"/>
          <w:szCs w:val="36"/>
        </w:rPr>
        <w:t>）审查人员应当当场向未通过资格性审查的</w:t>
      </w:r>
      <w:r>
        <w:rPr>
          <w:rFonts w:hint="eastAsia" w:ascii="宋体" w:hAnsi="宋体"/>
          <w:bCs/>
          <w:sz w:val="28"/>
          <w:szCs w:val="28"/>
        </w:rPr>
        <w:t>投标</w:t>
      </w:r>
      <w:r>
        <w:rPr>
          <w:rFonts w:hint="eastAsia" w:ascii="宋体" w:hAnsi="宋体"/>
          <w:bCs/>
          <w:sz w:val="28"/>
          <w:szCs w:val="36"/>
        </w:rPr>
        <w:t>供应商告知审查结果和未通过原因，</w:t>
      </w:r>
      <w:r>
        <w:rPr>
          <w:rFonts w:hint="eastAsia" w:ascii="宋体" w:hAnsi="宋体"/>
          <w:bCs/>
          <w:sz w:val="28"/>
          <w:szCs w:val="28"/>
        </w:rPr>
        <w:t>投标</w:t>
      </w:r>
      <w:r>
        <w:rPr>
          <w:rFonts w:hint="eastAsia" w:ascii="宋体" w:hAnsi="宋体"/>
          <w:bCs/>
          <w:sz w:val="28"/>
          <w:szCs w:val="36"/>
        </w:rPr>
        <w:t>供应商签字确认；拒绝签字确认的，不影响资格性审查结果，审查人员如实记录并存入采购档案。</w:t>
      </w:r>
      <w:r>
        <w:rPr>
          <w:rFonts w:hint="eastAsia" w:ascii="宋体" w:hAnsi="宋体"/>
          <w:bCs/>
          <w:sz w:val="28"/>
          <w:szCs w:val="28"/>
        </w:rPr>
        <w:t>投标</w:t>
      </w:r>
      <w:r>
        <w:rPr>
          <w:rFonts w:hint="eastAsia" w:ascii="宋体" w:hAnsi="宋体"/>
          <w:bCs/>
          <w:sz w:val="28"/>
          <w:szCs w:val="36"/>
        </w:rPr>
        <w:t>供应商有疑义的，审查人员应当当场解答。</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24.2招标过程中，供应商发生合并、分立</w:t>
      </w:r>
      <w:r>
        <w:rPr>
          <w:rFonts w:hint="eastAsia" w:ascii="宋体" w:hAnsi="宋体"/>
          <w:bCs/>
          <w:sz w:val="28"/>
          <w:szCs w:val="28"/>
        </w:rPr>
        <w:t>或</w:t>
      </w:r>
      <w:r>
        <w:rPr>
          <w:rFonts w:ascii="宋体" w:hAnsi="宋体"/>
          <w:bCs/>
          <w:sz w:val="28"/>
          <w:szCs w:val="28"/>
        </w:rPr>
        <w:t>破产等重大变化时，应当及时书面告知采购机构。</w:t>
      </w:r>
    </w:p>
    <w:p>
      <w:pPr>
        <w:pStyle w:val="5"/>
        <w:keepNext w:val="0"/>
        <w:keepLines w:val="0"/>
        <w:adjustRightInd w:val="0"/>
        <w:snapToGrid w:val="0"/>
        <w:ind w:firstLine="560" w:firstLineChars="200"/>
        <w:rPr>
          <w:rFonts w:ascii="黑体" w:hAnsi="黑体"/>
          <w:b w:val="0"/>
        </w:rPr>
      </w:pPr>
      <w:bookmarkStart w:id="153" w:name="_Toc5348"/>
      <w:bookmarkStart w:id="154" w:name="_Toc9367"/>
      <w:bookmarkStart w:id="155" w:name="_Toc21070"/>
      <w:bookmarkStart w:id="156" w:name="_Toc13786"/>
      <w:r>
        <w:rPr>
          <w:rFonts w:ascii="黑体" w:hAnsi="黑体"/>
          <w:b w:val="0"/>
        </w:rPr>
        <w:t>25.</w:t>
      </w:r>
      <w:r>
        <w:rPr>
          <w:rFonts w:hint="eastAsia" w:ascii="黑体" w:hAnsi="黑体"/>
          <w:b w:val="0"/>
        </w:rPr>
        <w:t>召开评审预备会</w:t>
      </w:r>
      <w:bookmarkEnd w:id="153"/>
      <w:bookmarkEnd w:id="154"/>
      <w:bookmarkEnd w:id="155"/>
      <w:bookmarkEnd w:id="156"/>
    </w:p>
    <w:p>
      <w:pPr>
        <w:adjustRightInd w:val="0"/>
        <w:snapToGrid w:val="0"/>
        <w:spacing w:line="560" w:lineRule="exact"/>
        <w:ind w:firstLine="560" w:firstLineChars="200"/>
        <w:rPr>
          <w:rFonts w:ascii="仿宋_GB2312" w:hAnsi="仿宋"/>
          <w:bCs/>
          <w:sz w:val="28"/>
          <w:szCs w:val="36"/>
        </w:rPr>
      </w:pPr>
      <w:r>
        <w:rPr>
          <w:rFonts w:asciiTheme="minorEastAsia" w:hAnsiTheme="minorEastAsia" w:eastAsiaTheme="minorEastAsia"/>
          <w:bCs/>
          <w:sz w:val="28"/>
          <w:szCs w:val="36"/>
        </w:rPr>
        <w:t>25.1</w:t>
      </w:r>
      <w:r>
        <w:rPr>
          <w:rFonts w:hint="eastAsia" w:asciiTheme="minorEastAsia" w:hAnsiTheme="minorEastAsia" w:eastAsiaTheme="minorEastAsia"/>
          <w:bCs/>
          <w:sz w:val="28"/>
          <w:szCs w:val="36"/>
        </w:rPr>
        <w:t>采购机构组织评审委员会召开评审预备会。采购单位或采购机构介绍采购</w:t>
      </w:r>
      <w:r>
        <w:rPr>
          <w:rFonts w:hint="eastAsia" w:ascii="仿宋_GB2312" w:hAnsi="仿宋"/>
          <w:bCs/>
          <w:sz w:val="28"/>
          <w:szCs w:val="36"/>
        </w:rPr>
        <w:t>项目情况，采购机构重点说明评审标准和评审程序，并介绍招标文件主要内容和质疑答复情况。评审委员会全体成员按照少数服从多数的原则，实名投票推选评审委员会组长。</w:t>
      </w:r>
    </w:p>
    <w:p>
      <w:pPr>
        <w:pStyle w:val="5"/>
        <w:keepNext w:val="0"/>
        <w:keepLines w:val="0"/>
        <w:adjustRightInd w:val="0"/>
        <w:snapToGrid w:val="0"/>
        <w:ind w:firstLine="560" w:firstLineChars="200"/>
        <w:rPr>
          <w:rFonts w:ascii="黑体" w:hAnsi="黑体"/>
          <w:b w:val="0"/>
        </w:rPr>
      </w:pPr>
      <w:r>
        <w:rPr>
          <w:rFonts w:ascii="黑体" w:hAnsi="黑体"/>
          <w:b w:val="0"/>
        </w:rPr>
        <w:t>26.</w:t>
      </w:r>
      <w:r>
        <w:rPr>
          <w:rFonts w:hint="eastAsia" w:ascii="黑体" w:hAnsi="黑体"/>
          <w:b w:val="0"/>
        </w:rPr>
        <w:t>审阅招标文件</w:t>
      </w:r>
    </w:p>
    <w:p>
      <w:pPr>
        <w:spacing w:line="560" w:lineRule="exact"/>
        <w:ind w:firstLine="560" w:firstLineChars="200"/>
        <w:rPr>
          <w:rFonts w:asciiTheme="minorEastAsia" w:hAnsiTheme="minorEastAsia" w:eastAsiaTheme="minorEastAsia"/>
          <w:bCs/>
          <w:sz w:val="28"/>
          <w:szCs w:val="36"/>
        </w:rPr>
      </w:pPr>
      <w:r>
        <w:rPr>
          <w:rFonts w:asciiTheme="minorEastAsia" w:hAnsiTheme="minorEastAsia" w:eastAsiaTheme="minorEastAsia"/>
          <w:bCs/>
          <w:sz w:val="28"/>
          <w:szCs w:val="36"/>
        </w:rPr>
        <w:t>26.1</w:t>
      </w:r>
      <w:r>
        <w:rPr>
          <w:rFonts w:hint="eastAsia" w:asciiTheme="minorEastAsia" w:hAnsiTheme="minorEastAsia" w:eastAsiaTheme="minorEastAsia"/>
          <w:bCs/>
          <w:sz w:val="28"/>
          <w:szCs w:val="36"/>
        </w:rPr>
        <w:t>评审委员会在评审开始前审阅招标文件，重点熟悉理解招标文件符合性审查要求、无效投标条款和评审标准等内容。</w:t>
      </w:r>
    </w:p>
    <w:p>
      <w:pPr>
        <w:adjustRightInd w:val="0"/>
        <w:snapToGrid w:val="0"/>
        <w:spacing w:line="560" w:lineRule="exact"/>
        <w:ind w:firstLine="560" w:firstLineChars="200"/>
      </w:pPr>
      <w:r>
        <w:rPr>
          <w:rFonts w:asciiTheme="minorEastAsia" w:hAnsiTheme="minorEastAsia" w:eastAsiaTheme="minorEastAsia"/>
          <w:bCs/>
          <w:sz w:val="28"/>
          <w:szCs w:val="36"/>
        </w:rPr>
        <w:t>26.2</w:t>
      </w:r>
      <w:r>
        <w:rPr>
          <w:rFonts w:ascii="宋体" w:hAnsi="宋体"/>
          <w:bCs/>
          <w:sz w:val="28"/>
          <w:szCs w:val="28"/>
        </w:rPr>
        <w:t>评审委员会成员对</w:t>
      </w:r>
      <w:r>
        <w:rPr>
          <w:rFonts w:hint="eastAsia" w:ascii="宋体" w:hAnsi="宋体"/>
          <w:bCs/>
          <w:sz w:val="28"/>
          <w:szCs w:val="28"/>
        </w:rPr>
        <w:t>招标文件</w:t>
      </w:r>
      <w:r>
        <w:rPr>
          <w:rFonts w:ascii="宋体" w:hAnsi="宋体"/>
          <w:bCs/>
          <w:sz w:val="28"/>
          <w:szCs w:val="28"/>
        </w:rPr>
        <w:t>相关</w:t>
      </w:r>
      <w:r>
        <w:rPr>
          <w:rFonts w:hint="eastAsia" w:ascii="宋体" w:hAnsi="宋体"/>
          <w:bCs/>
          <w:sz w:val="28"/>
          <w:szCs w:val="28"/>
        </w:rPr>
        <w:t>事项表述不明确或需要说明的，可以要求采购机构或采购单位书面解释；对招标文件中涉及技术参数、技术方案等问题的，应当提请采购单位书面澄清。书面解释或澄清不得改变招标文件原义或影响客观公正评审。书面解释或澄清仍不能解决招标文件存在的歧义或重大缺陷，导致评审工作无法进行的，应当终止评审工作，在评审报告中书面说明情况，并提出招标文件修改意见。采购机构应当予以记录。</w:t>
      </w:r>
    </w:p>
    <w:p>
      <w:pPr>
        <w:pStyle w:val="5"/>
        <w:keepNext w:val="0"/>
        <w:keepLines w:val="0"/>
        <w:adjustRightInd w:val="0"/>
        <w:snapToGrid w:val="0"/>
        <w:ind w:firstLine="560" w:firstLineChars="200"/>
        <w:rPr>
          <w:rFonts w:ascii="黑体" w:hAnsi="黑体"/>
          <w:b w:val="0"/>
        </w:rPr>
      </w:pPr>
      <w:bookmarkStart w:id="157" w:name="_Toc12912"/>
      <w:bookmarkStart w:id="158" w:name="_Toc7999"/>
      <w:bookmarkStart w:id="159" w:name="_Toc23488"/>
      <w:bookmarkStart w:id="160" w:name="_Toc6186"/>
      <w:r>
        <w:rPr>
          <w:rFonts w:ascii="黑体" w:hAnsi="黑体"/>
          <w:b w:val="0"/>
        </w:rPr>
        <w:t>27.</w:t>
      </w:r>
      <w:r>
        <w:rPr>
          <w:rFonts w:hint="eastAsia" w:ascii="黑体" w:hAnsi="黑体"/>
          <w:b w:val="0"/>
        </w:rPr>
        <w:t>符合性审查</w:t>
      </w:r>
      <w:bookmarkEnd w:id="157"/>
      <w:bookmarkEnd w:id="158"/>
      <w:bookmarkEnd w:id="159"/>
      <w:bookmarkEnd w:id="160"/>
    </w:p>
    <w:p>
      <w:pPr>
        <w:adjustRightInd w:val="0"/>
        <w:snapToGrid w:val="0"/>
        <w:spacing w:line="560" w:lineRule="exact"/>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27.1</w:t>
      </w:r>
      <w:r>
        <w:rPr>
          <w:rFonts w:hint="eastAsia" w:asciiTheme="minorEastAsia" w:hAnsiTheme="minorEastAsia" w:eastAsiaTheme="minorEastAsia"/>
          <w:bCs/>
          <w:sz w:val="28"/>
          <w:szCs w:val="28"/>
        </w:rPr>
        <w:t>投标文件的偏离与实质性响应：</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1）招标文件中用“★”号标明的条款不允许</w:t>
      </w:r>
      <w:r>
        <w:rPr>
          <w:rFonts w:hint="eastAsia" w:asciiTheme="minorEastAsia" w:hAnsiTheme="minorEastAsia" w:eastAsiaTheme="minorEastAsia"/>
          <w:bCs/>
          <w:sz w:val="28"/>
          <w:szCs w:val="28"/>
        </w:rPr>
        <w:t>负</w:t>
      </w:r>
      <w:r>
        <w:rPr>
          <w:rFonts w:asciiTheme="minorEastAsia" w:hAnsiTheme="minorEastAsia" w:eastAsiaTheme="minorEastAsia"/>
          <w:bCs/>
          <w:sz w:val="28"/>
          <w:szCs w:val="28"/>
        </w:rPr>
        <w:t>偏离</w:t>
      </w:r>
      <w:r>
        <w:rPr>
          <w:rFonts w:hint="eastAsia" w:asciiTheme="minorEastAsia" w:hAnsiTheme="minorEastAsia" w:eastAsiaTheme="minorEastAsia"/>
          <w:bCs/>
          <w:sz w:val="28"/>
          <w:szCs w:val="28"/>
        </w:rPr>
        <w:t>，投标供应商应当作出实质性响应</w:t>
      </w:r>
      <w:r>
        <w:rPr>
          <w:rFonts w:asciiTheme="minorEastAsia" w:hAnsiTheme="minorEastAsia" w:eastAsiaTheme="minorEastAsia"/>
          <w:bCs/>
          <w:sz w:val="28"/>
          <w:szCs w:val="28"/>
        </w:rPr>
        <w:t>，</w:t>
      </w:r>
      <w:r>
        <w:rPr>
          <w:rFonts w:hint="eastAsia" w:asciiTheme="minorEastAsia" w:hAnsiTheme="minorEastAsia" w:eastAsiaTheme="minorEastAsia"/>
          <w:bCs/>
          <w:sz w:val="28"/>
          <w:szCs w:val="28"/>
        </w:rPr>
        <w:t>未作实质性响应的视为无效投标。</w:t>
      </w:r>
    </w:p>
    <w:p>
      <w:pPr>
        <w:adjustRightInd w:val="0"/>
        <w:snapToGrid w:val="0"/>
        <w:spacing w:line="560" w:lineRule="exact"/>
        <w:ind w:firstLine="560" w:firstLineChars="200"/>
        <w:jc w:val="left"/>
        <w:rPr>
          <w:rFonts w:ascii="仿宋_GB2312" w:hAnsi="仿宋"/>
          <w:bCs/>
          <w:sz w:val="28"/>
          <w:szCs w:val="36"/>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2）投标文件</w:t>
      </w:r>
      <w:r>
        <w:rPr>
          <w:rFonts w:hint="eastAsia" w:asciiTheme="minorEastAsia" w:hAnsiTheme="minorEastAsia" w:eastAsiaTheme="minorEastAsia"/>
          <w:bCs/>
          <w:sz w:val="28"/>
          <w:szCs w:val="28"/>
        </w:rPr>
        <w:t>中</w:t>
      </w:r>
      <w:bookmarkStart w:id="161" w:name="_Hlk126928482"/>
      <w:r>
        <w:rPr>
          <w:rFonts w:hint="eastAsia" w:asciiTheme="minorEastAsia" w:hAnsiTheme="minorEastAsia" w:eastAsiaTheme="minorEastAsia"/>
          <w:bCs/>
          <w:sz w:val="28"/>
          <w:szCs w:val="28"/>
        </w:rPr>
        <w:t>非</w:t>
      </w:r>
      <w:r>
        <w:rPr>
          <w:rFonts w:asciiTheme="minorEastAsia" w:hAnsiTheme="minorEastAsia" w:eastAsiaTheme="minorEastAsia"/>
          <w:bCs/>
          <w:sz w:val="28"/>
          <w:szCs w:val="28"/>
        </w:rPr>
        <w:t>“★”号标明的条款</w:t>
      </w:r>
      <w:r>
        <w:rPr>
          <w:rFonts w:hint="eastAsia" w:asciiTheme="minorEastAsia" w:hAnsiTheme="minorEastAsia" w:eastAsiaTheme="minorEastAsia"/>
          <w:bCs/>
          <w:sz w:val="28"/>
          <w:szCs w:val="28"/>
        </w:rPr>
        <w:t>负</w:t>
      </w:r>
      <w:r>
        <w:rPr>
          <w:rFonts w:asciiTheme="minorEastAsia" w:hAnsiTheme="minorEastAsia" w:eastAsiaTheme="minorEastAsia"/>
          <w:bCs/>
          <w:sz w:val="28"/>
          <w:szCs w:val="28"/>
        </w:rPr>
        <w:t>偏离的</w:t>
      </w:r>
      <w:r>
        <w:rPr>
          <w:rFonts w:hint="eastAsia" w:asciiTheme="minorEastAsia" w:hAnsiTheme="minorEastAsia" w:eastAsiaTheme="minorEastAsia"/>
          <w:bCs/>
          <w:sz w:val="28"/>
          <w:szCs w:val="28"/>
        </w:rPr>
        <w:t>项数</w:t>
      </w:r>
      <w:r>
        <w:rPr>
          <w:rFonts w:asciiTheme="minorEastAsia" w:hAnsiTheme="minorEastAsia" w:eastAsiaTheme="minorEastAsia"/>
          <w:bCs/>
          <w:sz w:val="28"/>
          <w:szCs w:val="28"/>
        </w:rPr>
        <w:t>应当符合</w:t>
      </w:r>
      <w:bookmarkEnd w:id="161"/>
      <w:r>
        <w:rPr>
          <w:rFonts w:hint="eastAsia" w:asciiTheme="minorEastAsia" w:hAnsiTheme="minorEastAsia" w:eastAsiaTheme="minorEastAsia"/>
          <w:bCs/>
          <w:sz w:val="28"/>
          <w:szCs w:val="28"/>
        </w:rPr>
        <w:t>【投标供应商须知前附表】明确的要求，否则视为无效投标。</w:t>
      </w:r>
    </w:p>
    <w:p>
      <w:pPr>
        <w:adjustRightInd w:val="0"/>
        <w:snapToGrid w:val="0"/>
        <w:spacing w:line="560" w:lineRule="exact"/>
        <w:ind w:firstLine="560" w:firstLineChars="200"/>
        <w:rPr>
          <w:rFonts w:ascii="宋体" w:hAnsi="宋体"/>
          <w:bCs/>
          <w:sz w:val="28"/>
          <w:szCs w:val="28"/>
        </w:rPr>
      </w:pPr>
      <w:r>
        <w:rPr>
          <w:rFonts w:asciiTheme="minorEastAsia" w:hAnsiTheme="minorEastAsia" w:eastAsiaTheme="minorEastAsia"/>
          <w:bCs/>
          <w:sz w:val="28"/>
          <w:szCs w:val="36"/>
        </w:rPr>
        <w:t>27.2</w:t>
      </w:r>
      <w:r>
        <w:rPr>
          <w:rFonts w:hint="eastAsia" w:asciiTheme="minorEastAsia" w:hAnsiTheme="minorEastAsia" w:eastAsiaTheme="minorEastAsia"/>
          <w:bCs/>
          <w:sz w:val="28"/>
          <w:szCs w:val="28"/>
        </w:rPr>
        <w:t>采购机构资格性审查结束后，评审委员会应当依据招标文件规定的符</w:t>
      </w:r>
      <w:r>
        <w:rPr>
          <w:rFonts w:hint="eastAsia" w:ascii="宋体" w:hAnsi="宋体"/>
          <w:bCs/>
          <w:sz w:val="28"/>
          <w:szCs w:val="28"/>
        </w:rPr>
        <w:t>合性审查标准，对资格性审查合格的投标</w:t>
      </w:r>
      <w:r>
        <w:rPr>
          <w:rFonts w:hint="eastAsia" w:ascii="仿宋_GB2312" w:hAnsi="仿宋"/>
          <w:bCs/>
          <w:sz w:val="28"/>
          <w:szCs w:val="36"/>
        </w:rPr>
        <w:t>供应商</w:t>
      </w:r>
      <w:r>
        <w:rPr>
          <w:rFonts w:hint="eastAsia" w:ascii="宋体" w:hAnsi="宋体"/>
          <w:bCs/>
          <w:sz w:val="28"/>
          <w:szCs w:val="28"/>
        </w:rPr>
        <w:t>的投标文件进行符合性审查，确定其是否满足招标文件的实质性要求。</w:t>
      </w:r>
    </w:p>
    <w:p>
      <w:pPr>
        <w:adjustRightInd w:val="0"/>
        <w:snapToGrid w:val="0"/>
        <w:spacing w:line="560" w:lineRule="exact"/>
        <w:ind w:firstLine="560" w:firstLineChars="200"/>
        <w:rPr>
          <w:rFonts w:ascii="宋体" w:hAnsi="宋体"/>
          <w:bCs/>
          <w:sz w:val="28"/>
          <w:szCs w:val="28"/>
          <w:lang w:val="zh-CN"/>
        </w:rPr>
      </w:pPr>
      <w:r>
        <w:rPr>
          <w:rFonts w:hint="eastAsia" w:ascii="宋体" w:hAnsi="宋体"/>
          <w:bCs/>
          <w:sz w:val="28"/>
          <w:szCs w:val="28"/>
          <w:lang w:val="zh-CN"/>
        </w:rPr>
        <w:t>（</w:t>
      </w:r>
      <w:r>
        <w:rPr>
          <w:rFonts w:ascii="宋体" w:hAnsi="宋体"/>
          <w:bCs/>
          <w:sz w:val="28"/>
          <w:szCs w:val="28"/>
          <w:lang w:val="zh-CN"/>
        </w:rPr>
        <w:t>1）不得以招标文件未明确的内容</w:t>
      </w:r>
      <w:r>
        <w:rPr>
          <w:rFonts w:hint="eastAsia" w:ascii="宋体" w:hAnsi="宋体"/>
          <w:bCs/>
          <w:sz w:val="28"/>
          <w:szCs w:val="28"/>
          <w:lang w:val="zh-CN"/>
        </w:rPr>
        <w:t>和</w:t>
      </w:r>
      <w:r>
        <w:rPr>
          <w:rFonts w:ascii="宋体" w:hAnsi="宋体"/>
          <w:bCs/>
          <w:sz w:val="28"/>
          <w:szCs w:val="28"/>
          <w:lang w:val="zh-CN"/>
        </w:rPr>
        <w:t>非实质性条款判定</w:t>
      </w:r>
      <w:r>
        <w:rPr>
          <w:rFonts w:hint="eastAsia" w:ascii="宋体" w:hAnsi="宋体"/>
          <w:bCs/>
          <w:sz w:val="28"/>
          <w:szCs w:val="28"/>
          <w:lang w:val="zh-CN"/>
        </w:rPr>
        <w:t>投标供应商</w:t>
      </w:r>
      <w:r>
        <w:rPr>
          <w:rFonts w:ascii="宋体" w:hAnsi="宋体"/>
          <w:bCs/>
          <w:sz w:val="28"/>
          <w:szCs w:val="28"/>
          <w:lang w:val="zh-CN"/>
        </w:rPr>
        <w:t>投标无效</w:t>
      </w:r>
      <w:r>
        <w:rPr>
          <w:rFonts w:hint="eastAsia" w:ascii="宋体" w:hAnsi="宋体"/>
          <w:bCs/>
          <w:sz w:val="28"/>
          <w:szCs w:val="28"/>
          <w:lang w:val="zh-CN"/>
        </w:rPr>
        <w:t>。</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lang w:val="zh-CN"/>
        </w:rPr>
        <w:t>（</w:t>
      </w:r>
      <w:r>
        <w:rPr>
          <w:rFonts w:ascii="宋体" w:hAnsi="宋体"/>
          <w:bCs/>
          <w:sz w:val="28"/>
          <w:szCs w:val="28"/>
          <w:lang w:val="zh-CN"/>
        </w:rPr>
        <w:t>2）</w:t>
      </w:r>
      <w:r>
        <w:rPr>
          <w:rFonts w:hint="eastAsia" w:ascii="宋体" w:hAnsi="宋体"/>
          <w:bCs/>
          <w:sz w:val="28"/>
          <w:szCs w:val="28"/>
        </w:rPr>
        <w:t>符合性审查不合格的，不得进入后续评审。评审委员会组长当场向未通过符合性审查的投标供应商告知审查结果和未通过原因，投标供应商签字确认。投标供应商有疑义的，评审委员会应当当场解答。投标供应商拒绝签字确认的，</w:t>
      </w:r>
      <w:r>
        <w:rPr>
          <w:rFonts w:hint="eastAsia" w:ascii="仿宋_GB2312" w:hAnsi="仿宋"/>
          <w:bCs/>
          <w:sz w:val="28"/>
          <w:szCs w:val="36"/>
        </w:rPr>
        <w:t>不影响符合性审查结果，评审委员会</w:t>
      </w:r>
      <w:r>
        <w:rPr>
          <w:rFonts w:hint="eastAsia" w:ascii="宋体" w:hAnsi="宋体"/>
          <w:bCs/>
          <w:sz w:val="28"/>
          <w:szCs w:val="28"/>
        </w:rPr>
        <w:t>如实在评审报告中记录。</w:t>
      </w:r>
    </w:p>
    <w:p>
      <w:pPr>
        <w:pStyle w:val="5"/>
        <w:keepNext w:val="0"/>
        <w:keepLines w:val="0"/>
        <w:adjustRightInd w:val="0"/>
        <w:snapToGrid w:val="0"/>
        <w:ind w:firstLine="560" w:firstLineChars="200"/>
        <w:rPr>
          <w:rFonts w:ascii="黑体" w:hAnsi="黑体"/>
          <w:b w:val="0"/>
        </w:rPr>
      </w:pPr>
      <w:bookmarkStart w:id="162" w:name="_Toc21212"/>
      <w:bookmarkStart w:id="163" w:name="_Toc11679"/>
      <w:bookmarkStart w:id="164" w:name="_Toc687"/>
      <w:bookmarkStart w:id="165" w:name="_Toc12589"/>
      <w:r>
        <w:rPr>
          <w:rFonts w:ascii="黑体" w:hAnsi="黑体"/>
          <w:b w:val="0"/>
        </w:rPr>
        <w:t>28.</w:t>
      </w:r>
      <w:bookmarkStart w:id="166" w:name="_Hlk112426492"/>
      <w:bookmarkStart w:id="167" w:name="_Hlk112422739"/>
      <w:r>
        <w:rPr>
          <w:rFonts w:hint="eastAsia" w:ascii="黑体" w:hAnsi="黑体"/>
          <w:b w:val="0"/>
        </w:rPr>
        <w:t>解释与澄清</w:t>
      </w:r>
      <w:bookmarkEnd w:id="162"/>
      <w:bookmarkEnd w:id="163"/>
      <w:bookmarkEnd w:id="164"/>
      <w:bookmarkEnd w:id="165"/>
      <w:bookmarkEnd w:id="166"/>
      <w:bookmarkEnd w:id="167"/>
    </w:p>
    <w:p>
      <w:pPr>
        <w:adjustRightInd w:val="0"/>
        <w:snapToGrid w:val="0"/>
        <w:spacing w:line="560" w:lineRule="exact"/>
        <w:ind w:firstLine="560" w:firstLineChars="200"/>
        <w:jc w:val="left"/>
        <w:rPr>
          <w:rFonts w:asciiTheme="minorEastAsia" w:hAnsiTheme="minorEastAsia" w:eastAsiaTheme="minorEastAsia"/>
          <w:bCs/>
          <w:sz w:val="28"/>
          <w:szCs w:val="28"/>
        </w:rPr>
      </w:pPr>
      <w:r>
        <w:rPr>
          <w:rFonts w:asciiTheme="minorEastAsia" w:hAnsiTheme="minorEastAsia" w:eastAsiaTheme="minorEastAsia"/>
          <w:bCs/>
          <w:sz w:val="28"/>
          <w:szCs w:val="28"/>
        </w:rPr>
        <w:t>28.1</w:t>
      </w:r>
      <w:r>
        <w:rPr>
          <w:rFonts w:hint="eastAsia" w:asciiTheme="minorEastAsia" w:hAnsiTheme="minorEastAsia" w:eastAsiaTheme="minorEastAsia"/>
          <w:bCs/>
          <w:sz w:val="28"/>
          <w:szCs w:val="28"/>
        </w:rPr>
        <w:t>对于投标文件中含义不明确、同类问题表述不一致或有明显文字、计算错误的内容，评审委员会应当要求投标供应商作出必要的澄清、说明或补正。</w:t>
      </w:r>
    </w:p>
    <w:p>
      <w:pPr>
        <w:adjustRightInd w:val="0"/>
        <w:snapToGrid w:val="0"/>
        <w:spacing w:line="560" w:lineRule="exact"/>
        <w:ind w:firstLine="560" w:firstLineChars="200"/>
        <w:jc w:val="left"/>
        <w:rPr>
          <w:rFonts w:asciiTheme="minorEastAsia" w:hAnsiTheme="minorEastAsia" w:eastAsiaTheme="minorEastAsia"/>
          <w:bCs/>
          <w:sz w:val="28"/>
          <w:szCs w:val="28"/>
        </w:rPr>
      </w:pPr>
      <w:r>
        <w:rPr>
          <w:rFonts w:asciiTheme="minorEastAsia" w:hAnsiTheme="minorEastAsia" w:eastAsiaTheme="minorEastAsia"/>
          <w:bCs/>
          <w:sz w:val="28"/>
          <w:szCs w:val="28"/>
        </w:rPr>
        <w:t>28.2</w:t>
      </w:r>
      <w:r>
        <w:rPr>
          <w:rFonts w:hint="eastAsia" w:asciiTheme="minorEastAsia" w:hAnsiTheme="minorEastAsia" w:eastAsiaTheme="minorEastAsia"/>
          <w:bCs/>
          <w:sz w:val="28"/>
          <w:szCs w:val="28"/>
        </w:rPr>
        <w:t>投标供应商的澄清、说明或补正应当采用书面形式，并由法定代表人或授权代表签字。未签字的，澄清、说明或补正内容无效。</w:t>
      </w:r>
    </w:p>
    <w:p>
      <w:pPr>
        <w:adjustRightInd w:val="0"/>
        <w:snapToGrid w:val="0"/>
        <w:spacing w:line="560" w:lineRule="exact"/>
        <w:ind w:firstLine="560" w:firstLineChars="200"/>
        <w:jc w:val="left"/>
        <w:rPr>
          <w:rFonts w:asciiTheme="minorEastAsia" w:hAnsiTheme="minorEastAsia" w:eastAsiaTheme="minorEastAsia"/>
          <w:bCs/>
          <w:sz w:val="28"/>
          <w:szCs w:val="28"/>
        </w:rPr>
      </w:pPr>
      <w:r>
        <w:rPr>
          <w:rFonts w:asciiTheme="minorEastAsia" w:hAnsiTheme="minorEastAsia" w:eastAsiaTheme="minorEastAsia"/>
          <w:bCs/>
          <w:sz w:val="28"/>
          <w:szCs w:val="28"/>
        </w:rPr>
        <w:t>28.3</w:t>
      </w:r>
      <w:r>
        <w:rPr>
          <w:rFonts w:hint="eastAsia" w:asciiTheme="minorEastAsia" w:hAnsiTheme="minorEastAsia" w:eastAsiaTheme="minorEastAsia"/>
          <w:bCs/>
          <w:sz w:val="28"/>
          <w:szCs w:val="28"/>
        </w:rPr>
        <w:t>有效的书面澄清材料，是投标文件的补充材料，成为投标文件的组成部分。</w:t>
      </w:r>
    </w:p>
    <w:p>
      <w:pPr>
        <w:adjustRightInd w:val="0"/>
        <w:snapToGrid w:val="0"/>
        <w:spacing w:line="560" w:lineRule="exact"/>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28.4</w:t>
      </w:r>
      <w:r>
        <w:rPr>
          <w:rFonts w:hint="eastAsia" w:asciiTheme="minorEastAsia" w:hAnsiTheme="minorEastAsia" w:eastAsiaTheme="minorEastAsia"/>
          <w:bCs/>
          <w:sz w:val="28"/>
          <w:szCs w:val="28"/>
        </w:rPr>
        <w:t>投标文件出现下列情形，不需要投标供应商澄清，按照下列规定进行算术修正：</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1）投标文件中开标一览表内容与投标文件中相应内容不一致的，以开标一览表为准</w:t>
      </w:r>
      <w:r>
        <w:rPr>
          <w:rFonts w:hint="eastAsia" w:asciiTheme="minorEastAsia" w:hAnsiTheme="minorEastAsia" w:eastAsiaTheme="minorEastAsia"/>
          <w:bCs/>
          <w:sz w:val="28"/>
          <w:szCs w:val="28"/>
        </w:rPr>
        <w:t>。</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2）</w:t>
      </w:r>
      <w:r>
        <w:rPr>
          <w:rFonts w:hint="eastAsia" w:asciiTheme="minorEastAsia" w:hAnsiTheme="minorEastAsia" w:eastAsiaTheme="minorEastAsia"/>
          <w:bCs/>
          <w:sz w:val="28"/>
          <w:szCs w:val="28"/>
        </w:rPr>
        <w:t>投标文件的大写金额和小写金额不一致的，以大写金额为准，但大写金额出现文字错误，导致金额无法判断的，以小写金额为准。</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3）</w:t>
      </w:r>
      <w:r>
        <w:rPr>
          <w:rFonts w:hint="eastAsia" w:asciiTheme="minorEastAsia" w:hAnsiTheme="minorEastAsia" w:eastAsiaTheme="minorEastAsia"/>
          <w:bCs/>
          <w:sz w:val="28"/>
          <w:szCs w:val="28"/>
        </w:rPr>
        <w:t>总价金额与按照单价汇总金额不一致的，以单价汇总金额为准，但是单价汇总金额出现计算错误且明显人为工作失误的，以总价金额为准；单价金额小数点有明显错位的，以总价金额为准。</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4）</w:t>
      </w:r>
      <w:r>
        <w:rPr>
          <w:rFonts w:hint="eastAsia" w:asciiTheme="minorEastAsia" w:hAnsiTheme="minorEastAsia" w:eastAsiaTheme="minorEastAsia"/>
          <w:bCs/>
          <w:sz w:val="28"/>
          <w:szCs w:val="28"/>
        </w:rPr>
        <w:t>不同语言文本投标文件的解释有异议的，以中文文本为准。</w:t>
      </w:r>
    </w:p>
    <w:p>
      <w:pPr>
        <w:adjustRightInd w:val="0"/>
        <w:snapToGrid w:val="0"/>
        <w:spacing w:line="560" w:lineRule="exact"/>
        <w:ind w:firstLine="560" w:firstLineChars="200"/>
      </w:pPr>
      <w:r>
        <w:rPr>
          <w:rFonts w:hint="eastAsia" w:asciiTheme="minorEastAsia" w:hAnsiTheme="minorEastAsia" w:eastAsiaTheme="minorEastAsia"/>
          <w:bCs/>
          <w:sz w:val="28"/>
          <w:szCs w:val="28"/>
        </w:rPr>
        <w:t>同时出现本条第（</w:t>
      </w:r>
      <w:r>
        <w:rPr>
          <w:rFonts w:asciiTheme="minorEastAsia" w:hAnsiTheme="minorEastAsia" w:eastAsiaTheme="minorEastAsia"/>
          <w:bCs/>
          <w:sz w:val="28"/>
          <w:szCs w:val="28"/>
        </w:rPr>
        <w:t>2）（3）项情形的，</w:t>
      </w:r>
      <w:r>
        <w:rPr>
          <w:rFonts w:hint="eastAsia" w:asciiTheme="minorEastAsia" w:hAnsiTheme="minorEastAsia" w:eastAsiaTheme="minorEastAsia"/>
          <w:bCs/>
          <w:sz w:val="28"/>
          <w:szCs w:val="28"/>
        </w:rPr>
        <w:t>按照第（</w:t>
      </w:r>
      <w:r>
        <w:rPr>
          <w:rFonts w:asciiTheme="minorEastAsia" w:hAnsiTheme="minorEastAsia" w:eastAsiaTheme="minorEastAsia"/>
          <w:bCs/>
          <w:sz w:val="28"/>
          <w:szCs w:val="28"/>
        </w:rPr>
        <w:t>2）项规定修正。修正后的内容经</w:t>
      </w:r>
      <w:r>
        <w:rPr>
          <w:rFonts w:hint="eastAsia" w:asciiTheme="minorEastAsia" w:hAnsiTheme="minorEastAsia" w:eastAsiaTheme="minorEastAsia"/>
          <w:bCs/>
          <w:sz w:val="28"/>
          <w:szCs w:val="28"/>
        </w:rPr>
        <w:t>投标供应商确认后继续评审，投标供应商不确认的，其投标无效。</w:t>
      </w:r>
    </w:p>
    <w:p>
      <w:pPr>
        <w:adjustRightInd w:val="0"/>
        <w:snapToGrid w:val="0"/>
        <w:spacing w:line="560" w:lineRule="exact"/>
        <w:ind w:firstLine="560" w:firstLineChars="200"/>
        <w:rPr>
          <w:rFonts w:asciiTheme="minorEastAsia" w:hAnsiTheme="minorEastAsia" w:eastAsiaTheme="minorEastAsia"/>
          <w:bCs/>
          <w:sz w:val="28"/>
          <w:szCs w:val="28"/>
        </w:rPr>
      </w:pPr>
      <w:r>
        <w:rPr>
          <w:rFonts w:cs="仿宋" w:asciiTheme="minorEastAsia" w:hAnsiTheme="minorEastAsia" w:eastAsiaTheme="minorEastAsia"/>
          <w:bCs/>
          <w:sz w:val="28"/>
          <w:szCs w:val="28"/>
        </w:rPr>
        <w:t>28.5</w:t>
      </w:r>
      <w:r>
        <w:rPr>
          <w:rFonts w:hint="eastAsia" w:cs="仿宋" w:asciiTheme="minorEastAsia" w:hAnsiTheme="minorEastAsia" w:eastAsiaTheme="minorEastAsia"/>
          <w:bCs/>
          <w:sz w:val="28"/>
          <w:szCs w:val="28"/>
        </w:rPr>
        <w:t>评审委员会组织澄清时不得出现下列情形：</w:t>
      </w:r>
    </w:p>
    <w:p>
      <w:pPr>
        <w:adjustRightInd w:val="0"/>
        <w:snapToGrid w:val="0"/>
        <w:spacing w:line="560" w:lineRule="exact"/>
        <w:ind w:firstLine="560" w:firstLineChars="200"/>
        <w:rPr>
          <w:rFonts w:asciiTheme="minorEastAsia" w:hAnsiTheme="minorEastAsia" w:eastAsiaTheme="minorEastAsia"/>
          <w:bCs/>
          <w:sz w:val="28"/>
          <w:szCs w:val="28"/>
          <w:lang w:val="zh-CN"/>
        </w:rPr>
      </w:pPr>
      <w:r>
        <w:rPr>
          <w:rFonts w:hint="eastAsia" w:asciiTheme="minorEastAsia" w:hAnsiTheme="minorEastAsia" w:eastAsiaTheme="minorEastAsia"/>
          <w:bCs/>
          <w:sz w:val="28"/>
          <w:szCs w:val="28"/>
          <w:lang w:val="zh-CN"/>
        </w:rPr>
        <w:t>（</w:t>
      </w:r>
      <w:r>
        <w:rPr>
          <w:rFonts w:asciiTheme="minorEastAsia" w:hAnsiTheme="minorEastAsia" w:eastAsiaTheme="minorEastAsia"/>
          <w:bCs/>
          <w:sz w:val="28"/>
          <w:szCs w:val="28"/>
          <w:lang w:val="zh-CN"/>
        </w:rPr>
        <w:t>1）</w:t>
      </w:r>
      <w:r>
        <w:rPr>
          <w:rFonts w:hint="eastAsia" w:asciiTheme="minorEastAsia" w:hAnsiTheme="minorEastAsia" w:eastAsiaTheme="minorEastAsia"/>
          <w:bCs/>
          <w:sz w:val="28"/>
          <w:szCs w:val="28"/>
          <w:lang w:val="zh-CN"/>
        </w:rPr>
        <w:t>拒绝接受采购机构或采购单位对招标文件的解释、说明；</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lang w:val="zh-CN"/>
        </w:rPr>
        <w:t>（</w:t>
      </w:r>
      <w:r>
        <w:rPr>
          <w:rFonts w:asciiTheme="minorEastAsia" w:hAnsiTheme="minorEastAsia" w:eastAsiaTheme="minorEastAsia"/>
          <w:bCs/>
          <w:sz w:val="28"/>
          <w:szCs w:val="28"/>
          <w:lang w:val="zh-CN"/>
        </w:rPr>
        <w:t>2）</w:t>
      </w:r>
      <w:r>
        <w:rPr>
          <w:rFonts w:hint="eastAsia" w:cs="仿宋" w:asciiTheme="minorEastAsia" w:hAnsiTheme="minorEastAsia" w:eastAsiaTheme="minorEastAsia"/>
          <w:bCs/>
          <w:sz w:val="28"/>
          <w:szCs w:val="28"/>
        </w:rPr>
        <w:t>要求或接受投标供应商作出超出投标文件的范围、与投标文件原义不同，或改变投标文件实质性内容的</w:t>
      </w:r>
      <w:r>
        <w:rPr>
          <w:rFonts w:hint="eastAsia" w:asciiTheme="minorEastAsia" w:hAnsiTheme="minorEastAsia" w:eastAsiaTheme="minorEastAsia"/>
          <w:bCs/>
          <w:sz w:val="28"/>
          <w:szCs w:val="28"/>
        </w:rPr>
        <w:t>澄清、说明、补正；</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lang w:val="zh-CN"/>
        </w:rPr>
        <w:t>（</w:t>
      </w:r>
      <w:r>
        <w:rPr>
          <w:rFonts w:asciiTheme="minorEastAsia" w:hAnsiTheme="minorEastAsia" w:eastAsiaTheme="minorEastAsia"/>
          <w:bCs/>
          <w:sz w:val="28"/>
          <w:szCs w:val="28"/>
          <w:lang w:val="zh-CN"/>
        </w:rPr>
        <w:t>3</w:t>
      </w:r>
      <w:r>
        <w:rPr>
          <w:rFonts w:hint="eastAsia" w:asciiTheme="minorEastAsia" w:hAnsiTheme="minorEastAsia" w:eastAsiaTheme="minorEastAsia"/>
          <w:bCs/>
          <w:sz w:val="28"/>
          <w:szCs w:val="28"/>
          <w:lang w:val="zh-CN"/>
        </w:rPr>
        <w:t>）</w:t>
      </w:r>
      <w:r>
        <w:rPr>
          <w:rFonts w:hint="eastAsia" w:cs="仿宋" w:asciiTheme="minorEastAsia" w:hAnsiTheme="minorEastAsia" w:eastAsiaTheme="minorEastAsia"/>
          <w:bCs/>
          <w:sz w:val="28"/>
          <w:szCs w:val="28"/>
        </w:rPr>
        <w:t>暗示或诱导投标供应商作出</w:t>
      </w:r>
      <w:r>
        <w:rPr>
          <w:rFonts w:hint="eastAsia" w:asciiTheme="minorEastAsia" w:hAnsiTheme="minorEastAsia" w:eastAsiaTheme="minorEastAsia"/>
          <w:bCs/>
          <w:sz w:val="28"/>
          <w:szCs w:val="28"/>
        </w:rPr>
        <w:t>澄清、说明、补正；</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lang w:val="zh-CN"/>
        </w:rPr>
        <w:t>（</w:t>
      </w:r>
      <w:r>
        <w:rPr>
          <w:rFonts w:asciiTheme="minorEastAsia" w:hAnsiTheme="minorEastAsia" w:eastAsiaTheme="minorEastAsia"/>
          <w:bCs/>
          <w:sz w:val="28"/>
          <w:szCs w:val="28"/>
          <w:lang w:val="zh-CN"/>
        </w:rPr>
        <w:t>4</w:t>
      </w:r>
      <w:r>
        <w:rPr>
          <w:rFonts w:hint="eastAsia" w:asciiTheme="minorEastAsia" w:hAnsiTheme="minorEastAsia" w:eastAsiaTheme="minorEastAsia"/>
          <w:bCs/>
          <w:sz w:val="28"/>
          <w:szCs w:val="28"/>
          <w:lang w:val="zh-CN"/>
        </w:rPr>
        <w:t>）</w:t>
      </w:r>
      <w:r>
        <w:rPr>
          <w:rFonts w:hint="eastAsia" w:cs="仿宋" w:asciiTheme="minorEastAsia" w:hAnsiTheme="minorEastAsia" w:eastAsiaTheme="minorEastAsia"/>
          <w:bCs/>
          <w:sz w:val="28"/>
          <w:szCs w:val="28"/>
        </w:rPr>
        <w:t>接受投标供应商主动提出的</w:t>
      </w:r>
      <w:r>
        <w:rPr>
          <w:rFonts w:hint="eastAsia" w:asciiTheme="minorEastAsia" w:hAnsiTheme="minorEastAsia" w:eastAsiaTheme="minorEastAsia"/>
          <w:bCs/>
          <w:sz w:val="28"/>
          <w:szCs w:val="28"/>
        </w:rPr>
        <w:t>澄清、说明、补正</w:t>
      </w:r>
      <w:r>
        <w:rPr>
          <w:rFonts w:hint="eastAsia" w:cs="仿宋" w:asciiTheme="minorEastAsia" w:hAnsiTheme="minorEastAsia" w:eastAsiaTheme="minorEastAsia"/>
          <w:bCs/>
          <w:sz w:val="28"/>
          <w:szCs w:val="28"/>
        </w:rPr>
        <w:t>。</w:t>
      </w:r>
    </w:p>
    <w:p>
      <w:pPr>
        <w:adjustRightInd w:val="0"/>
        <w:snapToGrid w:val="0"/>
        <w:spacing w:line="560" w:lineRule="exact"/>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28.6</w:t>
      </w:r>
      <w:r>
        <w:rPr>
          <w:rFonts w:hint="eastAsia" w:asciiTheme="minorEastAsia" w:hAnsiTheme="minorEastAsia" w:eastAsiaTheme="minorEastAsia"/>
          <w:bCs/>
          <w:sz w:val="28"/>
          <w:szCs w:val="28"/>
        </w:rPr>
        <w:t>评审委员会不得要求投标供应商澄清下列内容：</w:t>
      </w:r>
    </w:p>
    <w:p>
      <w:pPr>
        <w:adjustRightInd w:val="0"/>
        <w:snapToGrid w:val="0"/>
        <w:spacing w:line="560" w:lineRule="exact"/>
        <w:ind w:firstLine="560" w:firstLineChars="200"/>
        <w:rPr>
          <w:rFonts w:cs="仿宋" w:asciiTheme="minorEastAsia" w:hAnsiTheme="minorEastAsia" w:eastAsiaTheme="minorEastAsia"/>
          <w:bCs/>
          <w:sz w:val="28"/>
          <w:szCs w:val="28"/>
        </w:rPr>
      </w:pPr>
      <w:r>
        <w:rPr>
          <w:rFonts w:hint="eastAsia" w:asciiTheme="minorEastAsia" w:hAnsiTheme="minorEastAsia" w:eastAsiaTheme="minorEastAsia"/>
          <w:bCs/>
          <w:sz w:val="28"/>
          <w:szCs w:val="28"/>
          <w:lang w:val="zh-CN"/>
        </w:rPr>
        <w:t>（</w:t>
      </w:r>
      <w:r>
        <w:rPr>
          <w:rFonts w:asciiTheme="minorEastAsia" w:hAnsiTheme="minorEastAsia" w:eastAsiaTheme="minorEastAsia"/>
          <w:bCs/>
          <w:sz w:val="28"/>
          <w:szCs w:val="28"/>
          <w:lang w:val="zh-CN"/>
        </w:rPr>
        <w:t>1）</w:t>
      </w:r>
      <w:r>
        <w:rPr>
          <w:rFonts w:hint="eastAsia" w:cs="仿宋" w:asciiTheme="minorEastAsia" w:hAnsiTheme="minorEastAsia" w:eastAsiaTheme="minorEastAsia"/>
          <w:bCs/>
          <w:sz w:val="28"/>
          <w:szCs w:val="28"/>
        </w:rPr>
        <w:t>开标时未宣读的投标价格、价格折扣、招标文件允许提供的备选投标方案等实质性内容；</w:t>
      </w:r>
    </w:p>
    <w:p>
      <w:pPr>
        <w:adjustRightInd w:val="0"/>
        <w:snapToGrid w:val="0"/>
        <w:spacing w:line="560" w:lineRule="exact"/>
        <w:ind w:firstLine="560" w:firstLineChars="200"/>
        <w:rPr>
          <w:rFonts w:cs="仿宋" w:asciiTheme="minorEastAsia" w:hAnsiTheme="minorEastAsia" w:eastAsiaTheme="minorEastAsia"/>
          <w:bCs/>
          <w:sz w:val="28"/>
          <w:szCs w:val="28"/>
        </w:rPr>
      </w:pPr>
      <w:r>
        <w:rPr>
          <w:rFonts w:hint="eastAsia" w:asciiTheme="minorEastAsia" w:hAnsiTheme="minorEastAsia" w:eastAsiaTheme="minorEastAsia"/>
          <w:bCs/>
          <w:sz w:val="28"/>
          <w:szCs w:val="28"/>
          <w:lang w:val="zh-CN"/>
        </w:rPr>
        <w:t>（</w:t>
      </w:r>
      <w:r>
        <w:rPr>
          <w:rFonts w:asciiTheme="minorEastAsia" w:hAnsiTheme="minorEastAsia" w:eastAsiaTheme="minorEastAsia"/>
          <w:bCs/>
          <w:sz w:val="28"/>
          <w:szCs w:val="28"/>
          <w:lang w:val="zh-CN"/>
        </w:rPr>
        <w:t>2</w:t>
      </w:r>
      <w:r>
        <w:rPr>
          <w:rFonts w:hint="eastAsia" w:asciiTheme="minorEastAsia" w:hAnsiTheme="minorEastAsia" w:eastAsiaTheme="minorEastAsia"/>
          <w:bCs/>
          <w:sz w:val="28"/>
          <w:szCs w:val="28"/>
          <w:lang w:val="zh-CN"/>
        </w:rPr>
        <w:t>）</w:t>
      </w:r>
      <w:r>
        <w:rPr>
          <w:rFonts w:hint="eastAsia" w:cs="仿宋" w:asciiTheme="minorEastAsia" w:hAnsiTheme="minorEastAsia" w:eastAsiaTheme="minorEastAsia"/>
          <w:bCs/>
          <w:sz w:val="28"/>
          <w:szCs w:val="28"/>
        </w:rPr>
        <w:t>投标文件中不响应招标文件规定的技术参数指标和商务要求；</w:t>
      </w:r>
    </w:p>
    <w:p>
      <w:pPr>
        <w:adjustRightInd w:val="0"/>
        <w:snapToGrid w:val="0"/>
        <w:spacing w:line="560" w:lineRule="exact"/>
        <w:ind w:firstLine="560" w:firstLineChars="200"/>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w:t>
      </w:r>
      <w:r>
        <w:rPr>
          <w:rFonts w:cs="仿宋" w:asciiTheme="minorEastAsia" w:hAnsiTheme="minorEastAsia" w:eastAsiaTheme="minorEastAsia"/>
          <w:bCs/>
          <w:sz w:val="28"/>
          <w:szCs w:val="28"/>
        </w:rPr>
        <w:t>3</w:t>
      </w:r>
      <w:r>
        <w:rPr>
          <w:rFonts w:hint="eastAsia" w:cs="仿宋" w:asciiTheme="minorEastAsia" w:hAnsiTheme="minorEastAsia" w:eastAsiaTheme="minorEastAsia"/>
          <w:bCs/>
          <w:sz w:val="28"/>
          <w:szCs w:val="28"/>
        </w:rPr>
        <w:t>）投标文件中未提供的资格性、符合性审查要求的证明材料。</w:t>
      </w:r>
    </w:p>
    <w:p>
      <w:pPr>
        <w:pStyle w:val="5"/>
        <w:keepNext w:val="0"/>
        <w:keepLines w:val="0"/>
        <w:adjustRightInd w:val="0"/>
        <w:snapToGrid w:val="0"/>
        <w:ind w:firstLine="560" w:firstLineChars="200"/>
        <w:rPr>
          <w:rFonts w:ascii="黑体" w:hAnsi="黑体"/>
          <w:b w:val="0"/>
        </w:rPr>
      </w:pPr>
      <w:r>
        <w:rPr>
          <w:rFonts w:ascii="黑体" w:hAnsi="黑体"/>
          <w:b w:val="0"/>
        </w:rPr>
        <w:t>29.</w:t>
      </w:r>
      <w:r>
        <w:rPr>
          <w:rFonts w:hint="eastAsia" w:ascii="黑体" w:hAnsi="黑体"/>
          <w:b w:val="0"/>
        </w:rPr>
        <w:t>商务、技术评审</w:t>
      </w:r>
    </w:p>
    <w:p>
      <w:pPr>
        <w:spacing w:line="560" w:lineRule="exact"/>
        <w:ind w:firstLine="560" w:firstLineChars="200"/>
        <w:rPr>
          <w:sz w:val="28"/>
          <w:szCs w:val="28"/>
        </w:rPr>
      </w:pPr>
      <w:r>
        <w:rPr>
          <w:rFonts w:hint="eastAsia"/>
          <w:sz w:val="28"/>
          <w:szCs w:val="28"/>
        </w:rPr>
        <w:t>评审委员会按照招标文件中明确的评审方法和标准，对资格性和符合性审查合格的</w:t>
      </w:r>
      <w:r>
        <w:rPr>
          <w:rFonts w:hint="eastAsia" w:ascii="宋体" w:hAnsi="宋体"/>
          <w:sz w:val="28"/>
          <w:szCs w:val="28"/>
        </w:rPr>
        <w:t>投标供应商提交的</w:t>
      </w:r>
      <w:r>
        <w:rPr>
          <w:rFonts w:hint="eastAsia"/>
          <w:sz w:val="28"/>
          <w:szCs w:val="28"/>
        </w:rPr>
        <w:t>投标文件（不含价格文件）进行商务和技术评审。</w:t>
      </w:r>
    </w:p>
    <w:p>
      <w:pPr>
        <w:spacing w:line="560" w:lineRule="exact"/>
        <w:ind w:firstLine="560" w:firstLineChars="200"/>
        <w:rPr>
          <w:rFonts w:ascii="宋体" w:hAnsi="宋体"/>
          <w:bCs/>
          <w:sz w:val="28"/>
          <w:szCs w:val="28"/>
        </w:rPr>
      </w:pPr>
      <w:r>
        <w:rPr>
          <w:rFonts w:hint="eastAsia"/>
          <w:sz w:val="28"/>
          <w:szCs w:val="28"/>
        </w:rPr>
        <w:t>评审委员会应当按照招标文件要求，依据投标文件对投标供应商填写的内容进行审核确认。其中，商务评委按照商务评审标准作商务评审，技术评委按照技术评审标准进行技术评审。评审委员会成员应当填写评审工作底稿，详细记录评分情况，以及形成过程、计算依据和投标供应商排序情况，并签字确认。</w:t>
      </w:r>
      <w:r>
        <w:rPr>
          <w:rFonts w:hint="eastAsia"/>
          <w:b/>
          <w:bCs/>
          <w:sz w:val="28"/>
          <w:szCs w:val="28"/>
        </w:rPr>
        <w:t>评审委员会成员不得集体商议、沟通、协调，商务、技术评审方面存有歧义的除外。</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29.1</w:t>
      </w:r>
      <w:r>
        <w:rPr>
          <w:rFonts w:hint="eastAsia" w:ascii="宋体" w:hAnsi="宋体"/>
          <w:bCs/>
          <w:sz w:val="28"/>
          <w:szCs w:val="28"/>
        </w:rPr>
        <w:t>采用综合评分法</w:t>
      </w:r>
      <w:r>
        <w:rPr>
          <w:rFonts w:asciiTheme="minorEastAsia" w:hAnsiTheme="minorEastAsia" w:eastAsiaTheme="minorEastAsia"/>
          <w:bCs/>
          <w:sz w:val="28"/>
          <w:szCs w:val="28"/>
        </w:rPr>
        <w:t>/</w:t>
      </w:r>
      <w:r>
        <w:rPr>
          <w:rFonts w:hint="eastAsia" w:ascii="宋体" w:hAnsi="宋体"/>
          <w:bCs/>
          <w:sz w:val="28"/>
          <w:szCs w:val="28"/>
        </w:rPr>
        <w:t>质量优先法评审时：</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商务、技术评分项响应评审。评审委员会按招标文件规定的评审标准，对商务、技术评分项计算得分。</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评审委员会成员对同一投标供应商的商务或技术的评分，偏离评审委员会全体成员的评分均值</w:t>
      </w:r>
      <w:r>
        <w:rPr>
          <w:rFonts w:asciiTheme="minorEastAsia" w:hAnsiTheme="minorEastAsia" w:eastAsiaTheme="minorEastAsia"/>
          <w:bCs/>
          <w:sz w:val="28"/>
          <w:szCs w:val="28"/>
        </w:rPr>
        <w:t>20%以上的，以其他评委的评分均值作为该成员的评分；评审委员会</w:t>
      </w:r>
      <w:r>
        <w:rPr>
          <w:rFonts w:hint="eastAsia" w:asciiTheme="minorEastAsia" w:hAnsiTheme="minorEastAsia" w:eastAsiaTheme="minorEastAsia"/>
          <w:bCs/>
          <w:sz w:val="28"/>
          <w:szCs w:val="28"/>
        </w:rPr>
        <w:t>所有</w:t>
      </w:r>
      <w:r>
        <w:rPr>
          <w:rFonts w:asciiTheme="minorEastAsia" w:hAnsiTheme="minorEastAsia" w:eastAsiaTheme="minorEastAsia"/>
          <w:bCs/>
          <w:sz w:val="28"/>
          <w:szCs w:val="28"/>
        </w:rPr>
        <w:t>成员的评分均偏离20%以上的，以全体成员的评分均值</w:t>
      </w:r>
      <w:r>
        <w:rPr>
          <w:rFonts w:hint="eastAsia" w:asciiTheme="minorEastAsia" w:hAnsiTheme="minorEastAsia" w:eastAsiaTheme="minorEastAsia"/>
          <w:bCs/>
          <w:sz w:val="28"/>
          <w:szCs w:val="28"/>
        </w:rPr>
        <w:t>计算</w:t>
      </w:r>
      <w:r>
        <w:rPr>
          <w:rFonts w:asciiTheme="minorEastAsia" w:hAnsiTheme="minorEastAsia" w:eastAsiaTheme="minorEastAsia"/>
          <w:bCs/>
          <w:sz w:val="28"/>
          <w:szCs w:val="28"/>
        </w:rPr>
        <w:t>。</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采用质量优先法的具体评审流程：先不考虑价格因素，对</w:t>
      </w:r>
      <w:r>
        <w:rPr>
          <w:rFonts w:asciiTheme="minorEastAsia" w:hAnsiTheme="minorEastAsia" w:eastAsiaTheme="minorEastAsia"/>
          <w:bCs/>
          <w:sz w:val="28"/>
          <w:szCs w:val="28"/>
        </w:rPr>
        <w:t>通过资格性和符合性审查</w:t>
      </w:r>
      <w:r>
        <w:rPr>
          <w:rFonts w:hint="eastAsia" w:asciiTheme="minorEastAsia" w:hAnsiTheme="minorEastAsia" w:eastAsiaTheme="minorEastAsia"/>
          <w:bCs/>
          <w:sz w:val="28"/>
          <w:szCs w:val="28"/>
        </w:rPr>
        <w:t>的投标供应商</w:t>
      </w:r>
      <w:r>
        <w:rPr>
          <w:rFonts w:asciiTheme="minorEastAsia" w:hAnsiTheme="minorEastAsia" w:eastAsiaTheme="minorEastAsia"/>
          <w:bCs/>
          <w:sz w:val="28"/>
          <w:szCs w:val="28"/>
        </w:rPr>
        <w:t>，</w:t>
      </w:r>
      <w:r>
        <w:rPr>
          <w:rFonts w:hint="eastAsia" w:asciiTheme="minorEastAsia" w:hAnsiTheme="minorEastAsia" w:eastAsiaTheme="minorEastAsia"/>
          <w:bCs/>
          <w:sz w:val="28"/>
          <w:szCs w:val="28"/>
        </w:rPr>
        <w:t>依据</w:t>
      </w:r>
      <w:r>
        <w:rPr>
          <w:rFonts w:asciiTheme="minorEastAsia" w:hAnsiTheme="minorEastAsia" w:eastAsiaTheme="minorEastAsia"/>
          <w:bCs/>
          <w:sz w:val="28"/>
          <w:szCs w:val="28"/>
        </w:rPr>
        <w:t>商务、技术评审标准进行评审</w:t>
      </w:r>
      <w:r>
        <w:rPr>
          <w:rFonts w:hint="eastAsia" w:asciiTheme="minorEastAsia" w:hAnsiTheme="minorEastAsia" w:eastAsiaTheme="minorEastAsia"/>
          <w:bCs/>
          <w:sz w:val="28"/>
          <w:szCs w:val="28"/>
        </w:rPr>
        <w:t>后</w:t>
      </w:r>
      <w:r>
        <w:rPr>
          <w:rFonts w:asciiTheme="minorEastAsia" w:hAnsiTheme="minorEastAsia" w:eastAsiaTheme="minorEastAsia"/>
          <w:bCs/>
          <w:sz w:val="28"/>
          <w:szCs w:val="28"/>
        </w:rPr>
        <w:t>，</w:t>
      </w:r>
      <w:r>
        <w:rPr>
          <w:rFonts w:hint="eastAsia" w:asciiTheme="minorEastAsia" w:hAnsiTheme="minorEastAsia" w:eastAsiaTheme="minorEastAsia"/>
          <w:bCs/>
          <w:sz w:val="28"/>
          <w:szCs w:val="28"/>
        </w:rPr>
        <w:t>现场宣布商务、技术得分和技术排名，并公布按照【投标供应商须知前附表】明确的合格分或规定名次</w:t>
      </w:r>
      <w:r>
        <w:rPr>
          <w:rFonts w:asciiTheme="minorEastAsia" w:hAnsiTheme="minorEastAsia" w:eastAsiaTheme="minorEastAsia"/>
          <w:bCs/>
          <w:sz w:val="28"/>
          <w:szCs w:val="28"/>
        </w:rPr>
        <w:t>淘汰</w:t>
      </w:r>
      <w:r>
        <w:rPr>
          <w:rFonts w:hint="eastAsia" w:asciiTheme="minorEastAsia" w:hAnsiTheme="minorEastAsia" w:eastAsiaTheme="minorEastAsia"/>
          <w:bCs/>
          <w:sz w:val="28"/>
          <w:szCs w:val="28"/>
        </w:rPr>
        <w:t>的</w:t>
      </w:r>
      <w:r>
        <w:rPr>
          <w:rFonts w:asciiTheme="minorEastAsia" w:hAnsiTheme="minorEastAsia" w:eastAsiaTheme="minorEastAsia"/>
          <w:bCs/>
          <w:sz w:val="28"/>
          <w:szCs w:val="28"/>
        </w:rPr>
        <w:t>技术评审</w:t>
      </w:r>
      <w:r>
        <w:rPr>
          <w:rFonts w:hint="eastAsia" w:asciiTheme="minorEastAsia" w:hAnsiTheme="minorEastAsia" w:eastAsiaTheme="minorEastAsia"/>
          <w:bCs/>
          <w:sz w:val="28"/>
          <w:szCs w:val="28"/>
        </w:rPr>
        <w:t>未达到合格分或得分排名</w:t>
      </w:r>
      <w:r>
        <w:rPr>
          <w:rFonts w:asciiTheme="minorEastAsia" w:hAnsiTheme="minorEastAsia" w:eastAsiaTheme="minorEastAsia"/>
          <w:bCs/>
          <w:sz w:val="28"/>
          <w:szCs w:val="28"/>
        </w:rPr>
        <w:t>靠后的</w:t>
      </w:r>
      <w:r>
        <w:rPr>
          <w:rFonts w:hint="eastAsia" w:asciiTheme="minorEastAsia" w:hAnsiTheme="minorEastAsia" w:eastAsiaTheme="minorEastAsia"/>
          <w:bCs/>
          <w:sz w:val="28"/>
          <w:szCs w:val="28"/>
        </w:rPr>
        <w:t>投标</w:t>
      </w:r>
      <w:r>
        <w:rPr>
          <w:rFonts w:asciiTheme="minorEastAsia" w:hAnsiTheme="minorEastAsia" w:eastAsiaTheme="minorEastAsia"/>
          <w:bCs/>
          <w:sz w:val="28"/>
          <w:szCs w:val="28"/>
        </w:rPr>
        <w:t>供应商，</w:t>
      </w:r>
      <w:r>
        <w:rPr>
          <w:rFonts w:hint="eastAsia" w:asciiTheme="minorEastAsia" w:hAnsiTheme="minorEastAsia" w:eastAsiaTheme="minorEastAsia"/>
          <w:bCs/>
          <w:sz w:val="28"/>
          <w:szCs w:val="28"/>
        </w:rPr>
        <w:t>第二次开标后，</w:t>
      </w:r>
      <w:r>
        <w:rPr>
          <w:rFonts w:asciiTheme="minorEastAsia" w:hAnsiTheme="minorEastAsia" w:eastAsiaTheme="minorEastAsia"/>
          <w:bCs/>
          <w:sz w:val="28"/>
          <w:szCs w:val="28"/>
        </w:rPr>
        <w:t>按照价格评审标准进行评审。</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29.2采用经评审的最低价法评审时：</w:t>
      </w:r>
    </w:p>
    <w:p>
      <w:pPr>
        <w:adjustRightInd w:val="0"/>
        <w:snapToGrid w:val="0"/>
        <w:spacing w:line="560" w:lineRule="exact"/>
        <w:ind w:firstLine="560" w:firstLineChars="200"/>
      </w:pPr>
      <w:r>
        <w:rPr>
          <w:rFonts w:hint="eastAsia" w:asciiTheme="minorEastAsia" w:hAnsiTheme="minorEastAsia" w:eastAsiaTheme="minorEastAsia"/>
          <w:bCs/>
          <w:sz w:val="28"/>
          <w:szCs w:val="28"/>
        </w:rPr>
        <w:t>评审委员会按招标文件规定的评审标准，对商务、技术指标是否实质性响应进行判定；必要时，对技术指标优劣进行排序。</w:t>
      </w:r>
    </w:p>
    <w:p>
      <w:pPr>
        <w:adjustRightInd w:val="0"/>
        <w:snapToGrid w:val="0"/>
        <w:spacing w:line="560" w:lineRule="exact"/>
        <w:ind w:firstLine="560" w:firstLineChars="200"/>
        <w:rPr>
          <w:rFonts w:ascii="宋体" w:hAnsi="宋体" w:cs="宋体"/>
          <w:bCs/>
          <w:snapToGrid w:val="0"/>
          <w:sz w:val="28"/>
          <w:szCs w:val="28"/>
          <w:lang w:val="zh-CN"/>
        </w:rPr>
      </w:pPr>
      <w:r>
        <w:rPr>
          <w:rFonts w:ascii="宋体" w:hAnsi="宋体"/>
          <w:bCs/>
          <w:sz w:val="28"/>
          <w:szCs w:val="28"/>
        </w:rPr>
        <w:t>※</w:t>
      </w:r>
      <w:r>
        <w:rPr>
          <w:rFonts w:ascii="宋体" w:hAnsi="宋体" w:cs="宋体"/>
          <w:bCs/>
          <w:snapToGrid w:val="0"/>
          <w:sz w:val="28"/>
          <w:szCs w:val="28"/>
          <w:lang w:val="zh-CN"/>
        </w:rPr>
        <w:t>29.</w:t>
      </w:r>
      <w:r>
        <w:rPr>
          <w:rFonts w:ascii="宋体" w:hAnsi="宋体" w:cs="宋体"/>
          <w:bCs/>
          <w:snapToGrid w:val="0"/>
          <w:sz w:val="28"/>
          <w:szCs w:val="28"/>
        </w:rPr>
        <w:t>3</w:t>
      </w:r>
      <w:r>
        <w:rPr>
          <w:rFonts w:ascii="宋体" w:hAnsi="宋体" w:cs="宋体"/>
          <w:bCs/>
          <w:snapToGrid w:val="0"/>
          <w:sz w:val="28"/>
          <w:szCs w:val="28"/>
          <w:lang w:val="zh-CN"/>
        </w:rPr>
        <w:t>样品评审。</w:t>
      </w:r>
      <w:r>
        <w:rPr>
          <w:rFonts w:hint="eastAsia" w:asciiTheme="minorEastAsia" w:hAnsiTheme="minorEastAsia" w:eastAsiaTheme="minorEastAsia"/>
          <w:bCs/>
          <w:sz w:val="28"/>
          <w:szCs w:val="28"/>
        </w:rPr>
        <w:t>除【投标供应商须知前附表】另有规定外，</w:t>
      </w:r>
      <w:r>
        <w:rPr>
          <w:rFonts w:hint="eastAsia" w:ascii="宋体" w:hAnsi="宋体" w:cs="宋体"/>
          <w:bCs/>
          <w:snapToGrid w:val="0"/>
          <w:sz w:val="28"/>
          <w:szCs w:val="28"/>
          <w:lang w:val="zh-CN"/>
        </w:rPr>
        <w:t>样品评审采用盲评。投标供应商应当对提供样品的明显标识、铭牌和标签等进行遮挡，采购机构在样品评审前统一编号，评审委员会依据样品评审标准进行盲评。</w:t>
      </w:r>
    </w:p>
    <w:p>
      <w:pPr>
        <w:adjustRightInd w:val="0"/>
        <w:snapToGrid w:val="0"/>
        <w:spacing w:line="560" w:lineRule="exact"/>
        <w:ind w:firstLine="560" w:firstLineChars="200"/>
        <w:rPr>
          <w:rFonts w:ascii="宋体" w:hAnsi="宋体" w:cs="宋体"/>
          <w:bCs/>
          <w:snapToGrid w:val="0"/>
          <w:sz w:val="28"/>
          <w:szCs w:val="28"/>
          <w:lang w:val="zh-CN"/>
        </w:rPr>
      </w:pPr>
      <w:r>
        <w:rPr>
          <w:rFonts w:ascii="宋体" w:hAnsi="宋体" w:cs="宋体"/>
          <w:bCs/>
          <w:snapToGrid w:val="0"/>
          <w:sz w:val="28"/>
          <w:szCs w:val="28"/>
          <w:lang w:val="zh-CN"/>
        </w:rPr>
        <w:t>29.</w:t>
      </w:r>
      <w:r>
        <w:rPr>
          <w:rFonts w:ascii="宋体" w:hAnsi="宋体" w:cs="宋体"/>
          <w:bCs/>
          <w:snapToGrid w:val="0"/>
          <w:sz w:val="28"/>
          <w:szCs w:val="28"/>
        </w:rPr>
        <w:t>4</w:t>
      </w:r>
      <w:r>
        <w:rPr>
          <w:rFonts w:ascii="宋体" w:hAnsi="宋体" w:cs="宋体"/>
          <w:bCs/>
          <w:snapToGrid w:val="0"/>
          <w:sz w:val="28"/>
          <w:szCs w:val="28"/>
          <w:lang w:val="zh-CN"/>
        </w:rPr>
        <w:t>相同品牌或核心产品评审。</w:t>
      </w:r>
    </w:p>
    <w:p>
      <w:pPr>
        <w:adjustRightInd w:val="0"/>
        <w:snapToGrid w:val="0"/>
        <w:spacing w:line="560" w:lineRule="exact"/>
        <w:ind w:firstLine="560" w:firstLineChars="200"/>
        <w:rPr>
          <w:rFonts w:ascii="仿宋_GB2312" w:hAnsi="仿宋"/>
          <w:bCs/>
          <w:sz w:val="28"/>
          <w:szCs w:val="36"/>
        </w:rPr>
      </w:pPr>
      <w:r>
        <w:rPr>
          <w:rFonts w:hint="eastAsia" w:ascii="宋体" w:hAnsi="宋体"/>
          <w:bCs/>
          <w:sz w:val="28"/>
          <w:szCs w:val="36"/>
        </w:rPr>
        <w:t>（</w:t>
      </w:r>
      <w:r>
        <w:rPr>
          <w:rFonts w:ascii="宋体" w:hAnsi="宋体"/>
          <w:bCs/>
          <w:sz w:val="28"/>
          <w:szCs w:val="36"/>
        </w:rPr>
        <w:t>1）单个品种物资采购项目</w:t>
      </w:r>
      <w:r>
        <w:rPr>
          <w:rFonts w:hint="eastAsia" w:ascii="宋体" w:hAnsi="宋体"/>
          <w:bCs/>
          <w:sz w:val="28"/>
          <w:szCs w:val="36"/>
        </w:rPr>
        <w:t>，</w:t>
      </w:r>
      <w:r>
        <w:rPr>
          <w:rFonts w:ascii="宋体" w:hAnsi="宋体"/>
          <w:bCs/>
          <w:sz w:val="28"/>
          <w:szCs w:val="36"/>
        </w:rPr>
        <w:t>不同</w:t>
      </w:r>
      <w:r>
        <w:rPr>
          <w:rFonts w:hint="eastAsia" w:ascii="仿宋_GB2312" w:hAnsi="仿宋"/>
          <w:bCs/>
          <w:sz w:val="28"/>
          <w:szCs w:val="36"/>
        </w:rPr>
        <w:t>投标供应商</w:t>
      </w:r>
      <w:r>
        <w:rPr>
          <w:rFonts w:ascii="宋体" w:hAnsi="宋体"/>
          <w:bCs/>
          <w:sz w:val="28"/>
          <w:szCs w:val="36"/>
        </w:rPr>
        <w:t>提供相同品牌产品的</w:t>
      </w:r>
      <w:r>
        <w:rPr>
          <w:rFonts w:hint="eastAsia" w:ascii="宋体" w:hAnsi="宋体"/>
          <w:bCs/>
          <w:sz w:val="28"/>
          <w:szCs w:val="36"/>
        </w:rPr>
        <w:t>，投标供应商数量按1家</w:t>
      </w:r>
      <w:r>
        <w:rPr>
          <w:rFonts w:hint="eastAsia" w:ascii="仿宋_GB2312" w:hAnsi="仿宋"/>
          <w:bCs/>
          <w:sz w:val="28"/>
          <w:szCs w:val="36"/>
        </w:rPr>
        <w:t>投标供应商</w:t>
      </w:r>
      <w:r>
        <w:rPr>
          <w:rFonts w:hint="eastAsia" w:ascii="宋体" w:hAnsi="宋体"/>
          <w:bCs/>
          <w:sz w:val="28"/>
          <w:szCs w:val="36"/>
        </w:rPr>
        <w:t>计算。提供不同品牌产品的</w:t>
      </w:r>
      <w:r>
        <w:rPr>
          <w:rFonts w:hint="eastAsia" w:ascii="仿宋_GB2312" w:hAnsi="仿宋"/>
          <w:bCs/>
          <w:sz w:val="28"/>
          <w:szCs w:val="36"/>
        </w:rPr>
        <w:t>投标供</w:t>
      </w:r>
      <w:r>
        <w:rPr>
          <w:rFonts w:hint="eastAsia" w:asciiTheme="minorEastAsia" w:hAnsiTheme="minorEastAsia" w:eastAsiaTheme="minorEastAsia"/>
          <w:bCs/>
          <w:sz w:val="28"/>
          <w:szCs w:val="36"/>
        </w:rPr>
        <w:t>应商达到3家及以上的继续组织评审。其中，采用综合评分法、质量优先法的，应当分</w:t>
      </w:r>
      <w:r>
        <w:rPr>
          <w:rFonts w:hint="eastAsia" w:ascii="仿宋_GB2312" w:hAnsi="仿宋"/>
          <w:bCs/>
          <w:sz w:val="28"/>
          <w:szCs w:val="36"/>
        </w:rPr>
        <w:t>别对同品牌的所有投标供应商进行评分，由得分（综合评分法为总分，质量优先法为商务和技术分）最高的投标供应商参加后续评审；采用经评审的最低价法的，由同品牌的所有投标供应商中报价最低的参加后续评审。同品牌投标供应商得分或报价相同的，由评审委员会按照</w:t>
      </w:r>
      <w:r>
        <w:rPr>
          <w:rFonts w:hint="eastAsia" w:asciiTheme="minorEastAsia" w:hAnsiTheme="minorEastAsia" w:eastAsiaTheme="minorEastAsia"/>
          <w:bCs/>
          <w:sz w:val="28"/>
          <w:szCs w:val="28"/>
        </w:rPr>
        <w:t>【投标供应商须知前附表】明确的方式</w:t>
      </w:r>
      <w:r>
        <w:rPr>
          <w:rFonts w:hint="eastAsia" w:ascii="仿宋_GB2312" w:hAnsi="仿宋"/>
          <w:bCs/>
          <w:sz w:val="28"/>
          <w:szCs w:val="36"/>
        </w:rPr>
        <w:t>确定1家投标供应商参加后续评审。只有</w:t>
      </w:r>
      <w:r>
        <w:rPr>
          <w:rFonts w:asciiTheme="minorEastAsia" w:hAnsiTheme="minorEastAsia" w:eastAsiaTheme="minorEastAsia"/>
          <w:bCs/>
          <w:sz w:val="28"/>
          <w:szCs w:val="36"/>
        </w:rPr>
        <w:t>2</w:t>
      </w:r>
      <w:r>
        <w:rPr>
          <w:rFonts w:hint="eastAsia" w:asciiTheme="minorEastAsia" w:hAnsiTheme="minorEastAsia" w:eastAsiaTheme="minorEastAsia"/>
          <w:bCs/>
          <w:sz w:val="28"/>
          <w:szCs w:val="36"/>
        </w:rPr>
        <w:t>家</w:t>
      </w:r>
      <w:r>
        <w:rPr>
          <w:rFonts w:hint="eastAsia" w:ascii="仿宋_GB2312" w:hAnsi="仿宋"/>
          <w:bCs/>
          <w:sz w:val="28"/>
          <w:szCs w:val="36"/>
        </w:rPr>
        <w:t>品牌产品的，</w:t>
      </w:r>
      <w:r>
        <w:rPr>
          <w:rFonts w:hint="eastAsia" w:ascii="宋体" w:hAnsi="宋体"/>
          <w:bCs/>
          <w:sz w:val="28"/>
          <w:szCs w:val="36"/>
        </w:rPr>
        <w:t>按照第</w:t>
      </w:r>
      <w:r>
        <w:rPr>
          <w:rFonts w:ascii="宋体" w:hAnsi="宋体"/>
          <w:bCs/>
          <w:sz w:val="28"/>
          <w:szCs w:val="36"/>
        </w:rPr>
        <w:t>20.4</w:t>
      </w:r>
      <w:r>
        <w:rPr>
          <w:rFonts w:hint="eastAsia" w:ascii="宋体" w:hAnsi="宋体"/>
          <w:bCs/>
          <w:sz w:val="28"/>
          <w:szCs w:val="36"/>
        </w:rPr>
        <w:t>条明确的</w:t>
      </w:r>
      <w:r>
        <w:rPr>
          <w:rFonts w:hint="eastAsia" w:ascii="仿宋_GB2312" w:hAnsi="仿宋"/>
          <w:bCs/>
          <w:sz w:val="28"/>
          <w:szCs w:val="36"/>
        </w:rPr>
        <w:t>方法执行。</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36"/>
        </w:rPr>
        <w:t>（</w:t>
      </w:r>
      <w:r>
        <w:rPr>
          <w:rFonts w:ascii="宋体" w:hAnsi="宋体"/>
          <w:bCs/>
          <w:sz w:val="28"/>
          <w:szCs w:val="36"/>
        </w:rPr>
        <w:t>2）多个品种物资采购项目</w:t>
      </w:r>
      <w:r>
        <w:rPr>
          <w:rFonts w:hint="eastAsia" w:ascii="宋体" w:hAnsi="宋体"/>
          <w:bCs/>
          <w:sz w:val="28"/>
          <w:szCs w:val="36"/>
        </w:rPr>
        <w:t>，</w:t>
      </w:r>
      <w:r>
        <w:rPr>
          <w:rFonts w:hint="eastAsia" w:ascii="宋体" w:hAnsi="宋体"/>
          <w:bCs/>
          <w:sz w:val="28"/>
          <w:szCs w:val="28"/>
        </w:rPr>
        <w:t>核心产品见</w:t>
      </w:r>
      <w:r>
        <w:rPr>
          <w:rFonts w:hint="eastAsia" w:asciiTheme="minorEastAsia" w:hAnsiTheme="minorEastAsia" w:eastAsiaTheme="minorEastAsia"/>
          <w:bCs/>
          <w:sz w:val="28"/>
          <w:szCs w:val="28"/>
        </w:rPr>
        <w:t>【投标供应商须知前附表】</w:t>
      </w:r>
      <w:r>
        <w:rPr>
          <w:rFonts w:hint="eastAsia" w:ascii="宋体" w:hAnsi="宋体"/>
          <w:bCs/>
          <w:sz w:val="28"/>
          <w:szCs w:val="28"/>
        </w:rPr>
        <w:t>。</w:t>
      </w:r>
      <w:r>
        <w:rPr>
          <w:rFonts w:hint="eastAsia" w:ascii="宋体" w:hAnsi="宋体"/>
          <w:bCs/>
          <w:sz w:val="28"/>
          <w:szCs w:val="36"/>
        </w:rPr>
        <w:t>多家投标供应商提供的核心产品品牌相同的，以及招标文件未明确核心产品、不同投标供应商提供的相同品牌产品金额均超过各自报价</w:t>
      </w:r>
      <w:r>
        <w:rPr>
          <w:rFonts w:ascii="宋体" w:hAnsi="宋体"/>
          <w:bCs/>
          <w:sz w:val="28"/>
          <w:szCs w:val="36"/>
        </w:rPr>
        <w:t>50%的，按照</w:t>
      </w:r>
      <w:r>
        <w:rPr>
          <w:rFonts w:hint="eastAsia" w:ascii="宋体" w:hAnsi="宋体"/>
          <w:bCs/>
          <w:sz w:val="28"/>
          <w:szCs w:val="36"/>
        </w:rPr>
        <w:t>1</w:t>
      </w:r>
      <w:r>
        <w:rPr>
          <w:rFonts w:ascii="宋体" w:hAnsi="宋体"/>
          <w:bCs/>
          <w:sz w:val="28"/>
          <w:szCs w:val="36"/>
        </w:rPr>
        <w:t>家投标供应商计算，依据前</w:t>
      </w:r>
      <w:r>
        <w:rPr>
          <w:rFonts w:hint="eastAsia" w:ascii="宋体" w:hAnsi="宋体"/>
          <w:bCs/>
          <w:sz w:val="28"/>
          <w:szCs w:val="36"/>
        </w:rPr>
        <w:t>条</w:t>
      </w:r>
      <w:r>
        <w:rPr>
          <w:rFonts w:ascii="宋体" w:hAnsi="宋体"/>
          <w:bCs/>
          <w:sz w:val="28"/>
          <w:szCs w:val="36"/>
        </w:rPr>
        <w:t>执行。</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29.5</w:t>
      </w:r>
      <w:r>
        <w:rPr>
          <w:rFonts w:hint="eastAsia" w:ascii="宋体" w:hAnsi="宋体"/>
          <w:bCs/>
          <w:sz w:val="28"/>
          <w:szCs w:val="28"/>
        </w:rPr>
        <w:t>评审委员会成员对客观分值的评分应当一致；财务状况、技术偏离、业绩等，应当以投标供应商提供的财务报表、检测报告、资质文件、合同原件或复印件，以及有关证明材料为依据。对其他需要借助专业知识评判的主观分值，应当严格按照评分细则独立评审。</w:t>
      </w:r>
    </w:p>
    <w:p>
      <w:pPr>
        <w:pStyle w:val="5"/>
        <w:keepNext w:val="0"/>
        <w:keepLines w:val="0"/>
        <w:adjustRightInd w:val="0"/>
        <w:snapToGrid w:val="0"/>
        <w:ind w:firstLine="560" w:firstLineChars="200"/>
        <w:rPr>
          <w:rFonts w:ascii="黑体" w:hAnsi="黑体"/>
          <w:b w:val="0"/>
        </w:rPr>
      </w:pPr>
      <w:r>
        <w:rPr>
          <w:rFonts w:ascii="黑体" w:hAnsi="黑体"/>
          <w:b w:val="0"/>
        </w:rPr>
        <w:t>30.</w:t>
      </w:r>
      <w:r>
        <w:rPr>
          <w:rFonts w:hint="eastAsia" w:ascii="黑体" w:hAnsi="黑体"/>
          <w:b w:val="0"/>
        </w:rPr>
        <w:t>价格评审</w:t>
      </w:r>
    </w:p>
    <w:p>
      <w:pPr>
        <w:spacing w:line="560" w:lineRule="exact"/>
        <w:ind w:firstLine="560" w:firstLineChars="200"/>
        <w:rPr>
          <w:rFonts w:asciiTheme="minorEastAsia" w:hAnsiTheme="minorEastAsia" w:eastAsiaTheme="minorEastAsia"/>
          <w:bCs/>
          <w:sz w:val="28"/>
          <w:szCs w:val="28"/>
        </w:rPr>
      </w:pPr>
      <w:r>
        <w:rPr>
          <w:rFonts w:hint="eastAsia" w:ascii="宋体" w:hAnsi="宋体"/>
          <w:bCs/>
          <w:snapToGrid w:val="0"/>
          <w:sz w:val="28"/>
          <w:szCs w:val="28"/>
          <w:lang w:val="zh-CN"/>
        </w:rPr>
        <w:t>商务、技术评审结束后，工作人员再将“价格文件”交</w:t>
      </w:r>
      <w:r>
        <w:rPr>
          <w:rFonts w:hint="eastAsia" w:ascii="宋体" w:hAnsi="宋体"/>
          <w:bCs/>
          <w:sz w:val="28"/>
          <w:szCs w:val="28"/>
        </w:rPr>
        <w:t>评审委员会。</w:t>
      </w:r>
      <w:r>
        <w:rPr>
          <w:rFonts w:hint="eastAsia" w:asciiTheme="minorEastAsia" w:hAnsiTheme="minorEastAsia" w:eastAsiaTheme="minorEastAsia"/>
          <w:bCs/>
          <w:sz w:val="28"/>
          <w:szCs w:val="28"/>
        </w:rPr>
        <w:t>评审委员会组织价格评审，核对报价内容是否准确、合理。</w:t>
      </w:r>
    </w:p>
    <w:p>
      <w:pPr>
        <w:adjustRightInd w:val="0"/>
        <w:snapToGrid w:val="0"/>
        <w:spacing w:line="560" w:lineRule="exact"/>
        <w:ind w:firstLine="560" w:firstLineChars="200"/>
        <w:jc w:val="left"/>
        <w:rPr>
          <w:rFonts w:asciiTheme="minorEastAsia" w:hAnsiTheme="minorEastAsia" w:eastAsiaTheme="minorEastAsia"/>
          <w:bCs/>
          <w:sz w:val="28"/>
          <w:szCs w:val="28"/>
        </w:rPr>
      </w:pPr>
      <w:r>
        <w:rPr>
          <w:rFonts w:asciiTheme="minorEastAsia" w:hAnsiTheme="minorEastAsia" w:eastAsiaTheme="minorEastAsia"/>
          <w:bCs/>
          <w:sz w:val="28"/>
          <w:szCs w:val="28"/>
        </w:rPr>
        <w:t>30.1</w:t>
      </w:r>
      <w:r>
        <w:rPr>
          <w:rFonts w:hint="eastAsia" w:asciiTheme="minorEastAsia" w:hAnsiTheme="minorEastAsia" w:eastAsiaTheme="minorEastAsia"/>
          <w:bCs/>
          <w:sz w:val="28"/>
          <w:szCs w:val="28"/>
        </w:rPr>
        <w:t>综合评分法和质量优先法的价格分，采用低价优先法计算，即满足招标文件实质性要求的投标供应商最低报价为评审基准价，其价格分为满分（标准分值）。其他投标供应商的价格分按照下列公式计算：</w:t>
      </w:r>
    </w:p>
    <w:p>
      <w:pPr>
        <w:adjustRightInd w:val="0"/>
        <w:snapToGrid w:val="0"/>
        <w:spacing w:line="560" w:lineRule="exact"/>
        <w:ind w:firstLine="560" w:firstLineChars="200"/>
        <w:jc w:val="left"/>
        <w:rPr>
          <w:rFonts w:asciiTheme="minorEastAsia" w:hAnsiTheme="minorEastAsia" w:eastAsiaTheme="minorEastAsia"/>
          <w:bCs/>
          <w:sz w:val="28"/>
          <w:szCs w:val="28"/>
        </w:rPr>
      </w:pPr>
      <w:r>
        <w:rPr>
          <w:rFonts w:hint="eastAsia" w:asciiTheme="minorEastAsia" w:hAnsiTheme="minorEastAsia" w:eastAsiaTheme="minorEastAsia"/>
          <w:bCs/>
          <w:sz w:val="28"/>
          <w:szCs w:val="28"/>
        </w:rPr>
        <w:t>价格得分</w:t>
      </w:r>
      <w:r>
        <w:rPr>
          <w:rFonts w:asciiTheme="minorEastAsia" w:hAnsiTheme="minorEastAsia" w:eastAsiaTheme="minorEastAsia"/>
          <w:bCs/>
          <w:sz w:val="28"/>
          <w:szCs w:val="28"/>
        </w:rPr>
        <w:t>=（评审基准价/报价）×标准分值</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如有第</w:t>
      </w:r>
      <w:r>
        <w:rPr>
          <w:rFonts w:asciiTheme="minorEastAsia" w:hAnsiTheme="minorEastAsia" w:eastAsiaTheme="minorEastAsia"/>
          <w:bCs/>
          <w:sz w:val="28"/>
          <w:szCs w:val="28"/>
        </w:rPr>
        <w:t>28.4</w:t>
      </w:r>
      <w:r>
        <w:rPr>
          <w:rFonts w:hint="eastAsia" w:asciiTheme="minorEastAsia" w:hAnsiTheme="minorEastAsia" w:eastAsiaTheme="minorEastAsia"/>
          <w:bCs/>
          <w:sz w:val="28"/>
          <w:szCs w:val="28"/>
        </w:rPr>
        <w:t>条出现的算术修正，以算术修正后的价格计算评审基准价和投标报价。</w:t>
      </w:r>
    </w:p>
    <w:p>
      <w:pPr>
        <w:adjustRightInd w:val="0"/>
        <w:snapToGrid w:val="0"/>
        <w:spacing w:line="560" w:lineRule="exact"/>
        <w:ind w:firstLine="560" w:firstLineChars="200"/>
      </w:pPr>
      <w:r>
        <w:rPr>
          <w:rFonts w:ascii="宋体" w:hAnsi="宋体"/>
          <w:bCs/>
          <w:sz w:val="28"/>
          <w:szCs w:val="28"/>
        </w:rPr>
        <w:t>30.2经评审的最低价法</w:t>
      </w:r>
      <w:r>
        <w:rPr>
          <w:rFonts w:hint="eastAsia" w:ascii="宋体" w:hAnsi="宋体"/>
          <w:bCs/>
          <w:sz w:val="28"/>
          <w:szCs w:val="28"/>
        </w:rPr>
        <w:t>的价格评审，</w:t>
      </w:r>
      <w:r>
        <w:rPr>
          <w:rFonts w:ascii="宋体" w:hAnsi="宋体"/>
          <w:bCs/>
          <w:sz w:val="28"/>
          <w:szCs w:val="28"/>
        </w:rPr>
        <w:t>按照投标报价由低到高顺序排列</w:t>
      </w:r>
      <w:r>
        <w:rPr>
          <w:rFonts w:hint="eastAsia"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30.3</w:t>
      </w:r>
      <w:r>
        <w:rPr>
          <w:rFonts w:hint="eastAsia" w:ascii="宋体" w:hAnsi="宋体"/>
          <w:bCs/>
          <w:sz w:val="28"/>
          <w:szCs w:val="28"/>
        </w:rPr>
        <w:t>评审委员会认为投标供应商报价低于其他所有</w:t>
      </w:r>
      <w:r>
        <w:rPr>
          <w:rFonts w:ascii="宋体" w:hAnsi="宋体"/>
          <w:bCs/>
          <w:sz w:val="28"/>
          <w:szCs w:val="28"/>
        </w:rPr>
        <w:t>通过资格性</w:t>
      </w:r>
      <w:r>
        <w:rPr>
          <w:rFonts w:hint="eastAsia" w:ascii="宋体" w:hAnsi="宋体"/>
          <w:bCs/>
          <w:sz w:val="28"/>
          <w:szCs w:val="28"/>
        </w:rPr>
        <w:t>、</w:t>
      </w:r>
      <w:r>
        <w:rPr>
          <w:rFonts w:ascii="宋体" w:hAnsi="宋体"/>
          <w:bCs/>
          <w:sz w:val="28"/>
          <w:szCs w:val="28"/>
        </w:rPr>
        <w:t>符合性审查的</w:t>
      </w:r>
      <w:r>
        <w:rPr>
          <w:rFonts w:hint="eastAsia" w:ascii="宋体" w:hAnsi="宋体"/>
          <w:bCs/>
          <w:sz w:val="28"/>
          <w:szCs w:val="28"/>
        </w:rPr>
        <w:t>投标供应商平均报价</w:t>
      </w:r>
      <w:r>
        <w:rPr>
          <w:rFonts w:ascii="宋体" w:hAnsi="宋体"/>
          <w:bCs/>
          <w:sz w:val="28"/>
          <w:szCs w:val="28"/>
        </w:rPr>
        <w:t>40%</w:t>
      </w:r>
      <w:r>
        <w:rPr>
          <w:rFonts w:hint="eastAsia" w:ascii="宋体" w:hAnsi="宋体"/>
          <w:bCs/>
          <w:sz w:val="28"/>
          <w:szCs w:val="28"/>
        </w:rPr>
        <w:t>，有可能影响产品质量或不能诚信履约的，评审委员会应当要求投标供应商在规定时间内提供报价合理性的书面说明和履约担保承诺，必要时提交相关证明材料。投标供应商未按照要求提供或评审委员会认为其不能证明其报价合理性，按照无效投标处理。</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30.4投标供应商投标报价超过预算的，按照下列方式处理：</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1）投标供应商</w:t>
      </w:r>
      <w:r>
        <w:rPr>
          <w:rFonts w:hint="eastAsia" w:ascii="宋体" w:hAnsi="宋体"/>
          <w:bCs/>
          <w:sz w:val="28"/>
          <w:szCs w:val="28"/>
        </w:rPr>
        <w:t>投标</w:t>
      </w:r>
      <w:r>
        <w:rPr>
          <w:rFonts w:ascii="宋体" w:hAnsi="宋体"/>
          <w:bCs/>
          <w:sz w:val="28"/>
          <w:szCs w:val="28"/>
        </w:rPr>
        <w:t>报价均超预算的，</w:t>
      </w:r>
      <w:r>
        <w:rPr>
          <w:rFonts w:hint="eastAsia" w:ascii="宋体" w:hAnsi="宋体"/>
          <w:bCs/>
          <w:sz w:val="28"/>
          <w:szCs w:val="28"/>
        </w:rPr>
        <w:t>评审委员会和采购机构应当结合市场调查情况、投标供应商报价材料等进行综合分析研判，认定投标供应商报价合理的，函询采购单位能否追加预算，采购单位函复确认追加的，继续评审；认定投标供应商报价不合理或采购单位无法追加的，终止评审。</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2）部分投标供应商</w:t>
      </w:r>
      <w:r>
        <w:rPr>
          <w:rFonts w:hint="eastAsia" w:ascii="宋体" w:hAnsi="宋体"/>
          <w:bCs/>
          <w:sz w:val="28"/>
          <w:szCs w:val="28"/>
        </w:rPr>
        <w:t>投标</w:t>
      </w:r>
      <w:r>
        <w:rPr>
          <w:rFonts w:ascii="宋体" w:hAnsi="宋体"/>
          <w:bCs/>
          <w:sz w:val="28"/>
          <w:szCs w:val="28"/>
        </w:rPr>
        <w:t>报价超预算的，应当继续评审。</w:t>
      </w:r>
      <w:r>
        <w:rPr>
          <w:rFonts w:hint="eastAsia" w:ascii="宋体" w:hAnsi="宋体"/>
          <w:bCs/>
          <w:sz w:val="28"/>
          <w:szCs w:val="28"/>
        </w:rPr>
        <w:t>评审后，预</w:t>
      </w:r>
      <w:r>
        <w:rPr>
          <w:rFonts w:ascii="宋体" w:hAnsi="宋体"/>
          <w:bCs/>
          <w:sz w:val="28"/>
          <w:szCs w:val="28"/>
        </w:rPr>
        <w:t>中标供应商报价未超预算的，评审结果有效</w:t>
      </w:r>
      <w:r>
        <w:rPr>
          <w:rFonts w:hint="eastAsia" w:ascii="宋体" w:hAnsi="宋体"/>
          <w:bCs/>
          <w:sz w:val="28"/>
          <w:szCs w:val="28"/>
        </w:rPr>
        <w:t>。预</w:t>
      </w:r>
      <w:r>
        <w:rPr>
          <w:rFonts w:ascii="宋体" w:hAnsi="宋体"/>
          <w:bCs/>
          <w:sz w:val="28"/>
          <w:szCs w:val="28"/>
        </w:rPr>
        <w:t>中标供应商</w:t>
      </w:r>
      <w:r>
        <w:rPr>
          <w:rFonts w:hint="eastAsia" w:ascii="宋体" w:hAnsi="宋体"/>
          <w:bCs/>
          <w:sz w:val="28"/>
          <w:szCs w:val="28"/>
        </w:rPr>
        <w:t>报价</w:t>
      </w:r>
      <w:r>
        <w:rPr>
          <w:rFonts w:ascii="宋体" w:hAnsi="宋体"/>
          <w:bCs/>
          <w:sz w:val="28"/>
          <w:szCs w:val="28"/>
        </w:rPr>
        <w:t>超预算，</w:t>
      </w:r>
      <w:r>
        <w:rPr>
          <w:rFonts w:hint="eastAsia" w:ascii="宋体" w:hAnsi="宋体"/>
          <w:bCs/>
          <w:sz w:val="28"/>
          <w:szCs w:val="28"/>
        </w:rPr>
        <w:t>经</w:t>
      </w:r>
      <w:r>
        <w:rPr>
          <w:rFonts w:ascii="宋体" w:hAnsi="宋体"/>
          <w:bCs/>
          <w:sz w:val="28"/>
          <w:szCs w:val="28"/>
        </w:rPr>
        <w:t>采购</w:t>
      </w:r>
      <w:r>
        <w:rPr>
          <w:rFonts w:hint="eastAsia" w:ascii="宋体" w:hAnsi="宋体"/>
          <w:bCs/>
          <w:sz w:val="28"/>
          <w:szCs w:val="28"/>
        </w:rPr>
        <w:t>单位书面确认能够追加</w:t>
      </w:r>
      <w:r>
        <w:rPr>
          <w:rFonts w:ascii="宋体" w:hAnsi="宋体"/>
          <w:bCs/>
          <w:sz w:val="28"/>
          <w:szCs w:val="28"/>
        </w:rPr>
        <w:t>的</w:t>
      </w:r>
      <w:r>
        <w:rPr>
          <w:rFonts w:hint="eastAsia" w:ascii="宋体" w:hAnsi="宋体"/>
          <w:bCs/>
          <w:sz w:val="28"/>
          <w:szCs w:val="28"/>
        </w:rPr>
        <w:t>，评审结果有效；不能追加的，采购单位</w:t>
      </w:r>
      <w:r>
        <w:rPr>
          <w:rFonts w:ascii="宋体" w:hAnsi="宋体"/>
          <w:bCs/>
          <w:sz w:val="28"/>
          <w:szCs w:val="28"/>
        </w:rPr>
        <w:t>可以按照评审排名结果依次</w:t>
      </w:r>
      <w:r>
        <w:rPr>
          <w:rFonts w:hint="eastAsia" w:ascii="宋体" w:hAnsi="宋体"/>
          <w:bCs/>
          <w:sz w:val="28"/>
          <w:szCs w:val="28"/>
        </w:rPr>
        <w:t>递补</w:t>
      </w:r>
      <w:r>
        <w:rPr>
          <w:rFonts w:ascii="宋体" w:hAnsi="宋体"/>
          <w:bCs/>
          <w:sz w:val="28"/>
          <w:szCs w:val="28"/>
        </w:rPr>
        <w:t>确定中标供应商，</w:t>
      </w:r>
      <w:r>
        <w:rPr>
          <w:rFonts w:hint="eastAsia" w:ascii="宋体" w:hAnsi="宋体"/>
          <w:bCs/>
          <w:sz w:val="28"/>
          <w:szCs w:val="28"/>
        </w:rPr>
        <w:t>但剩余有效投标供应商数量应当达到需要递补投标供应商数量的</w:t>
      </w:r>
      <w:r>
        <w:rPr>
          <w:rFonts w:ascii="宋体" w:hAnsi="宋体"/>
          <w:bCs/>
          <w:sz w:val="28"/>
          <w:szCs w:val="28"/>
        </w:rPr>
        <w:t>2倍，否则由采购</w:t>
      </w:r>
      <w:r>
        <w:rPr>
          <w:rFonts w:hint="eastAsia" w:ascii="宋体" w:hAnsi="宋体"/>
          <w:bCs/>
          <w:sz w:val="28"/>
          <w:szCs w:val="28"/>
        </w:rPr>
        <w:t>机构</w:t>
      </w:r>
      <w:r>
        <w:rPr>
          <w:rFonts w:ascii="宋体" w:hAnsi="宋体"/>
          <w:bCs/>
          <w:sz w:val="28"/>
          <w:szCs w:val="28"/>
        </w:rPr>
        <w:t>重新</w:t>
      </w:r>
      <w:r>
        <w:rPr>
          <w:rFonts w:hint="eastAsia" w:ascii="宋体" w:hAnsi="宋体"/>
          <w:bCs/>
          <w:sz w:val="28"/>
          <w:szCs w:val="28"/>
        </w:rPr>
        <w:t>组织采购。</w:t>
      </w:r>
    </w:p>
    <w:p>
      <w:pPr>
        <w:adjustRightInd w:val="0"/>
        <w:snapToGrid w:val="0"/>
        <w:spacing w:line="560" w:lineRule="exact"/>
        <w:ind w:firstLine="560" w:firstLineChars="200"/>
      </w:pPr>
      <w:r>
        <w:rPr>
          <w:rFonts w:hint="eastAsia" w:ascii="宋体" w:hAnsi="宋体"/>
          <w:bCs/>
          <w:sz w:val="28"/>
          <w:szCs w:val="28"/>
        </w:rPr>
        <w:t>（</w:t>
      </w:r>
      <w:r>
        <w:rPr>
          <w:rFonts w:ascii="宋体" w:hAnsi="宋体"/>
          <w:bCs/>
          <w:sz w:val="28"/>
          <w:szCs w:val="28"/>
        </w:rPr>
        <w:t>3）同一采购项目中的部分产品单价或金额超预算，</w:t>
      </w:r>
      <w:r>
        <w:rPr>
          <w:rFonts w:hint="eastAsia" w:ascii="宋体" w:hAnsi="宋体"/>
          <w:bCs/>
          <w:sz w:val="28"/>
          <w:szCs w:val="28"/>
        </w:rPr>
        <w:t>但</w:t>
      </w:r>
      <w:r>
        <w:rPr>
          <w:rFonts w:ascii="宋体" w:hAnsi="宋体"/>
          <w:bCs/>
          <w:sz w:val="28"/>
          <w:szCs w:val="28"/>
        </w:rPr>
        <w:t>中标总金额未超预算的，视为</w:t>
      </w:r>
      <w:r>
        <w:rPr>
          <w:rFonts w:hint="eastAsia" w:ascii="宋体" w:hAnsi="宋体"/>
          <w:bCs/>
          <w:sz w:val="28"/>
          <w:szCs w:val="28"/>
        </w:rPr>
        <w:t>采购项目未超预算</w:t>
      </w:r>
      <w:r>
        <w:rPr>
          <w:rFonts w:ascii="宋体" w:hAnsi="宋体"/>
          <w:bCs/>
          <w:sz w:val="28"/>
          <w:szCs w:val="28"/>
        </w:rPr>
        <w:t>。</w:t>
      </w:r>
    </w:p>
    <w:p>
      <w:pPr>
        <w:pStyle w:val="5"/>
        <w:keepNext w:val="0"/>
        <w:keepLines w:val="0"/>
        <w:adjustRightInd w:val="0"/>
        <w:snapToGrid w:val="0"/>
        <w:ind w:firstLine="560" w:firstLineChars="200"/>
        <w:rPr>
          <w:rFonts w:ascii="黑体" w:hAnsi="黑体"/>
          <w:b w:val="0"/>
        </w:rPr>
      </w:pPr>
      <w:r>
        <w:rPr>
          <w:rFonts w:ascii="黑体" w:hAnsi="黑体"/>
          <w:b w:val="0"/>
        </w:rPr>
        <w:t>31.</w:t>
      </w:r>
      <w:r>
        <w:rPr>
          <w:rFonts w:hint="eastAsia" w:ascii="黑体" w:hAnsi="黑体"/>
          <w:b w:val="0"/>
        </w:rPr>
        <w:t>汇总得分</w:t>
      </w:r>
    </w:p>
    <w:p>
      <w:pPr>
        <w:pStyle w:val="16"/>
        <w:spacing w:after="0" w:line="560" w:lineRule="exact"/>
        <w:ind w:firstLine="560" w:firstLineChars="200"/>
      </w:pPr>
      <w:r>
        <w:rPr>
          <w:rFonts w:asciiTheme="minorEastAsia" w:hAnsiTheme="minorEastAsia" w:eastAsiaTheme="minorEastAsia"/>
          <w:bCs/>
          <w:sz w:val="28"/>
          <w:szCs w:val="28"/>
        </w:rPr>
        <w:t>31.1</w:t>
      </w:r>
      <w:r>
        <w:rPr>
          <w:rFonts w:hint="eastAsia" w:ascii="宋体" w:hAnsi="宋体"/>
          <w:bCs/>
          <w:sz w:val="28"/>
          <w:szCs w:val="28"/>
        </w:rPr>
        <w:t>投标供应商评审总得分为投标报价、商务、技术评分项得分之和。评分分值计算保留小数点后两位，小数点后第三位“四舍五入”。</w:t>
      </w:r>
    </w:p>
    <w:p>
      <w:pPr>
        <w:pStyle w:val="5"/>
        <w:keepNext w:val="0"/>
        <w:keepLines w:val="0"/>
        <w:adjustRightInd w:val="0"/>
        <w:snapToGrid w:val="0"/>
        <w:ind w:firstLine="560" w:firstLineChars="200"/>
        <w:rPr>
          <w:rFonts w:ascii="黑体" w:hAnsi="黑体"/>
          <w:b w:val="0"/>
        </w:rPr>
      </w:pPr>
      <w:r>
        <w:rPr>
          <w:rFonts w:ascii="黑体" w:hAnsi="黑体"/>
          <w:b w:val="0"/>
        </w:rPr>
        <w:t>32.复核评审</w:t>
      </w:r>
      <w:r>
        <w:rPr>
          <w:rFonts w:hint="eastAsia" w:ascii="黑体" w:hAnsi="黑体"/>
          <w:b w:val="0"/>
        </w:rPr>
        <w:t>结果</w:t>
      </w:r>
    </w:p>
    <w:p>
      <w:pPr>
        <w:adjustRightInd w:val="0"/>
        <w:snapToGrid w:val="0"/>
        <w:spacing w:line="560" w:lineRule="exact"/>
        <w:ind w:firstLine="560" w:firstLineChars="200"/>
        <w:rPr>
          <w:rFonts w:ascii="宋体" w:hAnsi="宋体"/>
          <w:bCs/>
          <w:sz w:val="28"/>
          <w:szCs w:val="28"/>
        </w:rPr>
      </w:pPr>
      <w:r>
        <w:rPr>
          <w:rFonts w:asciiTheme="minorEastAsia" w:hAnsiTheme="minorEastAsia" w:eastAsiaTheme="minorEastAsia"/>
          <w:bCs/>
          <w:sz w:val="28"/>
          <w:szCs w:val="28"/>
        </w:rPr>
        <w:t>32.1</w:t>
      </w:r>
      <w:r>
        <w:rPr>
          <w:rFonts w:hint="eastAsia" w:ascii="宋体" w:hAnsi="宋体"/>
          <w:bCs/>
          <w:sz w:val="28"/>
          <w:szCs w:val="28"/>
        </w:rPr>
        <w:t>评审委员会</w:t>
      </w:r>
      <w:r>
        <w:rPr>
          <w:rFonts w:ascii="宋体" w:hAnsi="宋体"/>
          <w:bCs/>
          <w:sz w:val="28"/>
          <w:szCs w:val="28"/>
        </w:rPr>
        <w:t>对评审</w:t>
      </w:r>
      <w:r>
        <w:rPr>
          <w:rFonts w:hint="eastAsia" w:ascii="宋体" w:hAnsi="宋体"/>
          <w:bCs/>
          <w:sz w:val="28"/>
          <w:szCs w:val="28"/>
        </w:rPr>
        <w:t>评分情况核对，重点</w:t>
      </w:r>
      <w:r>
        <w:rPr>
          <w:rFonts w:hint="eastAsia" w:ascii="仿宋_GB2312" w:hAnsi="仿宋"/>
          <w:bCs/>
          <w:sz w:val="28"/>
          <w:szCs w:val="36"/>
        </w:rPr>
        <w:t>核对客观分值评分错误、分值汇总计算错误、报价较高且预中标或报价较低且未中标等情形，并在评审报告中说明原因</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asciiTheme="minorEastAsia" w:hAnsiTheme="minorEastAsia" w:eastAsiaTheme="minorEastAsia"/>
          <w:bCs/>
          <w:sz w:val="28"/>
          <w:szCs w:val="28"/>
        </w:rPr>
        <w:t>32.2</w:t>
      </w:r>
      <w:r>
        <w:rPr>
          <w:rFonts w:hint="eastAsia" w:ascii="宋体" w:hAnsi="宋体"/>
          <w:bCs/>
          <w:sz w:val="28"/>
          <w:szCs w:val="28"/>
        </w:rPr>
        <w:t>采购机构对评审委员会的评审结果进行复核，重点复核评审底稿记录信息是否完整、符合性审查是否有误、投标供应商填报信息与评审委员会成员判定是否一致、客观分值是否一致、分值汇总计算是否正确、评分有无畸高畸低等情形，如有问题应当要求评审委员会当场书面说明并予以更正，评审委员会对复核结果有异议的，以采购机构复核结果为准，并由采购机构出具书面意见详细说明出现异议的原因及处理方式，双方签字确认。评审委员会拒绝签字确认的，采购机构如实记录并存入采购档案。</w:t>
      </w:r>
    </w:p>
    <w:p>
      <w:pPr>
        <w:pStyle w:val="5"/>
        <w:keepNext w:val="0"/>
        <w:keepLines w:val="0"/>
        <w:adjustRightInd w:val="0"/>
        <w:snapToGrid w:val="0"/>
        <w:ind w:firstLine="560" w:firstLineChars="200"/>
        <w:rPr>
          <w:rFonts w:ascii="黑体" w:hAnsi="黑体"/>
          <w:b w:val="0"/>
        </w:rPr>
      </w:pPr>
      <w:bookmarkStart w:id="168" w:name="_Toc20681"/>
      <w:bookmarkStart w:id="169" w:name="_Toc4538"/>
      <w:bookmarkStart w:id="170" w:name="_Toc11969"/>
      <w:bookmarkStart w:id="171" w:name="_Toc14049"/>
      <w:r>
        <w:rPr>
          <w:rFonts w:ascii="黑体" w:hAnsi="黑体"/>
          <w:b w:val="0"/>
        </w:rPr>
        <w:t>33.</w:t>
      </w:r>
      <w:r>
        <w:rPr>
          <w:rFonts w:hint="eastAsia" w:ascii="黑体" w:hAnsi="黑体"/>
          <w:b w:val="0"/>
        </w:rPr>
        <w:t>推荐预中标供应商</w:t>
      </w:r>
      <w:bookmarkEnd w:id="168"/>
      <w:bookmarkEnd w:id="169"/>
      <w:bookmarkEnd w:id="170"/>
      <w:bookmarkEnd w:id="171"/>
    </w:p>
    <w:p>
      <w:pPr>
        <w:adjustRightInd w:val="0"/>
        <w:snapToGrid w:val="0"/>
        <w:spacing w:line="560" w:lineRule="exact"/>
        <w:ind w:firstLine="560" w:firstLineChars="200"/>
        <w:rPr>
          <w:rFonts w:ascii="宋体" w:hAnsi="宋体"/>
          <w:bCs/>
          <w:sz w:val="28"/>
          <w:szCs w:val="28"/>
        </w:rPr>
      </w:pPr>
      <w:r>
        <w:rPr>
          <w:rFonts w:ascii="宋体" w:hAnsi="宋体"/>
          <w:bCs/>
          <w:sz w:val="28"/>
          <w:szCs w:val="28"/>
        </w:rPr>
        <w:t>评审委员会依据经过复核的评审结果，对投标供应商进行排序并推荐预中标供应商</w:t>
      </w:r>
      <w:r>
        <w:rPr>
          <w:rFonts w:hint="eastAsia" w:ascii="宋体" w:hAnsi="宋体"/>
          <w:bCs/>
          <w:sz w:val="28"/>
          <w:szCs w:val="28"/>
        </w:rPr>
        <w:t>。</w:t>
      </w:r>
    </w:p>
    <w:p>
      <w:pPr>
        <w:adjustRightInd w:val="0"/>
        <w:snapToGrid w:val="0"/>
        <w:spacing w:line="560" w:lineRule="exact"/>
        <w:ind w:firstLine="560" w:firstLineChars="200"/>
      </w:pPr>
      <w:r>
        <w:rPr>
          <w:rFonts w:ascii="宋体" w:hAnsi="宋体"/>
          <w:bCs/>
          <w:sz w:val="28"/>
          <w:szCs w:val="28"/>
        </w:rPr>
        <w:t>33.1</w:t>
      </w:r>
      <w:r>
        <w:rPr>
          <w:rFonts w:hint="eastAsia" w:ascii="宋体" w:hAnsi="宋体"/>
          <w:bCs/>
          <w:sz w:val="28"/>
          <w:szCs w:val="28"/>
        </w:rPr>
        <w:t>采用综合评分法、</w:t>
      </w:r>
      <w:r>
        <w:rPr>
          <w:rFonts w:ascii="宋体" w:hAnsi="宋体"/>
          <w:bCs/>
          <w:sz w:val="28"/>
          <w:szCs w:val="28"/>
        </w:rPr>
        <w:t>质量优先法评审</w:t>
      </w:r>
      <w:r>
        <w:rPr>
          <w:rFonts w:hint="eastAsia" w:ascii="宋体" w:hAnsi="宋体"/>
          <w:bCs/>
          <w:sz w:val="28"/>
          <w:szCs w:val="28"/>
        </w:rPr>
        <w:t>时，评审委员会按照</w:t>
      </w:r>
      <w:r>
        <w:rPr>
          <w:rFonts w:ascii="宋体" w:hAnsi="宋体"/>
          <w:bCs/>
          <w:sz w:val="28"/>
          <w:szCs w:val="28"/>
        </w:rPr>
        <w:t>商务</w:t>
      </w:r>
      <w:r>
        <w:rPr>
          <w:rFonts w:hint="eastAsia" w:ascii="宋体" w:hAnsi="宋体"/>
          <w:bCs/>
          <w:sz w:val="28"/>
          <w:szCs w:val="28"/>
        </w:rPr>
        <w:t>、</w:t>
      </w:r>
      <w:r>
        <w:rPr>
          <w:rFonts w:ascii="宋体" w:hAnsi="宋体"/>
          <w:bCs/>
          <w:sz w:val="28"/>
          <w:szCs w:val="28"/>
        </w:rPr>
        <w:t>技术</w:t>
      </w:r>
      <w:r>
        <w:rPr>
          <w:rFonts w:hint="eastAsia" w:ascii="宋体" w:hAnsi="宋体"/>
          <w:bCs/>
          <w:sz w:val="28"/>
          <w:szCs w:val="28"/>
        </w:rPr>
        <w:t>和价格</w:t>
      </w:r>
      <w:r>
        <w:rPr>
          <w:rFonts w:ascii="宋体" w:hAnsi="宋体"/>
          <w:bCs/>
          <w:sz w:val="28"/>
          <w:szCs w:val="28"/>
        </w:rPr>
        <w:t>评审总得分由高到低顺序排列，</w:t>
      </w:r>
      <w:r>
        <w:rPr>
          <w:rFonts w:hint="eastAsia" w:ascii="宋体" w:hAnsi="宋体"/>
          <w:bCs/>
          <w:sz w:val="28"/>
          <w:szCs w:val="28"/>
        </w:rPr>
        <w:t>得分</w:t>
      </w:r>
      <w:r>
        <w:rPr>
          <w:rFonts w:ascii="宋体" w:hAnsi="宋体"/>
          <w:bCs/>
          <w:sz w:val="28"/>
          <w:szCs w:val="28"/>
        </w:rPr>
        <w:t>最高的投标供应商作为预中标供应商；</w:t>
      </w:r>
      <w:r>
        <w:rPr>
          <w:rFonts w:hint="eastAsia" w:ascii="宋体" w:hAnsi="宋体"/>
          <w:bCs/>
          <w:sz w:val="28"/>
          <w:szCs w:val="28"/>
        </w:rPr>
        <w:t>总得分相同的，按照技术评审得分由高到低进行排序；技术评审得分也相同的，按照报价由低到高进行排序。技术评审得分和报价均相同的，按照专用文件规定的方式确定预中标供应商。专用文件未明确的，采取随机抽取方式确定。</w:t>
      </w:r>
    </w:p>
    <w:p>
      <w:pPr>
        <w:adjustRightInd w:val="0"/>
        <w:snapToGrid w:val="0"/>
        <w:spacing w:line="560" w:lineRule="exact"/>
        <w:ind w:firstLine="560" w:firstLineChars="200"/>
      </w:pPr>
      <w:r>
        <w:rPr>
          <w:rFonts w:ascii="宋体" w:hAnsi="宋体"/>
          <w:bCs/>
          <w:sz w:val="28"/>
          <w:szCs w:val="28"/>
        </w:rPr>
        <w:t>采用经评审的最低价法时，评审委员会</w:t>
      </w:r>
      <w:r>
        <w:rPr>
          <w:rFonts w:hint="eastAsia" w:ascii="宋体" w:hAnsi="宋体"/>
          <w:bCs/>
          <w:sz w:val="28"/>
          <w:szCs w:val="28"/>
        </w:rPr>
        <w:t>将有效</w:t>
      </w:r>
      <w:r>
        <w:rPr>
          <w:rFonts w:ascii="宋体" w:hAnsi="宋体"/>
          <w:bCs/>
          <w:sz w:val="28"/>
          <w:szCs w:val="28"/>
        </w:rPr>
        <w:t>投标报价由低到高顺序排列</w:t>
      </w:r>
      <w:r>
        <w:rPr>
          <w:rFonts w:hint="eastAsia" w:ascii="宋体" w:hAnsi="宋体"/>
          <w:bCs/>
          <w:sz w:val="28"/>
          <w:szCs w:val="28"/>
        </w:rPr>
        <w:t>。</w:t>
      </w:r>
      <w:r>
        <w:rPr>
          <w:rFonts w:ascii="宋体" w:hAnsi="宋体"/>
          <w:bCs/>
          <w:sz w:val="28"/>
          <w:szCs w:val="28"/>
        </w:rPr>
        <w:t>最低报价的投标供应商作为预中标供应商。报价相同的，按照技术指标优劣顺序排</w:t>
      </w:r>
      <w:r>
        <w:rPr>
          <w:rFonts w:hint="eastAsia" w:ascii="宋体" w:hAnsi="宋体"/>
          <w:bCs/>
          <w:sz w:val="28"/>
          <w:szCs w:val="28"/>
        </w:rPr>
        <w:t>序；无法按照</w:t>
      </w:r>
      <w:r>
        <w:rPr>
          <w:rFonts w:ascii="宋体" w:hAnsi="宋体"/>
          <w:bCs/>
          <w:sz w:val="28"/>
          <w:szCs w:val="28"/>
        </w:rPr>
        <w:t>技术指标优劣顺序排</w:t>
      </w:r>
      <w:r>
        <w:rPr>
          <w:rFonts w:hint="eastAsia" w:ascii="宋体" w:hAnsi="宋体"/>
          <w:bCs/>
          <w:sz w:val="28"/>
          <w:szCs w:val="28"/>
        </w:rPr>
        <w:t>序的，按照专用文件规定的方式推荐</w:t>
      </w:r>
      <w:r>
        <w:rPr>
          <w:rFonts w:ascii="宋体" w:hAnsi="宋体"/>
          <w:bCs/>
          <w:sz w:val="28"/>
          <w:szCs w:val="28"/>
        </w:rPr>
        <w:t>预中标供应商</w:t>
      </w:r>
      <w:r>
        <w:rPr>
          <w:rFonts w:hint="eastAsia" w:ascii="宋体" w:hAnsi="宋体"/>
          <w:bCs/>
          <w:sz w:val="28"/>
          <w:szCs w:val="28"/>
        </w:rPr>
        <w:t>。</w:t>
      </w:r>
      <w:r>
        <w:rPr>
          <w:rFonts w:hint="eastAsia" w:ascii="仿宋_GB2312" w:hAnsi="仿宋"/>
          <w:bCs/>
          <w:sz w:val="28"/>
          <w:szCs w:val="36"/>
        </w:rPr>
        <w:t>专用文件未明确的，采取随机抽取方式确定。</w:t>
      </w:r>
      <w:r>
        <w:rPr>
          <w:rFonts w:hint="eastAsia" w:ascii="宋体" w:hAnsi="宋体"/>
          <w:bCs/>
          <w:sz w:val="28"/>
          <w:szCs w:val="28"/>
        </w:rPr>
        <w:t>评审委员会</w:t>
      </w:r>
      <w:r>
        <w:rPr>
          <w:rFonts w:ascii="宋体" w:hAnsi="宋体"/>
          <w:bCs/>
          <w:sz w:val="28"/>
          <w:szCs w:val="28"/>
        </w:rPr>
        <w:t>认定为低价恶意竞争的</w:t>
      </w:r>
      <w:r>
        <w:rPr>
          <w:rFonts w:hint="eastAsia" w:ascii="宋体" w:hAnsi="宋体"/>
          <w:bCs/>
          <w:sz w:val="28"/>
          <w:szCs w:val="28"/>
        </w:rPr>
        <w:t>，</w:t>
      </w:r>
      <w:r>
        <w:rPr>
          <w:rFonts w:ascii="宋体" w:hAnsi="宋体"/>
          <w:bCs/>
          <w:sz w:val="28"/>
          <w:szCs w:val="28"/>
        </w:rPr>
        <w:t>视为无效</w:t>
      </w:r>
      <w:r>
        <w:rPr>
          <w:rFonts w:hint="eastAsia" w:ascii="宋体" w:hAnsi="宋体"/>
          <w:bCs/>
          <w:sz w:val="28"/>
          <w:szCs w:val="28"/>
        </w:rPr>
        <w:t>投标</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33.2</w:t>
      </w:r>
      <w:r>
        <w:rPr>
          <w:rFonts w:hint="eastAsia" w:ascii="宋体" w:hAnsi="宋体"/>
          <w:bCs/>
          <w:sz w:val="28"/>
          <w:szCs w:val="28"/>
        </w:rPr>
        <w:t>投标供应商报价高于全体有效投标供应商平均报价40%以上的，不得推荐为预中标供应商。</w:t>
      </w:r>
      <w:r>
        <w:rPr>
          <w:rFonts w:ascii="宋体" w:hAnsi="宋体"/>
          <w:bCs/>
          <w:sz w:val="28"/>
          <w:szCs w:val="28"/>
        </w:rPr>
        <w:t>采用综合评分法</w:t>
      </w:r>
      <w:r>
        <w:rPr>
          <w:rFonts w:hint="eastAsia" w:ascii="宋体" w:hAnsi="宋体"/>
          <w:bCs/>
          <w:sz w:val="28"/>
          <w:szCs w:val="28"/>
        </w:rPr>
        <w:t>或质量优先法评审时，投标供应商的</w:t>
      </w:r>
      <w:r>
        <w:rPr>
          <w:rFonts w:ascii="宋体" w:hAnsi="宋体"/>
          <w:bCs/>
          <w:sz w:val="28"/>
          <w:szCs w:val="28"/>
        </w:rPr>
        <w:t>商务和技术得分低于所有有效投标供应商商务和技术得分平均值30%以上的</w:t>
      </w:r>
      <w:r>
        <w:rPr>
          <w:rFonts w:hint="eastAsia" w:ascii="宋体" w:hAnsi="宋体"/>
          <w:bCs/>
          <w:sz w:val="28"/>
          <w:szCs w:val="28"/>
        </w:rPr>
        <w:t>投标</w:t>
      </w:r>
      <w:r>
        <w:rPr>
          <w:rFonts w:ascii="宋体" w:hAnsi="宋体"/>
          <w:bCs/>
          <w:sz w:val="28"/>
          <w:szCs w:val="28"/>
        </w:rPr>
        <w:t>供应商，不得推荐为预中标供应商。</w:t>
      </w:r>
    </w:p>
    <w:p>
      <w:pPr>
        <w:pStyle w:val="16"/>
        <w:spacing w:after="0" w:line="560" w:lineRule="exact"/>
        <w:ind w:firstLine="560" w:firstLineChars="200"/>
        <w:rPr>
          <w:rFonts w:ascii="宋体" w:hAnsi="宋体"/>
          <w:sz w:val="28"/>
          <w:szCs w:val="28"/>
        </w:rPr>
      </w:pPr>
      <w:r>
        <w:rPr>
          <w:rFonts w:ascii="宋体" w:hAnsi="宋体"/>
          <w:sz w:val="28"/>
          <w:szCs w:val="28"/>
        </w:rPr>
        <w:t>33.3</w:t>
      </w:r>
      <w:r>
        <w:rPr>
          <w:rFonts w:hint="eastAsia" w:ascii="宋体" w:hAnsi="宋体"/>
          <w:sz w:val="28"/>
          <w:szCs w:val="28"/>
        </w:rPr>
        <w:t>中标供应商数量、价格</w:t>
      </w:r>
    </w:p>
    <w:p>
      <w:pPr>
        <w:pStyle w:val="16"/>
        <w:spacing w:after="0" w:line="560" w:lineRule="exact"/>
        <w:ind w:firstLine="560" w:firstLineChars="200"/>
        <w:rPr>
          <w:rFonts w:ascii="仿宋_GB2312" w:hAnsi="仿宋"/>
          <w:sz w:val="28"/>
          <w:szCs w:val="28"/>
        </w:rPr>
      </w:pPr>
      <w:r>
        <w:rPr>
          <w:rFonts w:hint="eastAsia" w:ascii="仿宋_GB2312" w:hAnsi="仿宋"/>
          <w:sz w:val="28"/>
          <w:szCs w:val="28"/>
        </w:rPr>
        <w:t>同一品种物资项目通常不得分包，但采购数量金额大或保障范围广，且</w:t>
      </w:r>
      <w:r>
        <w:rPr>
          <w:rFonts w:ascii="仿宋_GB2312" w:hAnsi="仿宋"/>
          <w:sz w:val="28"/>
          <w:szCs w:val="28"/>
        </w:rPr>
        <w:t>1</w:t>
      </w:r>
      <w:r>
        <w:rPr>
          <w:rFonts w:hint="eastAsia" w:ascii="仿宋_GB2312" w:hAnsi="仿宋"/>
          <w:sz w:val="28"/>
          <w:szCs w:val="28"/>
        </w:rPr>
        <w:t>家供应商履约能力无法满足要求的</w:t>
      </w:r>
      <w:r>
        <w:rPr>
          <w:rFonts w:hint="eastAsia" w:ascii="宋体" w:hAnsi="宋体"/>
          <w:sz w:val="28"/>
          <w:szCs w:val="28"/>
        </w:rPr>
        <w:t>，可以一包选取</w:t>
      </w:r>
      <w:r>
        <w:rPr>
          <w:rFonts w:ascii="宋体" w:hAnsi="宋体"/>
          <w:sz w:val="28"/>
          <w:szCs w:val="28"/>
        </w:rPr>
        <w:t>2</w:t>
      </w:r>
      <w:r>
        <w:rPr>
          <w:rFonts w:hint="eastAsia" w:ascii="宋体" w:hAnsi="宋体"/>
          <w:sz w:val="28"/>
          <w:szCs w:val="28"/>
        </w:rPr>
        <w:t>家以上中标供应商，</w:t>
      </w:r>
      <w:r>
        <w:rPr>
          <w:rFonts w:hint="eastAsia" w:ascii="仿宋_GB2312" w:hAnsi="仿宋"/>
          <w:sz w:val="28"/>
          <w:szCs w:val="28"/>
        </w:rPr>
        <w:t>依据排名依次递减的原则确定承担任务数量或范围；也可以分成多包，每包确定</w:t>
      </w:r>
      <w:r>
        <w:rPr>
          <w:rFonts w:ascii="仿宋_GB2312" w:hAnsi="仿宋"/>
          <w:sz w:val="28"/>
          <w:szCs w:val="28"/>
        </w:rPr>
        <w:t>1</w:t>
      </w:r>
      <w:r>
        <w:rPr>
          <w:rFonts w:hint="eastAsia" w:ascii="仿宋_GB2312" w:hAnsi="仿宋"/>
          <w:sz w:val="28"/>
          <w:szCs w:val="28"/>
        </w:rPr>
        <w:t>家供应商。采购机构应当在招标文件中载明中标供应商数量、承担任务的数量或范围。具体要求见招标公告。</w:t>
      </w:r>
    </w:p>
    <w:p>
      <w:pPr>
        <w:adjustRightInd w:val="0"/>
        <w:snapToGrid w:val="0"/>
        <w:spacing w:line="560" w:lineRule="exact"/>
        <w:ind w:firstLine="560" w:firstLineChars="200"/>
        <w:rPr>
          <w:rFonts w:ascii="宋体" w:hAnsi="宋体"/>
          <w:bCs/>
          <w:sz w:val="28"/>
          <w:szCs w:val="28"/>
        </w:rPr>
      </w:pPr>
      <w:r>
        <w:rPr>
          <w:rFonts w:hint="eastAsia" w:ascii="仿宋_GB2312" w:hAnsi="仿宋"/>
          <w:sz w:val="28"/>
          <w:szCs w:val="28"/>
        </w:rPr>
        <w:t>确定多家供应商中标的，投标供</w:t>
      </w:r>
      <w:r>
        <w:rPr>
          <w:rFonts w:hint="eastAsia" w:ascii="宋体" w:hAnsi="宋体"/>
          <w:sz w:val="28"/>
          <w:szCs w:val="28"/>
        </w:rPr>
        <w:t>应商数量通常为中标数量的</w:t>
      </w:r>
      <w:r>
        <w:rPr>
          <w:rFonts w:ascii="宋体" w:hAnsi="宋体"/>
          <w:sz w:val="28"/>
          <w:szCs w:val="28"/>
        </w:rPr>
        <w:t>3</w:t>
      </w:r>
      <w:r>
        <w:rPr>
          <w:rFonts w:hint="eastAsia" w:ascii="宋体" w:hAnsi="宋体"/>
          <w:sz w:val="28"/>
          <w:szCs w:val="28"/>
        </w:rPr>
        <w:t>倍以上；不足</w:t>
      </w:r>
      <w:r>
        <w:rPr>
          <w:rFonts w:ascii="宋体" w:hAnsi="宋体"/>
          <w:sz w:val="28"/>
          <w:szCs w:val="28"/>
        </w:rPr>
        <w:t>3</w:t>
      </w:r>
      <w:r>
        <w:rPr>
          <w:rFonts w:hint="eastAsia" w:ascii="宋体" w:hAnsi="宋体"/>
          <w:sz w:val="28"/>
          <w:szCs w:val="28"/>
        </w:rPr>
        <w:t>倍但达到</w:t>
      </w:r>
      <w:r>
        <w:rPr>
          <w:rFonts w:ascii="宋体" w:hAnsi="宋体"/>
          <w:sz w:val="28"/>
          <w:szCs w:val="28"/>
        </w:rPr>
        <w:t>2</w:t>
      </w:r>
      <w:r>
        <w:rPr>
          <w:rFonts w:hint="eastAsia" w:ascii="宋体" w:hAnsi="宋体"/>
          <w:sz w:val="28"/>
          <w:szCs w:val="28"/>
        </w:rPr>
        <w:t>倍的，按照本章第</w:t>
      </w:r>
      <w:r>
        <w:rPr>
          <w:rFonts w:ascii="宋体" w:hAnsi="宋体"/>
          <w:sz w:val="28"/>
          <w:szCs w:val="28"/>
        </w:rPr>
        <w:t>20.4</w:t>
      </w:r>
      <w:r>
        <w:rPr>
          <w:rFonts w:hint="eastAsia" w:ascii="宋体" w:hAnsi="宋体"/>
          <w:sz w:val="28"/>
          <w:szCs w:val="28"/>
        </w:rPr>
        <w:t>条规定执行；不足</w:t>
      </w:r>
      <w:r>
        <w:rPr>
          <w:rFonts w:ascii="宋体" w:hAnsi="宋体"/>
          <w:sz w:val="28"/>
          <w:szCs w:val="28"/>
        </w:rPr>
        <w:t>2</w:t>
      </w:r>
      <w:r>
        <w:rPr>
          <w:rFonts w:hint="eastAsia" w:ascii="宋体" w:hAnsi="宋体"/>
          <w:sz w:val="28"/>
          <w:szCs w:val="28"/>
        </w:rPr>
        <w:t>倍的，重新组织采购</w:t>
      </w:r>
      <w:r>
        <w:rPr>
          <w:rFonts w:ascii="宋体" w:hAnsi="宋体"/>
          <w:sz w:val="28"/>
          <w:szCs w:val="28"/>
        </w:rPr>
        <w:t>。</w:t>
      </w:r>
      <w:r>
        <w:rPr>
          <w:rFonts w:hint="eastAsia" w:ascii="宋体" w:hAnsi="宋体"/>
          <w:sz w:val="28"/>
          <w:szCs w:val="28"/>
        </w:rPr>
        <w:t>经评审符合要求的投标供应商数量通常为中标数量的</w:t>
      </w:r>
      <w:r>
        <w:rPr>
          <w:rFonts w:ascii="宋体" w:hAnsi="宋体"/>
          <w:sz w:val="28"/>
          <w:szCs w:val="28"/>
        </w:rPr>
        <w:t>2倍以上</w:t>
      </w:r>
      <w:r>
        <w:rPr>
          <w:rFonts w:hint="eastAsia" w:ascii="宋体" w:hAnsi="宋体"/>
          <w:sz w:val="28"/>
          <w:szCs w:val="28"/>
        </w:rPr>
        <w:t>；不足</w:t>
      </w:r>
      <w:r>
        <w:rPr>
          <w:rFonts w:ascii="宋体" w:hAnsi="宋体"/>
          <w:sz w:val="28"/>
          <w:szCs w:val="28"/>
        </w:rPr>
        <w:t>2</w:t>
      </w:r>
      <w:r>
        <w:rPr>
          <w:rFonts w:hint="eastAsia" w:ascii="宋体" w:hAnsi="宋体"/>
          <w:sz w:val="28"/>
          <w:szCs w:val="28"/>
        </w:rPr>
        <w:t>倍但达到</w:t>
      </w:r>
      <w:r>
        <w:rPr>
          <w:rFonts w:ascii="宋体" w:hAnsi="宋体"/>
          <w:sz w:val="28"/>
          <w:szCs w:val="28"/>
        </w:rPr>
        <w:t>1.5</w:t>
      </w:r>
      <w:r>
        <w:rPr>
          <w:rFonts w:hint="eastAsia" w:ascii="宋体" w:hAnsi="宋体"/>
          <w:sz w:val="28"/>
          <w:szCs w:val="28"/>
        </w:rPr>
        <w:t>倍的，采</w:t>
      </w:r>
      <w:r>
        <w:rPr>
          <w:rFonts w:hint="eastAsia" w:ascii="仿宋_GB2312"/>
          <w:sz w:val="28"/>
          <w:szCs w:val="28"/>
        </w:rPr>
        <w:t>购机构可以商采购单位相应减少中标数量，经采购单位</w:t>
      </w:r>
      <w:r>
        <w:rPr>
          <w:rFonts w:hint="eastAsia" w:ascii="宋体" w:hAnsi="宋体"/>
          <w:bCs/>
          <w:sz w:val="28"/>
          <w:szCs w:val="28"/>
        </w:rPr>
        <w:t>书面确认后继续组织评审，否则重新组织采购。</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中标供应商可以执行各自报价，或按照下列方式处理：</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）报价高于或等于第一名预中标供应商的，中标价格执行第一名预中标供应商报价，报价低于第一名中标供应商的，执行各自报价；</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）预中标供应商不接受第一名预中标供应商报价的，视为放弃中标资格，其放弃的数量，按照评审排名，从第一名开始，依次商投标供应商承担。</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多家投标供应商中标价格确定方式应当唯一，具体方式见招标文件专用文件。</w:t>
      </w:r>
    </w:p>
    <w:p>
      <w:pPr>
        <w:pStyle w:val="5"/>
        <w:keepNext w:val="0"/>
        <w:keepLines w:val="0"/>
        <w:adjustRightInd w:val="0"/>
        <w:snapToGrid w:val="0"/>
        <w:ind w:firstLine="560" w:firstLineChars="200"/>
        <w:rPr>
          <w:rFonts w:ascii="黑体" w:hAnsi="黑体"/>
          <w:b w:val="0"/>
        </w:rPr>
      </w:pPr>
      <w:r>
        <w:rPr>
          <w:rFonts w:ascii="黑体" w:hAnsi="黑体"/>
          <w:b w:val="0"/>
        </w:rPr>
        <w:t>34.</w:t>
      </w:r>
      <w:r>
        <w:rPr>
          <w:rFonts w:hint="eastAsia" w:ascii="黑体" w:hAnsi="黑体"/>
          <w:b w:val="0"/>
        </w:rPr>
        <w:t>出具评审报告</w:t>
      </w:r>
    </w:p>
    <w:p>
      <w:pPr>
        <w:adjustRightInd w:val="0"/>
        <w:snapToGrid w:val="0"/>
        <w:spacing w:line="560" w:lineRule="exact"/>
        <w:ind w:firstLine="560" w:firstLineChars="200"/>
      </w:pPr>
      <w:r>
        <w:rPr>
          <w:rFonts w:asciiTheme="minorEastAsia" w:hAnsiTheme="minorEastAsia" w:eastAsiaTheme="minorEastAsia"/>
          <w:bCs/>
          <w:sz w:val="28"/>
          <w:szCs w:val="28"/>
        </w:rPr>
        <w:t>34.1</w:t>
      </w:r>
      <w:r>
        <w:rPr>
          <w:rFonts w:hint="eastAsia" w:ascii="宋体" w:hAnsi="宋体"/>
          <w:bCs/>
          <w:sz w:val="28"/>
          <w:szCs w:val="28"/>
        </w:rPr>
        <w:t>评审委员会根据全体成员签字的原始评标记录和评审结果编写评审报告。评审报告主要内容由评审委员会全体成员逐页签字确认。评审委员会成员对需要共同认定的事项存在争议的，按照少数服从多数的原则作出结论。持不同意见的评审委员会成员应当在评审报告上签署不同意见并说明理由；只签字未写明不同意见或只写明不同意见未说明理由的，视为无意见；不签字的，不影响评审报告的有效性。</w:t>
      </w:r>
    </w:p>
    <w:p>
      <w:pPr>
        <w:pStyle w:val="5"/>
        <w:keepNext w:val="0"/>
        <w:keepLines w:val="0"/>
        <w:adjustRightInd w:val="0"/>
        <w:snapToGrid w:val="0"/>
        <w:ind w:firstLine="560" w:firstLineChars="200"/>
        <w:rPr>
          <w:rFonts w:ascii="黑体" w:hAnsi="黑体"/>
          <w:b w:val="0"/>
        </w:rPr>
      </w:pPr>
      <w:r>
        <w:rPr>
          <w:rFonts w:ascii="黑体" w:hAnsi="黑体"/>
          <w:b w:val="0"/>
        </w:rPr>
        <w:t>35.</w:t>
      </w:r>
      <w:r>
        <w:rPr>
          <w:rFonts w:hint="eastAsia" w:ascii="黑体" w:hAnsi="黑体"/>
          <w:b w:val="0"/>
        </w:rPr>
        <w:t>宣布评审结果</w:t>
      </w:r>
    </w:p>
    <w:p>
      <w:pPr>
        <w:adjustRightInd w:val="0"/>
        <w:snapToGrid w:val="0"/>
        <w:spacing w:line="560" w:lineRule="exact"/>
        <w:ind w:firstLine="560" w:firstLineChars="200"/>
        <w:rPr>
          <w:rFonts w:ascii="宋体" w:hAnsi="宋体"/>
          <w:bCs/>
          <w:sz w:val="28"/>
          <w:szCs w:val="28"/>
        </w:rPr>
      </w:pPr>
      <w:r>
        <w:rPr>
          <w:rFonts w:asciiTheme="minorEastAsia" w:hAnsiTheme="minorEastAsia" w:eastAsiaTheme="minorEastAsia"/>
          <w:bCs/>
          <w:sz w:val="28"/>
          <w:szCs w:val="28"/>
        </w:rPr>
        <w:t>35.1</w:t>
      </w:r>
      <w:r>
        <w:rPr>
          <w:rFonts w:hint="eastAsia" w:ascii="宋体" w:hAnsi="宋体"/>
          <w:bCs/>
          <w:sz w:val="28"/>
          <w:szCs w:val="28"/>
        </w:rPr>
        <w:t>评审委员会组长应当当场向所有投标供应商宣布评审结果，包括投标供应商评审排名和报价，无效投标供应商名单和原因等。投标供应商有疑义的，评审委员会应当当场予以解答。</w:t>
      </w:r>
    </w:p>
    <w:p>
      <w:pPr>
        <w:pStyle w:val="5"/>
        <w:keepNext w:val="0"/>
        <w:keepLines w:val="0"/>
        <w:adjustRightInd w:val="0"/>
        <w:snapToGrid w:val="0"/>
        <w:ind w:firstLine="560" w:firstLineChars="200"/>
        <w:rPr>
          <w:rFonts w:ascii="黑体" w:hAnsi="黑体"/>
          <w:b w:val="0"/>
        </w:rPr>
      </w:pPr>
      <w:bookmarkStart w:id="172" w:name="_Toc25551"/>
      <w:bookmarkStart w:id="173" w:name="_Toc7662"/>
      <w:bookmarkStart w:id="174" w:name="_Toc2853"/>
      <w:bookmarkStart w:id="175" w:name="_Toc8122"/>
      <w:r>
        <w:rPr>
          <w:rFonts w:ascii="黑体" w:hAnsi="黑体"/>
          <w:b w:val="0"/>
        </w:rPr>
        <w:t>36.</w:t>
      </w:r>
      <w:r>
        <w:rPr>
          <w:rFonts w:hint="eastAsia" w:ascii="黑体" w:hAnsi="黑体"/>
          <w:b w:val="0"/>
        </w:rPr>
        <w:t>无效投标</w:t>
      </w:r>
      <w:bookmarkEnd w:id="172"/>
      <w:bookmarkEnd w:id="173"/>
      <w:bookmarkEnd w:id="174"/>
      <w:bookmarkEnd w:id="175"/>
    </w:p>
    <w:p>
      <w:pPr>
        <w:pStyle w:val="114"/>
        <w:adjustRightInd w:val="0"/>
        <w:snapToGrid w:val="0"/>
        <w:spacing w:line="560" w:lineRule="exact"/>
        <w:ind w:firstLine="560"/>
        <w:rPr>
          <w:rFonts w:ascii="宋体" w:hAnsi="宋体"/>
          <w:bCs/>
          <w:sz w:val="28"/>
          <w:szCs w:val="28"/>
        </w:rPr>
      </w:pPr>
      <w:r>
        <w:rPr>
          <w:rFonts w:ascii="宋体" w:hAnsi="宋体"/>
          <w:bCs/>
          <w:sz w:val="28"/>
          <w:szCs w:val="28"/>
        </w:rPr>
        <w:t>36.1在</w:t>
      </w:r>
      <w:r>
        <w:rPr>
          <w:rFonts w:hint="eastAsia" w:ascii="宋体" w:hAnsi="宋体"/>
          <w:bCs/>
          <w:sz w:val="28"/>
          <w:szCs w:val="28"/>
        </w:rPr>
        <w:t>资格性审查</w:t>
      </w:r>
      <w:r>
        <w:rPr>
          <w:rFonts w:ascii="宋体" w:hAnsi="宋体"/>
          <w:bCs/>
          <w:sz w:val="28"/>
          <w:szCs w:val="28"/>
        </w:rPr>
        <w:t>过程中，有下列情形之一者，</w:t>
      </w:r>
      <w:r>
        <w:rPr>
          <w:rFonts w:hint="eastAsia" w:ascii="仿宋_GB2312" w:hAnsi="仿宋"/>
          <w:bCs/>
          <w:sz w:val="28"/>
          <w:szCs w:val="28"/>
        </w:rPr>
        <w:t>按照无效投标处理</w:t>
      </w:r>
      <w:r>
        <w:rPr>
          <w:rFonts w:hint="eastAsia" w:ascii="宋体" w:hAnsi="宋体"/>
          <w:bCs/>
          <w:sz w:val="28"/>
          <w:szCs w:val="28"/>
        </w:rPr>
        <w:t>，但符合本文件第</w:t>
      </w:r>
      <w:r>
        <w:rPr>
          <w:rFonts w:ascii="宋体" w:hAnsi="宋体"/>
          <w:bCs/>
          <w:sz w:val="28"/>
          <w:szCs w:val="28"/>
        </w:rPr>
        <w:t>37</w:t>
      </w:r>
      <w:r>
        <w:rPr>
          <w:rFonts w:hint="eastAsia" w:ascii="宋体" w:hAnsi="宋体"/>
          <w:bCs/>
          <w:sz w:val="28"/>
          <w:szCs w:val="28"/>
        </w:rPr>
        <w:t>条规定的情形除外：</w:t>
      </w:r>
    </w:p>
    <w:p>
      <w:pPr>
        <w:pStyle w:val="114"/>
        <w:adjustRightInd w:val="0"/>
        <w:snapToGrid w:val="0"/>
        <w:spacing w:line="560" w:lineRule="exact"/>
        <w:ind w:firstLine="56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未按照招标文件要求密封的；</w:t>
      </w:r>
    </w:p>
    <w:p>
      <w:pPr>
        <w:spacing w:line="560" w:lineRule="exact"/>
        <w:ind w:firstLine="560" w:firstLineChars="200"/>
        <w:rPr>
          <w:rFonts w:ascii="宋体" w:hAnsi="宋体"/>
          <w:bCs/>
          <w:kern w:val="0"/>
          <w:sz w:val="28"/>
          <w:szCs w:val="28"/>
        </w:rPr>
      </w:pPr>
      <w:r>
        <w:rPr>
          <w:rFonts w:hint="eastAsia" w:ascii="宋体" w:hAnsi="宋体"/>
          <w:bCs/>
          <w:kern w:val="0"/>
          <w:sz w:val="28"/>
          <w:szCs w:val="28"/>
        </w:rPr>
        <w:t>（</w:t>
      </w:r>
      <w:r>
        <w:rPr>
          <w:rFonts w:ascii="宋体" w:hAnsi="宋体"/>
          <w:bCs/>
          <w:kern w:val="0"/>
          <w:sz w:val="28"/>
          <w:szCs w:val="28"/>
        </w:rPr>
        <w:t>2）</w:t>
      </w:r>
      <w:r>
        <w:rPr>
          <w:rFonts w:hint="eastAsia" w:ascii="宋体" w:hAnsi="宋体"/>
          <w:bCs/>
          <w:kern w:val="0"/>
          <w:sz w:val="28"/>
          <w:szCs w:val="28"/>
        </w:rPr>
        <w:t>不具备招标文件中规定的资格性要求的；</w:t>
      </w:r>
    </w:p>
    <w:p>
      <w:pPr>
        <w:spacing w:line="560" w:lineRule="exact"/>
        <w:ind w:firstLine="560" w:firstLineChars="200"/>
        <w:rPr>
          <w:rFonts w:ascii="宋体" w:hAnsi="宋体"/>
          <w:bCs/>
          <w:kern w:val="0"/>
          <w:sz w:val="28"/>
          <w:szCs w:val="28"/>
        </w:rPr>
      </w:pPr>
      <w:r>
        <w:rPr>
          <w:rFonts w:hint="eastAsia" w:ascii="宋体" w:hAnsi="宋体"/>
          <w:bCs/>
          <w:kern w:val="0"/>
          <w:sz w:val="28"/>
          <w:szCs w:val="28"/>
        </w:rPr>
        <w:t>（</w:t>
      </w:r>
      <w:r>
        <w:rPr>
          <w:rFonts w:ascii="宋体" w:hAnsi="宋体"/>
          <w:bCs/>
          <w:kern w:val="0"/>
          <w:sz w:val="28"/>
          <w:szCs w:val="28"/>
        </w:rPr>
        <w:t>3）</w:t>
      </w:r>
      <w:r>
        <w:rPr>
          <w:rFonts w:hint="eastAsia" w:ascii="宋体" w:hAnsi="宋体"/>
          <w:bCs/>
          <w:kern w:val="0"/>
          <w:sz w:val="28"/>
          <w:szCs w:val="28"/>
        </w:rPr>
        <w:t>法定代表人授权不符合要求的；</w:t>
      </w:r>
    </w:p>
    <w:p>
      <w:pPr>
        <w:spacing w:line="560" w:lineRule="exact"/>
        <w:ind w:firstLine="560" w:firstLineChars="200"/>
        <w:rPr>
          <w:rFonts w:ascii="宋体" w:hAnsi="宋体"/>
          <w:bCs/>
          <w:kern w:val="0"/>
          <w:sz w:val="28"/>
          <w:szCs w:val="28"/>
        </w:rPr>
      </w:pPr>
      <w:r>
        <w:rPr>
          <w:rFonts w:hint="eastAsia" w:ascii="宋体" w:hAnsi="宋体"/>
          <w:bCs/>
          <w:kern w:val="0"/>
          <w:sz w:val="28"/>
          <w:szCs w:val="28"/>
        </w:rPr>
        <w:t>（</w:t>
      </w:r>
      <w:r>
        <w:rPr>
          <w:rFonts w:ascii="宋体" w:hAnsi="宋体"/>
          <w:bCs/>
          <w:kern w:val="0"/>
          <w:sz w:val="28"/>
          <w:szCs w:val="28"/>
        </w:rPr>
        <w:t>4）</w:t>
      </w:r>
      <w:r>
        <w:rPr>
          <w:rFonts w:hint="eastAsia" w:ascii="宋体" w:hAnsi="宋体"/>
          <w:bCs/>
          <w:kern w:val="0"/>
          <w:sz w:val="28"/>
          <w:szCs w:val="28"/>
        </w:rPr>
        <w:t>属于禁止参加投标供应商的；</w:t>
      </w:r>
    </w:p>
    <w:p>
      <w:pPr>
        <w:spacing w:line="560" w:lineRule="exact"/>
        <w:ind w:firstLine="560" w:firstLineChars="200"/>
        <w:rPr>
          <w:rFonts w:ascii="宋体" w:hAnsi="宋体"/>
          <w:bCs/>
          <w:kern w:val="0"/>
          <w:sz w:val="28"/>
          <w:szCs w:val="28"/>
        </w:rPr>
      </w:pPr>
      <w:r>
        <w:rPr>
          <w:rFonts w:hint="eastAsia" w:ascii="宋体" w:hAnsi="宋体"/>
          <w:bCs/>
          <w:kern w:val="0"/>
          <w:sz w:val="28"/>
          <w:szCs w:val="28"/>
        </w:rPr>
        <w:t>（</w:t>
      </w:r>
      <w:r>
        <w:rPr>
          <w:rFonts w:ascii="宋体" w:hAnsi="宋体"/>
          <w:bCs/>
          <w:kern w:val="0"/>
          <w:sz w:val="28"/>
          <w:szCs w:val="28"/>
        </w:rPr>
        <w:t>5）</w:t>
      </w:r>
      <w:r>
        <w:rPr>
          <w:rFonts w:hint="eastAsia" w:ascii="宋体" w:hAnsi="宋体"/>
          <w:bCs/>
          <w:kern w:val="0"/>
          <w:sz w:val="28"/>
          <w:szCs w:val="28"/>
        </w:rPr>
        <w:t>未按照规定交纳投标保证金的；</w:t>
      </w:r>
    </w:p>
    <w:p>
      <w:pPr>
        <w:adjustRightInd w:val="0"/>
        <w:snapToGrid w:val="0"/>
        <w:spacing w:line="560" w:lineRule="exact"/>
        <w:ind w:firstLine="560" w:firstLineChars="200"/>
        <w:rPr>
          <w:rFonts w:ascii="宋体" w:hAnsi="宋体"/>
          <w:bCs/>
          <w:sz w:val="28"/>
          <w:szCs w:val="28"/>
        </w:rPr>
      </w:pPr>
      <w:r>
        <w:rPr>
          <w:rFonts w:hint="eastAsia" w:ascii="宋体" w:hAnsi="宋体"/>
          <w:bCs/>
          <w:kern w:val="0"/>
          <w:sz w:val="28"/>
          <w:szCs w:val="28"/>
        </w:rPr>
        <w:t>（</w:t>
      </w:r>
      <w:r>
        <w:rPr>
          <w:rFonts w:ascii="宋体" w:hAnsi="宋体"/>
          <w:bCs/>
          <w:kern w:val="0"/>
          <w:sz w:val="28"/>
          <w:szCs w:val="28"/>
        </w:rPr>
        <w:t>6）</w:t>
      </w:r>
      <w:r>
        <w:rPr>
          <w:rFonts w:hint="eastAsia" w:ascii="宋体" w:hAnsi="宋体"/>
          <w:bCs/>
          <w:kern w:val="0"/>
          <w:sz w:val="28"/>
          <w:szCs w:val="28"/>
        </w:rPr>
        <w:t>不符合国家和军队法律法规规定的资格性要求的。</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36.2在</w:t>
      </w:r>
      <w:r>
        <w:rPr>
          <w:rFonts w:hint="eastAsia" w:ascii="宋体" w:hAnsi="宋体"/>
          <w:bCs/>
          <w:sz w:val="28"/>
          <w:szCs w:val="28"/>
        </w:rPr>
        <w:t>符合性审查</w:t>
      </w:r>
      <w:r>
        <w:rPr>
          <w:rFonts w:ascii="宋体" w:hAnsi="宋体"/>
          <w:bCs/>
          <w:sz w:val="28"/>
          <w:szCs w:val="28"/>
        </w:rPr>
        <w:t>过程中，有下列情形之一者，</w:t>
      </w:r>
      <w:r>
        <w:rPr>
          <w:rFonts w:hint="eastAsia" w:ascii="仿宋_GB2312" w:hAnsi="仿宋"/>
          <w:bCs/>
          <w:sz w:val="28"/>
          <w:szCs w:val="28"/>
        </w:rPr>
        <w:t>按照无效投标处理</w:t>
      </w:r>
      <w:r>
        <w:rPr>
          <w:rFonts w:hint="eastAsia" w:ascii="宋体" w:hAnsi="宋体"/>
          <w:bCs/>
          <w:sz w:val="28"/>
          <w:szCs w:val="28"/>
        </w:rPr>
        <w:t>，但符合本文件第</w:t>
      </w:r>
      <w:r>
        <w:rPr>
          <w:rFonts w:ascii="宋体" w:hAnsi="宋体"/>
          <w:bCs/>
          <w:sz w:val="28"/>
          <w:szCs w:val="28"/>
        </w:rPr>
        <w:t>37条规定的情形除外：</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1）</w:t>
      </w:r>
      <w:r>
        <w:rPr>
          <w:rFonts w:hint="eastAsia" w:ascii="仿宋_GB2312" w:hAnsi="仿宋" w:cs="仿宋"/>
          <w:bCs/>
          <w:sz w:val="28"/>
          <w:szCs w:val="28"/>
        </w:rPr>
        <w:t>未按照招标文件要求签署、盖章的；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2）</w:t>
      </w:r>
      <w:r>
        <w:rPr>
          <w:rFonts w:hint="eastAsia" w:ascii="仿宋_GB2312" w:hAnsi="仿宋" w:cs="仿宋"/>
          <w:bCs/>
          <w:sz w:val="28"/>
          <w:szCs w:val="28"/>
        </w:rPr>
        <w:t>投标有效期不符合招标文件要求的；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3）</w:t>
      </w:r>
      <w:r>
        <w:rPr>
          <w:rFonts w:hint="eastAsia" w:ascii="仿宋_GB2312" w:hAnsi="仿宋" w:cs="仿宋"/>
          <w:bCs/>
          <w:sz w:val="28"/>
          <w:szCs w:val="28"/>
        </w:rPr>
        <w:t>技术和商务的实质性条款不满足招标文件要求的；</w:t>
      </w:r>
    </w:p>
    <w:p>
      <w:pPr>
        <w:pStyle w:val="100"/>
        <w:adjustRightInd w:val="0"/>
        <w:snapToGrid w:val="0"/>
        <w:spacing w:line="560" w:lineRule="exact"/>
        <w:ind w:firstLine="560"/>
        <w:rPr>
          <w:rFonts w:ascii="仿宋_GB2312" w:hAnsi="仿宋" w:cs="仿宋"/>
          <w:bCs/>
          <w:sz w:val="28"/>
          <w:szCs w:val="28"/>
        </w:rPr>
      </w:pPr>
      <w:r>
        <w:rPr>
          <w:rFonts w:hint="eastAsia" w:ascii="宋体" w:hAnsi="宋体"/>
          <w:bCs/>
          <w:sz w:val="28"/>
          <w:szCs w:val="28"/>
        </w:rPr>
        <w:t>（4）其他</w:t>
      </w:r>
      <w:r>
        <w:rPr>
          <w:rFonts w:hint="eastAsia" w:ascii="仿宋_GB2312" w:hAnsi="仿宋" w:cs="仿宋"/>
          <w:bCs/>
          <w:sz w:val="28"/>
          <w:szCs w:val="28"/>
        </w:rPr>
        <w:t>不满足招标文件载明的符合性要求的。</w:t>
      </w:r>
    </w:p>
    <w:p>
      <w:pPr>
        <w:spacing w:line="580" w:lineRule="exact"/>
        <w:ind w:firstLine="560" w:firstLineChars="200"/>
        <w:rPr>
          <w:rFonts w:ascii="宋体" w:hAnsi="宋体"/>
          <w:sz w:val="28"/>
          <w:szCs w:val="28"/>
        </w:rPr>
      </w:pPr>
      <w:r>
        <w:rPr>
          <w:rFonts w:ascii="宋体" w:hAnsi="宋体"/>
          <w:bCs/>
          <w:sz w:val="28"/>
          <w:szCs w:val="28"/>
        </w:rPr>
        <w:t>36.3</w:t>
      </w:r>
      <w:r>
        <w:rPr>
          <w:rFonts w:hint="eastAsia" w:ascii="宋体" w:hAnsi="宋体"/>
          <w:sz w:val="28"/>
          <w:szCs w:val="28"/>
        </w:rPr>
        <w:t>有下列情形之一的，属于投标供应商相互串通投标，按照无效投标处理：</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1</w:t>
      </w:r>
      <w:r>
        <w:rPr>
          <w:rFonts w:hint="eastAsia" w:ascii="宋体" w:hAnsi="宋体" w:cs="仿宋"/>
          <w:sz w:val="28"/>
          <w:szCs w:val="28"/>
        </w:rPr>
        <w:t>）投标供应商之间约定中标供应商的；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2</w:t>
      </w:r>
      <w:r>
        <w:rPr>
          <w:rFonts w:hint="eastAsia" w:ascii="宋体" w:hAnsi="宋体" w:cs="仿宋"/>
          <w:sz w:val="28"/>
          <w:szCs w:val="28"/>
        </w:rPr>
        <w:t>）投标供应商之间约定部分放弃投标或中标的；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3</w:t>
      </w:r>
      <w:r>
        <w:rPr>
          <w:rFonts w:hint="eastAsia" w:ascii="宋体" w:hAnsi="宋体" w:cs="仿宋"/>
          <w:sz w:val="28"/>
          <w:szCs w:val="28"/>
        </w:rPr>
        <w:t>）同一集团成员的投标供应商按照该集团要求协同投标的；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4</w:t>
      </w:r>
      <w:r>
        <w:rPr>
          <w:rFonts w:hint="eastAsia" w:ascii="宋体" w:hAnsi="宋体" w:cs="仿宋"/>
          <w:sz w:val="28"/>
          <w:szCs w:val="28"/>
        </w:rPr>
        <w:t>）投标供应商之间为谋取中标或排斥特定投标供应商而采取其他联合行动的；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5</w:t>
      </w:r>
      <w:r>
        <w:rPr>
          <w:rFonts w:hint="eastAsia" w:ascii="宋体" w:hAnsi="宋体" w:cs="仿宋"/>
          <w:sz w:val="28"/>
          <w:szCs w:val="28"/>
        </w:rPr>
        <w:t>）国家和</w:t>
      </w:r>
      <w:r>
        <w:rPr>
          <w:rFonts w:ascii="宋体" w:hAnsi="宋体" w:cs="仿宋"/>
          <w:sz w:val="28"/>
          <w:szCs w:val="28"/>
        </w:rPr>
        <w:t>军队法律法规规定的其他情形。</w:t>
      </w:r>
    </w:p>
    <w:p>
      <w:pPr>
        <w:spacing w:line="560" w:lineRule="exact"/>
        <w:ind w:firstLine="560" w:firstLineChars="200"/>
        <w:rPr>
          <w:rFonts w:ascii="宋体" w:hAnsi="宋体"/>
          <w:sz w:val="28"/>
          <w:szCs w:val="28"/>
        </w:rPr>
      </w:pPr>
      <w:r>
        <w:rPr>
          <w:rFonts w:ascii="宋体" w:hAnsi="宋体"/>
          <w:sz w:val="28"/>
          <w:szCs w:val="28"/>
        </w:rPr>
        <w:t>36.4</w:t>
      </w:r>
      <w:r>
        <w:rPr>
          <w:rFonts w:hint="eastAsia" w:ascii="宋体" w:hAnsi="宋体"/>
          <w:sz w:val="28"/>
          <w:szCs w:val="28"/>
        </w:rPr>
        <w:t>有下列情形之一的，视为投标供应商相互串通投标，按照无效投标处理：</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1</w:t>
      </w:r>
      <w:r>
        <w:rPr>
          <w:rFonts w:hint="eastAsia" w:ascii="宋体" w:hAnsi="宋体" w:cs="仿宋"/>
          <w:sz w:val="28"/>
          <w:szCs w:val="28"/>
        </w:rPr>
        <w:t>）不同投标供应商的投标文件由同一单位或个人编制的，以及投标使用同一加密锁或具有相同</w:t>
      </w:r>
      <w:r>
        <w:rPr>
          <w:rFonts w:ascii="宋体" w:hAnsi="宋体" w:cs="仿宋"/>
          <w:sz w:val="28"/>
          <w:szCs w:val="28"/>
        </w:rPr>
        <w:t>Mac地址的；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2</w:t>
      </w:r>
      <w:r>
        <w:rPr>
          <w:rFonts w:hint="eastAsia" w:ascii="宋体" w:hAnsi="宋体" w:cs="仿宋"/>
          <w:sz w:val="28"/>
          <w:szCs w:val="28"/>
        </w:rPr>
        <w:t>）不同投标供应商委托同一单位或个人办理投标事宜的；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3</w:t>
      </w:r>
      <w:r>
        <w:rPr>
          <w:rFonts w:hint="eastAsia" w:ascii="宋体" w:hAnsi="宋体" w:cs="仿宋"/>
          <w:sz w:val="28"/>
          <w:szCs w:val="28"/>
        </w:rPr>
        <w:t>）不同投标供应商的投标文件载明的项目管理成员为同一人的；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4</w:t>
      </w:r>
      <w:r>
        <w:rPr>
          <w:rFonts w:hint="eastAsia" w:ascii="宋体" w:hAnsi="宋体" w:cs="仿宋"/>
          <w:sz w:val="28"/>
          <w:szCs w:val="28"/>
        </w:rPr>
        <w:t>）不同投标供应商的投标文件异常一致或投标呈规律性差异的；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5</w:t>
      </w:r>
      <w:r>
        <w:rPr>
          <w:rFonts w:hint="eastAsia" w:ascii="宋体" w:hAnsi="宋体" w:cs="仿宋"/>
          <w:sz w:val="28"/>
          <w:szCs w:val="28"/>
        </w:rPr>
        <w:t>）不同投标供应商的投标文件混装、签章混用的；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6</w:t>
      </w:r>
      <w:r>
        <w:rPr>
          <w:rFonts w:hint="eastAsia" w:ascii="宋体" w:hAnsi="宋体" w:cs="仿宋"/>
          <w:sz w:val="28"/>
          <w:szCs w:val="28"/>
        </w:rPr>
        <w:t>）不同投标供应商的投标保证金从同一单位或个人的账户转出的；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7</w:t>
      </w:r>
      <w:r>
        <w:rPr>
          <w:rFonts w:hint="eastAsia" w:ascii="宋体" w:hAnsi="宋体" w:cs="仿宋"/>
          <w:sz w:val="28"/>
          <w:szCs w:val="28"/>
        </w:rPr>
        <w:t>）国家和</w:t>
      </w:r>
      <w:r>
        <w:rPr>
          <w:rFonts w:ascii="宋体" w:hAnsi="宋体" w:cs="仿宋"/>
          <w:sz w:val="28"/>
          <w:szCs w:val="28"/>
        </w:rPr>
        <w:t>军队法律法规规定的其他情形。</w:t>
      </w:r>
    </w:p>
    <w:p>
      <w:pPr>
        <w:spacing w:line="560" w:lineRule="exact"/>
        <w:ind w:firstLine="560" w:firstLineChars="200"/>
        <w:rPr>
          <w:rFonts w:ascii="宋体" w:hAnsi="宋体"/>
          <w:sz w:val="28"/>
          <w:szCs w:val="28"/>
        </w:rPr>
      </w:pPr>
      <w:r>
        <w:rPr>
          <w:rFonts w:ascii="宋体" w:hAnsi="宋体"/>
          <w:sz w:val="28"/>
          <w:szCs w:val="28"/>
        </w:rPr>
        <w:t>36.5</w:t>
      </w:r>
      <w:r>
        <w:rPr>
          <w:rFonts w:hint="eastAsia" w:ascii="宋体" w:hAnsi="宋体"/>
          <w:sz w:val="28"/>
          <w:szCs w:val="28"/>
        </w:rPr>
        <w:t>有下列情形之一的，属于采购机构、采购单位与投标供应商串通投标，按照无效投标处理：</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1</w:t>
      </w:r>
      <w:r>
        <w:rPr>
          <w:rFonts w:hint="eastAsia" w:ascii="宋体" w:hAnsi="宋体" w:cs="仿宋"/>
          <w:sz w:val="28"/>
          <w:szCs w:val="28"/>
        </w:rPr>
        <w:t>）在开标前开启投标文件并将有关信息泄露给其他投标供应商的；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2</w:t>
      </w:r>
      <w:r>
        <w:rPr>
          <w:rFonts w:hint="eastAsia" w:ascii="宋体" w:hAnsi="宋体" w:cs="仿宋"/>
          <w:sz w:val="28"/>
          <w:szCs w:val="28"/>
        </w:rPr>
        <w:t>）直接或间接向投标供应商泄露评审委员会成员信息的；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3</w:t>
      </w:r>
      <w:r>
        <w:rPr>
          <w:rFonts w:hint="eastAsia" w:ascii="宋体" w:hAnsi="宋体" w:cs="仿宋"/>
          <w:sz w:val="28"/>
          <w:szCs w:val="28"/>
        </w:rPr>
        <w:t>）明示或暗示投标供应商压低或抬高投标价格的；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4</w:t>
      </w:r>
      <w:r>
        <w:rPr>
          <w:rFonts w:hint="eastAsia" w:ascii="宋体" w:hAnsi="宋体" w:cs="仿宋"/>
          <w:sz w:val="28"/>
          <w:szCs w:val="28"/>
        </w:rPr>
        <w:t>）授意投标供应商撤换、修改投标文件的；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5</w:t>
      </w:r>
      <w:r>
        <w:rPr>
          <w:rFonts w:hint="eastAsia" w:ascii="宋体" w:hAnsi="宋体" w:cs="仿宋"/>
          <w:sz w:val="28"/>
          <w:szCs w:val="28"/>
        </w:rPr>
        <w:t>）明示或暗示投标供应商为特定投标供应商中标提供方便的；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6</w:t>
      </w:r>
      <w:r>
        <w:rPr>
          <w:rFonts w:hint="eastAsia" w:ascii="宋体" w:hAnsi="宋体" w:cs="仿宋"/>
          <w:sz w:val="28"/>
          <w:szCs w:val="28"/>
        </w:rPr>
        <w:t>）明示或暗示评审委员会为特定投标供应商中标提供方便的；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7</w:t>
      </w:r>
      <w:r>
        <w:rPr>
          <w:rFonts w:hint="eastAsia" w:ascii="宋体" w:hAnsi="宋体" w:cs="仿宋"/>
          <w:sz w:val="28"/>
          <w:szCs w:val="28"/>
        </w:rPr>
        <w:t>）在开标前与投标供应商就采购项目进行实质性谈判的；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8</w:t>
      </w:r>
      <w:r>
        <w:rPr>
          <w:rFonts w:hint="eastAsia" w:ascii="宋体" w:hAnsi="宋体" w:cs="仿宋"/>
          <w:sz w:val="28"/>
          <w:szCs w:val="28"/>
        </w:rPr>
        <w:t>）与投标供应商为谋求特定投标供应商中标而采取其他串通行为的；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9</w:t>
      </w:r>
      <w:r>
        <w:rPr>
          <w:rFonts w:hint="eastAsia" w:ascii="宋体" w:hAnsi="宋体" w:cs="仿宋"/>
          <w:sz w:val="28"/>
          <w:szCs w:val="28"/>
        </w:rPr>
        <w:t>）国家和</w:t>
      </w:r>
      <w:r>
        <w:rPr>
          <w:rFonts w:ascii="宋体" w:hAnsi="宋体" w:cs="仿宋"/>
          <w:sz w:val="28"/>
          <w:szCs w:val="28"/>
        </w:rPr>
        <w:t>军队法律法规规定的其他情形。</w:t>
      </w:r>
    </w:p>
    <w:p>
      <w:pPr>
        <w:spacing w:line="560" w:lineRule="exact"/>
        <w:ind w:firstLine="560" w:firstLineChars="200"/>
        <w:rPr>
          <w:rFonts w:ascii="宋体" w:hAnsi="宋体"/>
          <w:sz w:val="28"/>
          <w:szCs w:val="28"/>
        </w:rPr>
      </w:pPr>
      <w:r>
        <w:rPr>
          <w:rFonts w:ascii="宋体" w:hAnsi="宋体"/>
          <w:sz w:val="28"/>
          <w:szCs w:val="28"/>
        </w:rPr>
        <w:t>36.6</w:t>
      </w:r>
      <w:r>
        <w:rPr>
          <w:rFonts w:hint="eastAsia" w:ascii="宋体" w:hAnsi="宋体"/>
          <w:sz w:val="28"/>
          <w:szCs w:val="28"/>
        </w:rPr>
        <w:t>有下列情形之一的，属于虚假投标，按照无效投标处理：</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1</w:t>
      </w:r>
      <w:r>
        <w:rPr>
          <w:rFonts w:hint="eastAsia" w:ascii="宋体" w:hAnsi="宋体" w:cs="仿宋"/>
          <w:sz w:val="28"/>
          <w:szCs w:val="28"/>
        </w:rPr>
        <w:t>）使用通过受让或租借等方式获取资格、资质证书的；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2</w:t>
      </w:r>
      <w:r>
        <w:rPr>
          <w:rFonts w:hint="eastAsia" w:ascii="宋体" w:hAnsi="宋体" w:cs="仿宋"/>
          <w:sz w:val="28"/>
          <w:szCs w:val="28"/>
        </w:rPr>
        <w:t>）使用伪造证书、证件或印章的；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3</w:t>
      </w:r>
      <w:r>
        <w:rPr>
          <w:rFonts w:hint="eastAsia" w:ascii="宋体" w:hAnsi="宋体" w:cs="仿宋"/>
          <w:sz w:val="28"/>
          <w:szCs w:val="28"/>
        </w:rPr>
        <w:t>）提供虚假财务状况、检测报告、业绩或发票的；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4</w:t>
      </w:r>
      <w:r>
        <w:rPr>
          <w:rFonts w:hint="eastAsia" w:ascii="宋体" w:hAnsi="宋体" w:cs="仿宋"/>
          <w:sz w:val="28"/>
          <w:szCs w:val="28"/>
        </w:rPr>
        <w:t>）提供虚假项目负责人或主要技术人员简历、劳动关系证明的；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5</w:t>
      </w:r>
      <w:r>
        <w:rPr>
          <w:rFonts w:hint="eastAsia" w:ascii="宋体" w:hAnsi="宋体" w:cs="仿宋"/>
          <w:sz w:val="28"/>
          <w:szCs w:val="28"/>
        </w:rPr>
        <w:t>）提供虚假信用状况的；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6</w:t>
      </w:r>
      <w:r>
        <w:rPr>
          <w:rFonts w:hint="eastAsia" w:ascii="宋体" w:hAnsi="宋体" w:cs="仿宋"/>
          <w:sz w:val="28"/>
          <w:szCs w:val="28"/>
        </w:rPr>
        <w:t>）提供虚假样品或借用、冒用其他投标供应商样品的；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7</w:t>
      </w:r>
      <w:r>
        <w:rPr>
          <w:rFonts w:hint="eastAsia" w:ascii="宋体" w:hAnsi="宋体" w:cs="仿宋"/>
          <w:sz w:val="28"/>
          <w:szCs w:val="28"/>
        </w:rPr>
        <w:t>）存在其他弄虚作假行为的；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8</w:t>
      </w:r>
      <w:r>
        <w:rPr>
          <w:rFonts w:hint="eastAsia" w:ascii="宋体" w:hAnsi="宋体" w:cs="仿宋"/>
          <w:sz w:val="28"/>
          <w:szCs w:val="28"/>
        </w:rPr>
        <w:t>）国家和</w:t>
      </w:r>
      <w:r>
        <w:rPr>
          <w:rFonts w:ascii="宋体" w:hAnsi="宋体" w:cs="仿宋"/>
          <w:sz w:val="28"/>
          <w:szCs w:val="28"/>
        </w:rPr>
        <w:t>军队法律法规规定的其他情形</w:t>
      </w:r>
      <w:r>
        <w:rPr>
          <w:rFonts w:hint="eastAsia" w:ascii="宋体" w:hAnsi="宋体" w:cs="仿宋"/>
          <w:sz w:val="28"/>
          <w:szCs w:val="28"/>
        </w:rPr>
        <w:t>。</w:t>
      </w:r>
    </w:p>
    <w:p>
      <w:pPr>
        <w:spacing w:line="560" w:lineRule="exact"/>
        <w:ind w:firstLine="560" w:firstLineChars="200"/>
        <w:rPr>
          <w:rFonts w:ascii="宋体" w:hAnsi="宋体" w:cs="仿宋"/>
          <w:sz w:val="28"/>
          <w:szCs w:val="28"/>
        </w:rPr>
      </w:pPr>
      <w:r>
        <w:rPr>
          <w:rFonts w:ascii="宋体" w:hAnsi="宋体" w:cs="仿宋"/>
          <w:sz w:val="28"/>
          <w:szCs w:val="28"/>
        </w:rPr>
        <w:t>36.7</w:t>
      </w:r>
      <w:r>
        <w:rPr>
          <w:rFonts w:hint="eastAsia" w:ascii="宋体" w:hAnsi="宋体" w:cs="仿宋"/>
          <w:sz w:val="28"/>
          <w:szCs w:val="28"/>
        </w:rPr>
        <w:t>招标文件中明确的其他应当视为无效投标的情形。</w:t>
      </w:r>
    </w:p>
    <w:p>
      <w:pPr>
        <w:pStyle w:val="5"/>
        <w:keepNext w:val="0"/>
        <w:keepLines w:val="0"/>
        <w:adjustRightInd w:val="0"/>
        <w:snapToGrid w:val="0"/>
        <w:ind w:firstLine="560" w:firstLineChars="200"/>
        <w:rPr>
          <w:rFonts w:ascii="黑体" w:hAnsi="黑体"/>
          <w:b w:val="0"/>
        </w:rPr>
      </w:pPr>
      <w:r>
        <w:rPr>
          <w:rFonts w:hint="eastAsia" w:ascii="黑体" w:hAnsi="黑体"/>
          <w:b w:val="0"/>
        </w:rPr>
        <w:t>3</w:t>
      </w:r>
      <w:r>
        <w:rPr>
          <w:rFonts w:ascii="黑体" w:hAnsi="黑体"/>
          <w:b w:val="0"/>
        </w:rPr>
        <w:t>7.</w:t>
      </w:r>
      <w:r>
        <w:rPr>
          <w:rFonts w:hint="eastAsia" w:ascii="黑体" w:hAnsi="黑体"/>
          <w:b w:val="0"/>
        </w:rPr>
        <w:t>通过资格性、符合性审查的特殊情形</w:t>
      </w:r>
    </w:p>
    <w:p>
      <w:pPr>
        <w:pStyle w:val="100"/>
        <w:spacing w:line="560" w:lineRule="exact"/>
        <w:ind w:firstLine="560"/>
        <w:rPr>
          <w:rFonts w:ascii="宋体" w:hAnsi="宋体"/>
          <w:sz w:val="28"/>
          <w:szCs w:val="28"/>
        </w:rPr>
      </w:pPr>
      <w:r>
        <w:rPr>
          <w:rFonts w:hint="eastAsia" w:ascii="宋体" w:hAnsi="宋体"/>
          <w:sz w:val="28"/>
          <w:szCs w:val="28"/>
        </w:rPr>
        <w:t>3</w:t>
      </w:r>
      <w:r>
        <w:rPr>
          <w:rFonts w:ascii="宋体" w:hAnsi="宋体"/>
          <w:sz w:val="28"/>
          <w:szCs w:val="28"/>
        </w:rPr>
        <w:t>7.1</w:t>
      </w:r>
      <w:r>
        <w:rPr>
          <w:rFonts w:hint="eastAsia" w:ascii="宋体" w:hAnsi="宋体"/>
          <w:sz w:val="28"/>
          <w:szCs w:val="28"/>
        </w:rPr>
        <w:t>投标文件有下列情形，但其他方面符合要求，应当认定通过资格性、符合性审查：</w:t>
      </w:r>
    </w:p>
    <w:p>
      <w:pPr>
        <w:pStyle w:val="100"/>
        <w:spacing w:line="560" w:lineRule="exact"/>
        <w:ind w:firstLine="560"/>
        <w:rPr>
          <w:rFonts w:ascii="宋体" w:hAnsi="宋体"/>
          <w:sz w:val="28"/>
          <w:szCs w:val="28"/>
        </w:rPr>
      </w:pPr>
      <w:r>
        <w:rPr>
          <w:rFonts w:hint="eastAsia" w:ascii="宋体" w:hAnsi="宋体"/>
          <w:sz w:val="28"/>
          <w:szCs w:val="28"/>
        </w:rPr>
        <w:t>（1）密封时未加盖、少加盖公章或密封章，但密封完好、完整标明了投标供应商名称且得到投标供应商现场认可的；</w:t>
      </w:r>
    </w:p>
    <w:p>
      <w:pPr>
        <w:spacing w:line="560" w:lineRule="exact"/>
        <w:ind w:firstLine="560" w:firstLineChars="200"/>
        <w:rPr>
          <w:rFonts w:ascii="宋体" w:hAnsi="宋体"/>
          <w:sz w:val="28"/>
          <w:szCs w:val="28"/>
        </w:rPr>
      </w:pPr>
      <w:r>
        <w:rPr>
          <w:rFonts w:hint="eastAsia" w:ascii="宋体" w:hAnsi="宋体"/>
          <w:sz w:val="28"/>
          <w:szCs w:val="28"/>
        </w:rPr>
        <w:t>（2）正副本数量齐全、密封完好，但未按照招标文件要求进行分装或统装的；</w:t>
      </w:r>
    </w:p>
    <w:p>
      <w:pPr>
        <w:spacing w:line="560" w:lineRule="exact"/>
        <w:ind w:firstLine="560" w:firstLineChars="200"/>
        <w:rPr>
          <w:rFonts w:ascii="宋体" w:hAnsi="宋体"/>
          <w:sz w:val="28"/>
          <w:szCs w:val="28"/>
        </w:rPr>
      </w:pPr>
      <w:r>
        <w:rPr>
          <w:rFonts w:hint="eastAsia" w:ascii="宋体" w:hAnsi="宋体"/>
          <w:sz w:val="28"/>
          <w:szCs w:val="28"/>
        </w:rPr>
        <w:t>（3）除招标文件规定要求法定代表人或授权代表签字以外，其他未签字的；</w:t>
      </w:r>
    </w:p>
    <w:p>
      <w:pPr>
        <w:spacing w:line="560" w:lineRule="exact"/>
        <w:ind w:firstLine="560" w:firstLineChars="200"/>
        <w:rPr>
          <w:rFonts w:ascii="宋体" w:hAnsi="宋体"/>
          <w:sz w:val="28"/>
          <w:szCs w:val="28"/>
        </w:rPr>
      </w:pPr>
      <w:r>
        <w:rPr>
          <w:rFonts w:hint="eastAsia" w:ascii="宋体" w:hAnsi="宋体"/>
          <w:sz w:val="28"/>
          <w:szCs w:val="28"/>
        </w:rPr>
        <w:t>（4）除招标文件规定要求加盖投标供应商等公章以外，其他未盖章或加盖相关专用章的；</w:t>
      </w:r>
    </w:p>
    <w:p>
      <w:pPr>
        <w:spacing w:line="560" w:lineRule="exact"/>
        <w:ind w:firstLine="560" w:firstLineChars="200"/>
        <w:rPr>
          <w:rFonts w:ascii="宋体" w:hAnsi="宋体"/>
          <w:sz w:val="28"/>
          <w:szCs w:val="28"/>
        </w:rPr>
      </w:pPr>
      <w:r>
        <w:rPr>
          <w:rFonts w:hint="eastAsia" w:ascii="宋体" w:hAnsi="宋体"/>
          <w:sz w:val="28"/>
          <w:szCs w:val="28"/>
        </w:rPr>
        <w:t>（5）投标文件印刷装订不规范、书写有错误，资格证明文件与投标文件混装，投标文件未标明正副本但能分辨出投标文件主体的。</w:t>
      </w:r>
    </w:p>
    <w:p>
      <w:pPr>
        <w:spacing w:line="560" w:lineRule="exact"/>
        <w:ind w:firstLine="560" w:firstLineChars="200"/>
        <w:rPr>
          <w:rFonts w:ascii="宋体" w:hAnsi="宋体"/>
          <w:sz w:val="28"/>
          <w:szCs w:val="28"/>
        </w:rPr>
      </w:pPr>
      <w:r>
        <w:rPr>
          <w:rFonts w:hint="eastAsia" w:ascii="宋体" w:hAnsi="宋体"/>
          <w:sz w:val="28"/>
          <w:szCs w:val="28"/>
        </w:rPr>
        <w:t>评审委员会、采购机构不得将招标文件未明确的内容作为判定供应商无效投标的依据，但违反国家和</w:t>
      </w:r>
      <w:r>
        <w:rPr>
          <w:rFonts w:ascii="宋体" w:hAnsi="宋体"/>
          <w:sz w:val="28"/>
          <w:szCs w:val="28"/>
        </w:rPr>
        <w:t>军队</w:t>
      </w:r>
      <w:r>
        <w:rPr>
          <w:rFonts w:hint="eastAsia" w:ascii="宋体" w:hAnsi="宋体"/>
          <w:sz w:val="28"/>
          <w:szCs w:val="28"/>
        </w:rPr>
        <w:t>有关法律法规规定的情形除外。</w:t>
      </w:r>
    </w:p>
    <w:p>
      <w:pPr>
        <w:pStyle w:val="5"/>
        <w:keepNext w:val="0"/>
        <w:keepLines w:val="0"/>
        <w:adjustRightInd w:val="0"/>
        <w:snapToGrid w:val="0"/>
        <w:ind w:firstLine="560" w:firstLineChars="200"/>
        <w:rPr>
          <w:rFonts w:ascii="黑体" w:hAnsi="黑体"/>
          <w:b w:val="0"/>
        </w:rPr>
      </w:pPr>
      <w:bookmarkStart w:id="176" w:name="_Toc4875"/>
      <w:bookmarkStart w:id="177" w:name="_Toc24181"/>
      <w:bookmarkStart w:id="178" w:name="_Toc30788"/>
      <w:bookmarkStart w:id="179" w:name="_Toc20568"/>
      <w:r>
        <w:rPr>
          <w:rFonts w:ascii="黑体" w:hAnsi="黑体"/>
          <w:b w:val="0"/>
        </w:rPr>
        <w:t>38.</w:t>
      </w:r>
      <w:r>
        <w:rPr>
          <w:rFonts w:hint="eastAsia" w:ascii="黑体" w:hAnsi="黑体"/>
          <w:b w:val="0"/>
        </w:rPr>
        <w:t>废标</w:t>
      </w:r>
      <w:bookmarkEnd w:id="176"/>
      <w:bookmarkEnd w:id="177"/>
      <w:bookmarkEnd w:id="178"/>
      <w:bookmarkEnd w:id="179"/>
    </w:p>
    <w:p>
      <w:pPr>
        <w:adjustRightInd w:val="0"/>
        <w:snapToGrid w:val="0"/>
        <w:spacing w:line="560" w:lineRule="exact"/>
        <w:ind w:firstLine="560" w:firstLineChars="200"/>
        <w:rPr>
          <w:rFonts w:ascii="宋体" w:hAnsi="宋体"/>
          <w:bCs/>
          <w:sz w:val="28"/>
          <w:szCs w:val="28"/>
        </w:rPr>
      </w:pPr>
      <w:r>
        <w:rPr>
          <w:rFonts w:ascii="宋体" w:hAnsi="宋体"/>
          <w:bCs/>
          <w:sz w:val="28"/>
          <w:szCs w:val="28"/>
        </w:rPr>
        <w:t>38.1有下列情形之一的，按照废标处理：</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报名参加或实质性响应投标供应商不足</w:t>
      </w:r>
      <w:r>
        <w:rPr>
          <w:rFonts w:ascii="宋体" w:hAnsi="宋体"/>
          <w:bCs/>
          <w:sz w:val="28"/>
          <w:szCs w:val="28"/>
        </w:rPr>
        <w:t>3家</w:t>
      </w:r>
      <w:r>
        <w:rPr>
          <w:rFonts w:hint="eastAsia" w:ascii="宋体" w:hAnsi="宋体"/>
          <w:bCs/>
          <w:sz w:val="28"/>
          <w:szCs w:val="28"/>
        </w:rPr>
        <w:t>的</w:t>
      </w:r>
      <w:r>
        <w:rPr>
          <w:rFonts w:ascii="宋体" w:hAnsi="宋体"/>
          <w:bCs/>
          <w:sz w:val="28"/>
          <w:szCs w:val="28"/>
        </w:rPr>
        <w:t>，</w:t>
      </w:r>
      <w:r>
        <w:rPr>
          <w:rFonts w:hint="eastAsia" w:ascii="宋体" w:hAnsi="宋体"/>
          <w:bCs/>
          <w:sz w:val="28"/>
          <w:szCs w:val="28"/>
        </w:rPr>
        <w:t>符合本章第</w:t>
      </w:r>
      <w:r>
        <w:rPr>
          <w:rFonts w:ascii="宋体" w:hAnsi="宋体"/>
          <w:bCs/>
          <w:sz w:val="28"/>
          <w:szCs w:val="28"/>
        </w:rPr>
        <w:t>20.4</w:t>
      </w:r>
      <w:r>
        <w:rPr>
          <w:rFonts w:hint="eastAsia" w:ascii="宋体" w:hAnsi="宋体"/>
          <w:bCs/>
          <w:sz w:val="28"/>
          <w:szCs w:val="28"/>
        </w:rPr>
        <w:t>条情形的除外；</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2）出现影响采购公平公正的违法、违规行为的；</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3）因重大变故，取消采购任务的</w:t>
      </w:r>
      <w:r>
        <w:rPr>
          <w:rFonts w:hint="eastAsia" w:ascii="宋体" w:hAnsi="宋体"/>
          <w:bCs/>
          <w:sz w:val="28"/>
          <w:szCs w:val="28"/>
        </w:rPr>
        <w:t>。</w:t>
      </w:r>
    </w:p>
    <w:p>
      <w:pPr>
        <w:pStyle w:val="5"/>
        <w:keepNext w:val="0"/>
        <w:keepLines w:val="0"/>
        <w:adjustRightInd w:val="0"/>
        <w:snapToGrid w:val="0"/>
        <w:ind w:firstLine="560" w:firstLineChars="200"/>
        <w:rPr>
          <w:rFonts w:ascii="黑体" w:hAnsi="黑体"/>
          <w:b w:val="0"/>
        </w:rPr>
      </w:pPr>
      <w:bookmarkStart w:id="180" w:name="_Toc28683"/>
      <w:bookmarkStart w:id="181" w:name="_Toc29718"/>
      <w:bookmarkStart w:id="182" w:name="_Toc21189"/>
      <w:bookmarkStart w:id="183" w:name="_Toc15536"/>
      <w:r>
        <w:rPr>
          <w:rFonts w:ascii="黑体" w:hAnsi="黑体"/>
          <w:b w:val="0"/>
        </w:rPr>
        <w:t>39.</w:t>
      </w:r>
      <w:r>
        <w:rPr>
          <w:rFonts w:hint="eastAsia" w:ascii="黑体" w:hAnsi="黑体"/>
          <w:b w:val="0"/>
        </w:rPr>
        <w:t>终止评审</w:t>
      </w:r>
      <w:bookmarkEnd w:id="180"/>
      <w:bookmarkEnd w:id="181"/>
      <w:bookmarkEnd w:id="182"/>
      <w:bookmarkEnd w:id="183"/>
    </w:p>
    <w:p>
      <w:pPr>
        <w:adjustRightInd w:val="0"/>
        <w:snapToGrid w:val="0"/>
        <w:spacing w:line="560" w:lineRule="exact"/>
        <w:ind w:firstLine="560" w:firstLineChars="200"/>
        <w:rPr>
          <w:rFonts w:ascii="宋体" w:hAnsi="宋体"/>
          <w:bCs/>
          <w:sz w:val="28"/>
          <w:szCs w:val="28"/>
        </w:rPr>
      </w:pPr>
      <w:r>
        <w:rPr>
          <w:rFonts w:ascii="宋体" w:hAnsi="宋体"/>
          <w:bCs/>
          <w:sz w:val="28"/>
          <w:szCs w:val="28"/>
        </w:rPr>
        <w:t>39.1</w:t>
      </w:r>
      <w:r>
        <w:rPr>
          <w:rFonts w:hint="eastAsia" w:ascii="仿宋_GB2312" w:hAnsi="仿宋"/>
          <w:bCs/>
          <w:sz w:val="28"/>
          <w:szCs w:val="28"/>
        </w:rPr>
        <w:t>在评审过程中，有下列情形之一的，评审委员会应当</w:t>
      </w:r>
      <w:bookmarkStart w:id="184" w:name="_Hlk112188545"/>
      <w:r>
        <w:rPr>
          <w:rFonts w:hint="eastAsia" w:ascii="仿宋_GB2312" w:hAnsi="仿宋"/>
          <w:bCs/>
          <w:sz w:val="28"/>
          <w:szCs w:val="28"/>
        </w:rPr>
        <w:t>终止评审</w:t>
      </w:r>
      <w:bookmarkEnd w:id="184"/>
      <w:r>
        <w:rPr>
          <w:rFonts w:hint="eastAsia" w:ascii="仿宋_GB2312" w:hAnsi="仿宋"/>
          <w:bCs/>
          <w:sz w:val="28"/>
          <w:szCs w:val="28"/>
        </w:rPr>
        <w:t>，并书面说明情况：</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1）</w:t>
      </w:r>
      <w:r>
        <w:rPr>
          <w:rFonts w:hint="eastAsia" w:ascii="仿宋_GB2312" w:hAnsi="仿宋" w:cs="仿宋"/>
          <w:bCs/>
          <w:sz w:val="28"/>
          <w:szCs w:val="28"/>
        </w:rPr>
        <w:t>招标文件存在重大歧义、缺陷，导致评审工作无法进行的；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2）</w:t>
      </w:r>
      <w:r>
        <w:rPr>
          <w:rFonts w:hint="eastAsia" w:ascii="仿宋_GB2312" w:hAnsi="仿宋" w:cs="仿宋"/>
          <w:bCs/>
          <w:sz w:val="28"/>
          <w:szCs w:val="28"/>
        </w:rPr>
        <w:t>招标文件存在明显的倾向性、排他性或歧视性的；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3）</w:t>
      </w:r>
      <w:r>
        <w:rPr>
          <w:rFonts w:hint="eastAsia" w:ascii="仿宋_GB2312" w:hAnsi="仿宋" w:cs="仿宋"/>
          <w:bCs/>
          <w:sz w:val="28"/>
          <w:szCs w:val="28"/>
        </w:rPr>
        <w:t>招标文件违反国家和军队强制性规定的；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4）</w:t>
      </w:r>
      <w:r>
        <w:rPr>
          <w:rFonts w:hint="eastAsia" w:ascii="仿宋_GB2312" w:hAnsi="仿宋" w:cs="仿宋"/>
          <w:bCs/>
          <w:sz w:val="28"/>
          <w:szCs w:val="28"/>
        </w:rPr>
        <w:t>参加投标供应商均不符合相关要求的；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5）</w:t>
      </w:r>
      <w:r>
        <w:rPr>
          <w:rFonts w:hint="eastAsia" w:ascii="仿宋_GB2312" w:hAnsi="仿宋" w:cs="仿宋"/>
          <w:bCs/>
          <w:sz w:val="28"/>
          <w:szCs w:val="28"/>
        </w:rPr>
        <w:t>投标供应商报价均超预算，且采购单位无法追加预算的；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6）</w:t>
      </w:r>
      <w:r>
        <w:rPr>
          <w:rFonts w:hint="eastAsia" w:ascii="仿宋_GB2312" w:hAnsi="仿宋" w:cs="仿宋"/>
          <w:bCs/>
          <w:sz w:val="28"/>
          <w:szCs w:val="28"/>
        </w:rPr>
        <w:t>有关投标供应商和个人干预评审委员会依法独立评审的；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7）</w:t>
      </w:r>
      <w:r>
        <w:rPr>
          <w:rFonts w:hint="eastAsia" w:ascii="仿宋_GB2312" w:hAnsi="仿宋" w:cs="仿宋"/>
          <w:bCs/>
          <w:sz w:val="28"/>
          <w:szCs w:val="28"/>
        </w:rPr>
        <w:t>采购活动中出现违法、违规情形的；</w:t>
      </w:r>
    </w:p>
    <w:p>
      <w:pPr>
        <w:tabs>
          <w:tab w:val="left" w:pos="0"/>
        </w:tabs>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8）</w:t>
      </w:r>
      <w:r>
        <w:rPr>
          <w:rFonts w:hint="eastAsia" w:ascii="仿宋_GB2312" w:hAnsi="仿宋" w:cs="仿宋"/>
          <w:bCs/>
          <w:sz w:val="28"/>
          <w:szCs w:val="28"/>
        </w:rPr>
        <w:t>国家和军队法律法规规定的其他情形。</w:t>
      </w:r>
    </w:p>
    <w:p>
      <w:pPr>
        <w:pStyle w:val="4"/>
        <w:keepNext w:val="0"/>
        <w:keepLines w:val="0"/>
        <w:adjustRightInd w:val="0"/>
        <w:snapToGrid w:val="0"/>
        <w:spacing w:before="120" w:beforeLines="50" w:after="120" w:afterLines="50" w:line="560" w:lineRule="exact"/>
        <w:jc w:val="center"/>
        <w:rPr>
          <w:b w:val="0"/>
        </w:rPr>
      </w:pPr>
      <w:bookmarkStart w:id="185" w:name="_Toc26245"/>
      <w:bookmarkStart w:id="186" w:name="_Toc6307"/>
      <w:bookmarkStart w:id="187" w:name="_Toc31487"/>
      <w:bookmarkStart w:id="188" w:name="_Toc132190601"/>
      <w:bookmarkStart w:id="189" w:name="_Toc32353"/>
      <w:bookmarkStart w:id="190" w:name="_Toc112317773"/>
      <w:r>
        <w:rPr>
          <w:rFonts w:hint="eastAsia"/>
          <w:b w:val="0"/>
        </w:rPr>
        <w:t>六、定标</w:t>
      </w:r>
      <w:bookmarkEnd w:id="185"/>
      <w:bookmarkEnd w:id="186"/>
      <w:bookmarkEnd w:id="187"/>
      <w:bookmarkEnd w:id="188"/>
      <w:bookmarkEnd w:id="189"/>
      <w:bookmarkEnd w:id="190"/>
    </w:p>
    <w:p>
      <w:pPr>
        <w:pStyle w:val="5"/>
        <w:keepNext w:val="0"/>
        <w:keepLines w:val="0"/>
        <w:adjustRightInd w:val="0"/>
        <w:snapToGrid w:val="0"/>
        <w:ind w:firstLine="560" w:firstLineChars="200"/>
        <w:rPr>
          <w:rFonts w:ascii="黑体" w:hAnsi="黑体"/>
          <w:b w:val="0"/>
        </w:rPr>
      </w:pPr>
      <w:bookmarkStart w:id="191" w:name="_Toc23367"/>
      <w:bookmarkStart w:id="192" w:name="_Toc26800"/>
      <w:bookmarkStart w:id="193" w:name="_Toc15909"/>
      <w:bookmarkStart w:id="194" w:name="_Toc28022"/>
      <w:r>
        <w:rPr>
          <w:rFonts w:ascii="黑体" w:hAnsi="黑体"/>
          <w:b w:val="0"/>
        </w:rPr>
        <w:t>40.</w:t>
      </w:r>
      <w:r>
        <w:rPr>
          <w:rFonts w:hint="eastAsia" w:ascii="黑体" w:hAnsi="黑体"/>
          <w:b w:val="0"/>
        </w:rPr>
        <w:t>中标供应商公示</w:t>
      </w:r>
      <w:bookmarkEnd w:id="191"/>
      <w:bookmarkEnd w:id="192"/>
      <w:bookmarkEnd w:id="193"/>
      <w:bookmarkEnd w:id="194"/>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40.1评审结束后2个工作日内，采购机构在军队采购网（</w:t>
      </w:r>
      <w:r>
        <w:rPr>
          <w:sz w:val="28"/>
          <w:szCs w:val="28"/>
        </w:rPr>
        <w:t>https://</w:t>
      </w:r>
      <w:r>
        <w:rPr>
          <w:rFonts w:ascii="宋体" w:hAnsi="宋体"/>
          <w:bCs/>
          <w:sz w:val="28"/>
          <w:szCs w:val="28"/>
        </w:rPr>
        <w:t>www.plap.mil.cn）</w:t>
      </w:r>
      <w:r>
        <w:rPr>
          <w:rFonts w:hint="eastAsia" w:ascii="宋体" w:hAnsi="宋体"/>
          <w:bCs/>
          <w:sz w:val="28"/>
          <w:szCs w:val="28"/>
          <w:lang w:eastAsia="zh-CN"/>
        </w:rPr>
        <w:t>、</w:t>
      </w:r>
      <w:r>
        <w:rPr>
          <w:sz w:val="28"/>
          <w:szCs w:val="28"/>
          <w:lang w:val="zh-CN"/>
        </w:rPr>
        <w:t>中国政府采购网</w:t>
      </w:r>
      <w:r>
        <w:rPr>
          <w:sz w:val="28"/>
          <w:szCs w:val="28"/>
        </w:rPr>
        <w:t>（http://www.ccgp.gov.cn/）</w:t>
      </w:r>
      <w:r>
        <w:rPr>
          <w:sz w:val="28"/>
          <w:szCs w:val="28"/>
          <w:lang w:val="zh-CN"/>
        </w:rPr>
        <w:t>、医院官网</w:t>
      </w:r>
      <w:r>
        <w:rPr>
          <w:sz w:val="28"/>
          <w:szCs w:val="28"/>
        </w:rPr>
        <w:t>（https://www.xqhospital.com.cn/）</w:t>
      </w:r>
      <w:r>
        <w:rPr>
          <w:rFonts w:ascii="宋体" w:hAnsi="宋体"/>
          <w:bCs/>
          <w:sz w:val="28"/>
          <w:szCs w:val="28"/>
        </w:rPr>
        <w:t>上公示评审结果，公示期</w:t>
      </w:r>
      <w:r>
        <w:rPr>
          <w:rFonts w:hint="eastAsia" w:ascii="宋体" w:hAnsi="宋体"/>
          <w:bCs/>
          <w:sz w:val="28"/>
          <w:szCs w:val="28"/>
        </w:rPr>
        <w:t>不少于</w:t>
      </w:r>
      <w:r>
        <w:rPr>
          <w:rFonts w:ascii="宋体" w:hAnsi="宋体"/>
          <w:bCs/>
          <w:sz w:val="28"/>
          <w:szCs w:val="28"/>
        </w:rPr>
        <w:t>3个工作日。在公示期内无异议的，</w:t>
      </w:r>
      <w:r>
        <w:rPr>
          <w:rFonts w:hint="eastAsia" w:ascii="宋体" w:hAnsi="宋体"/>
          <w:bCs/>
          <w:sz w:val="28"/>
          <w:szCs w:val="28"/>
        </w:rPr>
        <w:t>采购机构将评审结果报采购单位；有异议的，投标供应商可以依据招标文件规定的方式提出质疑。</w:t>
      </w:r>
    </w:p>
    <w:p>
      <w:pPr>
        <w:adjustRightInd w:val="0"/>
        <w:snapToGrid w:val="0"/>
        <w:spacing w:line="560" w:lineRule="exact"/>
        <w:ind w:firstLine="560" w:firstLineChars="200"/>
      </w:pPr>
      <w:r>
        <w:rPr>
          <w:rFonts w:ascii="宋体" w:hAnsi="宋体"/>
          <w:bCs/>
          <w:sz w:val="28"/>
          <w:szCs w:val="28"/>
        </w:rPr>
        <w:t>40.2</w:t>
      </w:r>
      <w:r>
        <w:rPr>
          <w:rFonts w:hint="eastAsia" w:ascii="宋体" w:hAnsi="宋体"/>
          <w:bCs/>
          <w:sz w:val="28"/>
          <w:szCs w:val="28"/>
        </w:rPr>
        <w:t>中标供应商</w:t>
      </w:r>
      <w:r>
        <w:rPr>
          <w:rFonts w:ascii="宋体" w:hAnsi="宋体"/>
          <w:bCs/>
          <w:sz w:val="28"/>
          <w:szCs w:val="28"/>
        </w:rPr>
        <w:t>无正当理由放弃中标的，不予退还投标保证金，</w:t>
      </w:r>
      <w:r>
        <w:rPr>
          <w:rFonts w:hint="eastAsia" w:ascii="宋体" w:hAnsi="宋体"/>
          <w:bCs/>
          <w:sz w:val="28"/>
          <w:szCs w:val="28"/>
        </w:rPr>
        <w:t>由采购管理部门依规处理。</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40.3中标供应</w:t>
      </w:r>
      <w:r>
        <w:rPr>
          <w:rFonts w:hint="eastAsia" w:ascii="宋体" w:hAnsi="宋体"/>
          <w:bCs/>
          <w:sz w:val="28"/>
          <w:szCs w:val="28"/>
        </w:rPr>
        <w:t>商出现下列情况之一的，一经查实，将被取消中标资格：</w:t>
      </w:r>
    </w:p>
    <w:p>
      <w:pPr>
        <w:spacing w:line="56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1</w:t>
      </w:r>
      <w:r>
        <w:rPr>
          <w:rFonts w:hint="eastAsia" w:cs="仿宋" w:asciiTheme="majorEastAsia" w:hAnsiTheme="majorEastAsia" w:eastAsiaTheme="majorEastAsia"/>
          <w:sz w:val="28"/>
          <w:szCs w:val="28"/>
        </w:rPr>
        <w:t>）属于招标文件规定的虚假投标的；</w:t>
      </w:r>
      <w:r>
        <w:rPr>
          <w:rFonts w:cs="仿宋" w:asciiTheme="majorEastAsia" w:hAnsiTheme="majorEastAsia" w:eastAsiaTheme="majorEastAsia"/>
          <w:sz w:val="28"/>
          <w:szCs w:val="28"/>
        </w:rPr>
        <w:t xml:space="preserve"> </w:t>
      </w:r>
    </w:p>
    <w:p>
      <w:pPr>
        <w:spacing w:line="56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2</w:t>
      </w:r>
      <w:r>
        <w:rPr>
          <w:rFonts w:hint="eastAsia" w:cs="仿宋" w:asciiTheme="majorEastAsia" w:hAnsiTheme="majorEastAsia" w:eastAsiaTheme="majorEastAsia"/>
          <w:sz w:val="28"/>
          <w:szCs w:val="28"/>
        </w:rPr>
        <w:t>）向采购单位、采购机构、评审委员会成员行贿或进行其他不正当利益输送的；</w:t>
      </w:r>
    </w:p>
    <w:p>
      <w:pPr>
        <w:spacing w:line="56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3</w:t>
      </w:r>
      <w:r>
        <w:rPr>
          <w:rFonts w:hint="eastAsia" w:cs="仿宋" w:asciiTheme="majorEastAsia" w:hAnsiTheme="majorEastAsia" w:eastAsiaTheme="majorEastAsia"/>
          <w:sz w:val="28"/>
          <w:szCs w:val="28"/>
        </w:rPr>
        <w:t>）属于恶意低价竞争，投标明显低于合理成本且不能证明其报价合理的；</w:t>
      </w:r>
    </w:p>
    <w:p>
      <w:pPr>
        <w:spacing w:line="56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4</w:t>
      </w:r>
      <w:r>
        <w:rPr>
          <w:rFonts w:hint="eastAsia" w:cs="仿宋" w:asciiTheme="majorEastAsia" w:hAnsiTheme="majorEastAsia" w:eastAsiaTheme="majorEastAsia"/>
          <w:sz w:val="28"/>
          <w:szCs w:val="28"/>
        </w:rPr>
        <w:t>）属于招标文件规定的无效投标情形，但在评审过程中未被评审委员会发现的；</w:t>
      </w:r>
    </w:p>
    <w:p>
      <w:pPr>
        <w:spacing w:line="56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5</w:t>
      </w:r>
      <w:r>
        <w:rPr>
          <w:rFonts w:hint="eastAsia" w:cs="仿宋" w:asciiTheme="majorEastAsia" w:hAnsiTheme="majorEastAsia" w:eastAsiaTheme="majorEastAsia"/>
          <w:sz w:val="28"/>
          <w:szCs w:val="28"/>
        </w:rPr>
        <w:t>）属于招标文件规定的串通投标的；</w:t>
      </w:r>
    </w:p>
    <w:p>
      <w:pPr>
        <w:spacing w:line="56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6</w:t>
      </w:r>
      <w:r>
        <w:rPr>
          <w:rFonts w:hint="eastAsia" w:cs="仿宋" w:asciiTheme="majorEastAsia" w:hAnsiTheme="majorEastAsia" w:eastAsiaTheme="majorEastAsia"/>
          <w:sz w:val="28"/>
          <w:szCs w:val="28"/>
        </w:rPr>
        <w:t>）出现干扰或影响评审客观公正行为的；</w:t>
      </w:r>
    </w:p>
    <w:p>
      <w:pPr>
        <w:spacing w:line="56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7</w:t>
      </w:r>
      <w:r>
        <w:rPr>
          <w:rFonts w:hint="eastAsia" w:cs="仿宋" w:asciiTheme="majorEastAsia" w:hAnsiTheme="majorEastAsia" w:eastAsiaTheme="majorEastAsia"/>
          <w:sz w:val="28"/>
          <w:szCs w:val="28"/>
        </w:rPr>
        <w:t>）存在其他违法违规行为的；</w:t>
      </w:r>
    </w:p>
    <w:p>
      <w:pPr>
        <w:spacing w:line="560" w:lineRule="exact"/>
        <w:ind w:firstLine="560" w:firstLineChars="200"/>
        <w:rPr>
          <w:rFonts w:asciiTheme="majorEastAsia" w:hAnsiTheme="majorEastAsia" w:eastAsiaTheme="majorEastAsia"/>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8</w:t>
      </w:r>
      <w:r>
        <w:rPr>
          <w:rFonts w:hint="eastAsia" w:cs="仿宋" w:asciiTheme="majorEastAsia" w:hAnsiTheme="majorEastAsia" w:eastAsiaTheme="majorEastAsia"/>
          <w:sz w:val="28"/>
          <w:szCs w:val="28"/>
        </w:rPr>
        <w:t>）国家和军队法律法规规定的其他情形。</w:t>
      </w:r>
    </w:p>
    <w:p>
      <w:pPr>
        <w:adjustRightInd w:val="0"/>
        <w:snapToGrid w:val="0"/>
        <w:spacing w:line="560" w:lineRule="exact"/>
        <w:ind w:firstLine="560" w:firstLineChars="200"/>
        <w:rPr>
          <w:rFonts w:ascii="宋体" w:hAnsi="宋体"/>
          <w:bCs/>
          <w:sz w:val="28"/>
          <w:szCs w:val="28"/>
        </w:rPr>
      </w:pPr>
      <w:r>
        <w:rPr>
          <w:rFonts w:hint="eastAsia" w:ascii="仿宋_GB2312" w:hAnsi="仿宋"/>
          <w:sz w:val="28"/>
          <w:szCs w:val="28"/>
        </w:rPr>
        <w:t>中标供应商在签订正式合同前，受到禁止参加军队采购活动处罚且本项目在处罚范围内的，取消中标资格。</w:t>
      </w:r>
      <w:r>
        <w:rPr>
          <w:rFonts w:ascii="仿宋_GB2312" w:hAnsi="仿宋"/>
          <w:sz w:val="28"/>
          <w:szCs w:val="28"/>
        </w:rPr>
        <w:t>中标供应商</w:t>
      </w:r>
      <w:r>
        <w:rPr>
          <w:rFonts w:hint="eastAsia" w:ascii="仿宋_GB2312" w:hAnsi="仿宋"/>
          <w:sz w:val="28"/>
          <w:szCs w:val="28"/>
        </w:rPr>
        <w:t>被取消或</w:t>
      </w:r>
      <w:r>
        <w:rPr>
          <w:rFonts w:ascii="仿宋_GB2312" w:hAnsi="仿宋"/>
          <w:sz w:val="28"/>
          <w:szCs w:val="28"/>
        </w:rPr>
        <w:t>放弃中标</w:t>
      </w:r>
      <w:r>
        <w:rPr>
          <w:rFonts w:hint="eastAsia" w:ascii="仿宋_GB2312" w:hAnsi="仿宋"/>
          <w:sz w:val="28"/>
          <w:szCs w:val="28"/>
        </w:rPr>
        <w:t>资格的，采购单位</w:t>
      </w:r>
      <w:r>
        <w:rPr>
          <w:rFonts w:ascii="仿宋_GB2312" w:hAnsi="仿宋"/>
          <w:sz w:val="28"/>
          <w:szCs w:val="28"/>
        </w:rPr>
        <w:t>可以按照评审排名结果依次</w:t>
      </w:r>
      <w:r>
        <w:rPr>
          <w:rFonts w:hint="eastAsia" w:ascii="仿宋_GB2312" w:hAnsi="仿宋"/>
          <w:sz w:val="28"/>
          <w:szCs w:val="28"/>
        </w:rPr>
        <w:t>递补</w:t>
      </w:r>
      <w:r>
        <w:rPr>
          <w:rFonts w:ascii="仿宋_GB2312" w:hAnsi="仿宋"/>
          <w:sz w:val="28"/>
          <w:szCs w:val="28"/>
        </w:rPr>
        <w:t>确定中标供应商，</w:t>
      </w:r>
      <w:r>
        <w:rPr>
          <w:rFonts w:hint="eastAsia" w:ascii="仿宋_GB2312" w:hAnsi="仿宋"/>
          <w:sz w:val="28"/>
          <w:szCs w:val="28"/>
        </w:rPr>
        <w:t>但剩余有效投标供应商数量应当达到需要递补投标供应商数量的</w:t>
      </w:r>
      <w:r>
        <w:rPr>
          <w:rFonts w:ascii="仿宋_GB2312" w:hAnsi="仿宋"/>
          <w:sz w:val="28"/>
          <w:szCs w:val="28"/>
        </w:rPr>
        <w:t>2</w:t>
      </w:r>
      <w:r>
        <w:rPr>
          <w:rFonts w:hint="eastAsia" w:ascii="仿宋_GB2312" w:hAnsi="仿宋"/>
          <w:sz w:val="28"/>
          <w:szCs w:val="28"/>
        </w:rPr>
        <w:t>倍，否则由采购机构</w:t>
      </w:r>
      <w:r>
        <w:rPr>
          <w:rFonts w:ascii="仿宋_GB2312" w:hAnsi="仿宋"/>
          <w:sz w:val="28"/>
          <w:szCs w:val="28"/>
        </w:rPr>
        <w:t>重新</w:t>
      </w:r>
      <w:r>
        <w:rPr>
          <w:rFonts w:hint="eastAsia" w:ascii="仿宋_GB2312" w:hAnsi="仿宋"/>
          <w:sz w:val="28"/>
          <w:szCs w:val="28"/>
        </w:rPr>
        <w:t>组织采购</w:t>
      </w:r>
      <w:r>
        <w:rPr>
          <w:rFonts w:ascii="仿宋_GB2312" w:hAnsi="仿宋"/>
          <w:sz w:val="28"/>
          <w:szCs w:val="28"/>
        </w:rPr>
        <w:t>。</w:t>
      </w:r>
    </w:p>
    <w:p>
      <w:pPr>
        <w:pStyle w:val="5"/>
        <w:keepNext w:val="0"/>
        <w:keepLines w:val="0"/>
        <w:adjustRightInd w:val="0"/>
        <w:snapToGrid w:val="0"/>
        <w:ind w:firstLine="560" w:firstLineChars="200"/>
        <w:rPr>
          <w:rFonts w:ascii="黑体" w:hAnsi="黑体"/>
          <w:b w:val="0"/>
        </w:rPr>
      </w:pPr>
      <w:bookmarkStart w:id="195" w:name="_Toc26261"/>
      <w:bookmarkStart w:id="196" w:name="_Toc8401"/>
      <w:bookmarkStart w:id="197" w:name="_Toc20846"/>
      <w:bookmarkStart w:id="198" w:name="_Toc8490"/>
      <w:r>
        <w:rPr>
          <w:rFonts w:ascii="黑体" w:hAnsi="黑体"/>
          <w:b w:val="0"/>
        </w:rPr>
        <w:t>41.</w:t>
      </w:r>
      <w:r>
        <w:rPr>
          <w:rFonts w:hint="eastAsia" w:ascii="黑体" w:hAnsi="黑体"/>
          <w:b w:val="0"/>
        </w:rPr>
        <w:t>中标通知</w:t>
      </w:r>
      <w:bookmarkEnd w:id="195"/>
      <w:bookmarkEnd w:id="196"/>
      <w:bookmarkEnd w:id="197"/>
      <w:bookmarkEnd w:id="198"/>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41.1</w:t>
      </w:r>
      <w:r>
        <w:rPr>
          <w:rFonts w:hint="eastAsia" w:ascii="宋体" w:hAnsi="宋体"/>
          <w:bCs/>
          <w:sz w:val="28"/>
          <w:szCs w:val="28"/>
        </w:rPr>
        <w:t>评审</w:t>
      </w:r>
      <w:r>
        <w:rPr>
          <w:rFonts w:ascii="宋体" w:hAnsi="宋体"/>
          <w:bCs/>
          <w:sz w:val="28"/>
          <w:szCs w:val="28"/>
        </w:rPr>
        <w:t>结果公示无异议</w:t>
      </w:r>
      <w:r>
        <w:rPr>
          <w:rFonts w:hint="eastAsia" w:ascii="宋体" w:hAnsi="宋体"/>
          <w:bCs/>
          <w:sz w:val="28"/>
          <w:szCs w:val="28"/>
        </w:rPr>
        <w:t>、招标人完成价格复核并确定中标人</w:t>
      </w:r>
      <w:r>
        <w:rPr>
          <w:rFonts w:ascii="宋体" w:hAnsi="宋体"/>
          <w:bCs/>
          <w:sz w:val="28"/>
          <w:szCs w:val="28"/>
        </w:rPr>
        <w:t>后2个工作日内，采购机构以书面形式向中标供应商发出《中标通知书》，同时向未中标供应商发出《未中标通知书》。</w:t>
      </w:r>
    </w:p>
    <w:p>
      <w:pPr>
        <w:pStyle w:val="4"/>
        <w:keepNext w:val="0"/>
        <w:keepLines w:val="0"/>
        <w:adjustRightInd w:val="0"/>
        <w:snapToGrid w:val="0"/>
        <w:spacing w:before="120" w:beforeLines="50" w:after="120" w:afterLines="50" w:line="560" w:lineRule="exact"/>
        <w:jc w:val="center"/>
        <w:rPr>
          <w:b w:val="0"/>
        </w:rPr>
      </w:pPr>
      <w:bookmarkStart w:id="199" w:name="_Toc132190602"/>
      <w:bookmarkStart w:id="200" w:name="_Toc26039"/>
      <w:bookmarkStart w:id="201" w:name="_Toc20086"/>
      <w:bookmarkStart w:id="202" w:name="_Toc17482"/>
      <w:bookmarkStart w:id="203" w:name="_Toc7207"/>
      <w:bookmarkStart w:id="204" w:name="_Toc112317774"/>
      <w:r>
        <w:rPr>
          <w:rFonts w:hint="eastAsia"/>
          <w:b w:val="0"/>
        </w:rPr>
        <w:t>七、</w:t>
      </w:r>
      <w:r>
        <w:rPr>
          <w:b w:val="0"/>
        </w:rPr>
        <w:t>质疑</w:t>
      </w:r>
      <w:r>
        <w:rPr>
          <w:rFonts w:hint="eastAsia"/>
          <w:b w:val="0"/>
        </w:rPr>
        <w:t>、投诉和投诉复议</w:t>
      </w:r>
      <w:bookmarkEnd w:id="199"/>
    </w:p>
    <w:p>
      <w:pPr>
        <w:pStyle w:val="5"/>
        <w:keepNext w:val="0"/>
        <w:keepLines w:val="0"/>
        <w:adjustRightInd w:val="0"/>
        <w:snapToGrid w:val="0"/>
        <w:ind w:firstLine="560" w:firstLineChars="200"/>
        <w:rPr>
          <w:rFonts w:ascii="黑体" w:hAnsi="黑体"/>
          <w:b w:val="0"/>
        </w:rPr>
      </w:pPr>
      <w:r>
        <w:rPr>
          <w:rFonts w:ascii="黑体" w:hAnsi="黑体"/>
          <w:b w:val="0"/>
        </w:rPr>
        <w:t>42.</w:t>
      </w:r>
      <w:r>
        <w:rPr>
          <w:rFonts w:hint="eastAsia" w:ascii="黑体" w:hAnsi="黑体"/>
          <w:b w:val="0"/>
        </w:rPr>
        <w:t>质疑</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ascii="宋体" w:hAnsi="宋体"/>
          <w:bCs/>
          <w:sz w:val="28"/>
          <w:szCs w:val="28"/>
        </w:rPr>
        <w:t>42.1供应商认为</w:t>
      </w:r>
      <w:r>
        <w:rPr>
          <w:rFonts w:hint="eastAsia" w:ascii="宋体" w:hAnsi="宋体"/>
          <w:bCs/>
          <w:sz w:val="28"/>
          <w:szCs w:val="28"/>
        </w:rPr>
        <w:t>招标文件、招标过程、中标结果使自己权益受到损害的，以书面形式向采购机构提出质疑。供应商应当在规定质疑期内一次性提出针对同一采购程序环节的质疑。</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领取资格预审</w:t>
      </w:r>
      <w:r>
        <w:rPr>
          <w:rFonts w:ascii="宋体" w:hAnsi="宋体"/>
          <w:bCs/>
          <w:sz w:val="28"/>
          <w:szCs w:val="28"/>
        </w:rPr>
        <w:t>文件</w:t>
      </w:r>
      <w:r>
        <w:rPr>
          <w:rFonts w:hint="eastAsia" w:ascii="宋体" w:hAnsi="宋体"/>
          <w:bCs/>
          <w:sz w:val="28"/>
          <w:szCs w:val="28"/>
        </w:rPr>
        <w:t>的供应商，对资格预审文件的质疑应当在提交资格预审申请文件截止时间</w:t>
      </w:r>
      <w:r>
        <w:rPr>
          <w:rFonts w:ascii="宋体" w:hAnsi="宋体"/>
          <w:bCs/>
          <w:sz w:val="28"/>
          <w:szCs w:val="28"/>
        </w:rPr>
        <w:t>2日前提出。</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领取</w:t>
      </w:r>
      <w:r>
        <w:rPr>
          <w:rFonts w:ascii="宋体" w:hAnsi="宋体"/>
          <w:bCs/>
          <w:sz w:val="28"/>
          <w:szCs w:val="28"/>
        </w:rPr>
        <w:t>招标文件</w:t>
      </w:r>
      <w:r>
        <w:rPr>
          <w:rFonts w:hint="eastAsia" w:ascii="宋体" w:hAnsi="宋体"/>
          <w:bCs/>
          <w:sz w:val="28"/>
          <w:szCs w:val="28"/>
        </w:rPr>
        <w:t>的供应商，</w:t>
      </w:r>
      <w:r>
        <w:rPr>
          <w:rFonts w:ascii="宋体" w:hAnsi="宋体"/>
          <w:bCs/>
          <w:sz w:val="28"/>
          <w:szCs w:val="28"/>
        </w:rPr>
        <w:t>对招标文件的质疑应当在</w:t>
      </w:r>
      <w:r>
        <w:rPr>
          <w:rFonts w:hint="eastAsia" w:ascii="宋体" w:hAnsi="宋体"/>
          <w:bCs/>
          <w:sz w:val="28"/>
          <w:szCs w:val="28"/>
        </w:rPr>
        <w:t>投标截止时间</w:t>
      </w:r>
      <w:r>
        <w:rPr>
          <w:rFonts w:ascii="宋体" w:hAnsi="宋体"/>
          <w:bCs/>
          <w:sz w:val="28"/>
          <w:szCs w:val="28"/>
        </w:rPr>
        <w:t>10日前提出。</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3）</w:t>
      </w:r>
      <w:r>
        <w:rPr>
          <w:rFonts w:hint="eastAsia" w:ascii="宋体" w:hAnsi="宋体"/>
          <w:bCs/>
          <w:sz w:val="28"/>
          <w:szCs w:val="28"/>
        </w:rPr>
        <w:t>投标供应商</w:t>
      </w:r>
      <w:r>
        <w:rPr>
          <w:rFonts w:ascii="宋体" w:hAnsi="宋体"/>
          <w:bCs/>
          <w:sz w:val="28"/>
          <w:szCs w:val="28"/>
        </w:rPr>
        <w:t>对招标过程提出质疑的，应当在各采购程序环节结束之日起3日内提出，但对开标的质疑应当在当场提出，质疑受理单位应当当场</w:t>
      </w:r>
      <w:r>
        <w:rPr>
          <w:rFonts w:hint="eastAsia" w:ascii="宋体" w:hAnsi="宋体"/>
          <w:bCs/>
          <w:sz w:val="28"/>
          <w:szCs w:val="28"/>
        </w:rPr>
        <w:t>作出答复，并如实记录。</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4）</w:t>
      </w:r>
      <w:r>
        <w:rPr>
          <w:rFonts w:hint="eastAsia" w:ascii="宋体" w:hAnsi="宋体"/>
          <w:bCs/>
          <w:sz w:val="28"/>
          <w:szCs w:val="28"/>
        </w:rPr>
        <w:t>投标供应商</w:t>
      </w:r>
      <w:r>
        <w:rPr>
          <w:rFonts w:ascii="宋体" w:hAnsi="宋体"/>
          <w:bCs/>
          <w:sz w:val="28"/>
          <w:szCs w:val="28"/>
        </w:rPr>
        <w:t>对中标结果提出质疑的，应当在中标结果公示期内提出。</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ascii="宋体" w:hAnsi="宋体"/>
          <w:bCs/>
          <w:sz w:val="28"/>
          <w:szCs w:val="28"/>
        </w:rPr>
        <w:t>42.2</w:t>
      </w:r>
      <w:r>
        <w:rPr>
          <w:rFonts w:hint="eastAsia" w:ascii="宋体" w:hAnsi="宋体"/>
          <w:bCs/>
          <w:sz w:val="28"/>
          <w:szCs w:val="28"/>
        </w:rPr>
        <w:t>投标</w:t>
      </w:r>
      <w:r>
        <w:rPr>
          <w:rFonts w:ascii="宋体" w:hAnsi="宋体"/>
          <w:bCs/>
          <w:sz w:val="28"/>
          <w:szCs w:val="28"/>
        </w:rPr>
        <w:t>供应商应当按照</w:t>
      </w:r>
      <w:r>
        <w:rPr>
          <w:rFonts w:hint="eastAsia" w:ascii="宋体" w:hAnsi="宋体"/>
          <w:bCs/>
          <w:sz w:val="28"/>
          <w:szCs w:val="28"/>
        </w:rPr>
        <w:t>招标文件规定</w:t>
      </w:r>
      <w:r>
        <w:rPr>
          <w:rFonts w:ascii="宋体" w:hAnsi="宋体"/>
          <w:bCs/>
          <w:sz w:val="28"/>
          <w:szCs w:val="28"/>
        </w:rPr>
        <w:t>的程序和渠道</w:t>
      </w:r>
      <w:r>
        <w:rPr>
          <w:rFonts w:hint="eastAsia" w:ascii="宋体" w:hAnsi="宋体"/>
          <w:bCs/>
          <w:sz w:val="28"/>
          <w:szCs w:val="28"/>
        </w:rPr>
        <w:t>提出质疑</w:t>
      </w:r>
      <w:r>
        <w:rPr>
          <w:rFonts w:ascii="宋体" w:hAnsi="宋体"/>
          <w:bCs/>
          <w:sz w:val="28"/>
          <w:szCs w:val="28"/>
        </w:rPr>
        <w:t>，</w:t>
      </w:r>
      <w:r>
        <w:rPr>
          <w:rFonts w:hint="eastAsia" w:ascii="宋体" w:hAnsi="宋体"/>
          <w:bCs/>
          <w:sz w:val="28"/>
          <w:szCs w:val="28"/>
        </w:rPr>
        <w:t>质疑函</w:t>
      </w:r>
      <w:r>
        <w:rPr>
          <w:rFonts w:ascii="宋体" w:hAnsi="宋体"/>
          <w:bCs/>
          <w:sz w:val="28"/>
          <w:szCs w:val="28"/>
        </w:rPr>
        <w:t>主要包括下列内容：</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）投标供应商名称、通讯地址、联系人及联系电话；</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质疑采购项目的名称、编号；</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3）</w:t>
      </w:r>
      <w:r>
        <w:rPr>
          <w:rFonts w:hint="eastAsia" w:ascii="宋体" w:hAnsi="宋体"/>
          <w:bCs/>
          <w:sz w:val="28"/>
          <w:szCs w:val="28"/>
        </w:rPr>
        <w:t>具体质疑事项和请求；</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4）</w:t>
      </w:r>
      <w:r>
        <w:rPr>
          <w:rFonts w:hint="eastAsia" w:ascii="宋体" w:hAnsi="宋体"/>
          <w:bCs/>
          <w:sz w:val="28"/>
          <w:szCs w:val="28"/>
        </w:rPr>
        <w:t>事实依据；</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5）</w:t>
      </w:r>
      <w:r>
        <w:rPr>
          <w:rFonts w:hint="eastAsia" w:ascii="宋体" w:hAnsi="宋体"/>
          <w:bCs/>
          <w:sz w:val="28"/>
          <w:szCs w:val="28"/>
        </w:rPr>
        <w:t>法律依据；</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6）</w:t>
      </w:r>
      <w:r>
        <w:rPr>
          <w:rFonts w:hint="eastAsia" w:ascii="宋体" w:hAnsi="宋体"/>
          <w:bCs/>
          <w:sz w:val="28"/>
          <w:szCs w:val="28"/>
        </w:rPr>
        <w:t>提出质疑的日期。</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42.3质疑</w:t>
      </w:r>
      <w:r>
        <w:rPr>
          <w:rFonts w:hint="eastAsia" w:ascii="宋体" w:hAnsi="宋体"/>
          <w:bCs/>
          <w:sz w:val="28"/>
          <w:szCs w:val="28"/>
        </w:rPr>
        <w:t>函应当由法定代表人或其授权代表签字，并加盖公章。授权代表应当提供由法定代表人签署的授权书，载明被授权人的姓名、职务、授权范围和时间期限，并加盖公章。</w:t>
      </w:r>
    </w:p>
    <w:p>
      <w:pPr>
        <w:tabs>
          <w:tab w:val="left" w:pos="562"/>
        </w:tabs>
        <w:adjustRightInd w:val="0"/>
        <w:snapToGrid w:val="0"/>
        <w:spacing w:line="560" w:lineRule="exact"/>
        <w:ind w:firstLine="560" w:firstLineChars="200"/>
        <w:rPr>
          <w:rFonts w:ascii="宋体" w:hAnsi="宋体"/>
          <w:bCs/>
          <w:sz w:val="28"/>
          <w:szCs w:val="28"/>
        </w:rPr>
      </w:pPr>
      <w:r>
        <w:rPr>
          <w:rFonts w:ascii="宋体" w:hAnsi="宋体"/>
          <w:bCs/>
          <w:sz w:val="28"/>
          <w:szCs w:val="28"/>
        </w:rPr>
        <w:t>42.4质疑</w:t>
      </w:r>
      <w:r>
        <w:rPr>
          <w:rFonts w:hint="eastAsia" w:ascii="宋体" w:hAnsi="宋体"/>
          <w:bCs/>
          <w:sz w:val="28"/>
          <w:szCs w:val="28"/>
        </w:rPr>
        <w:t>受理单位及</w:t>
      </w:r>
      <w:r>
        <w:rPr>
          <w:rFonts w:ascii="宋体" w:hAnsi="宋体"/>
          <w:bCs/>
          <w:sz w:val="28"/>
          <w:szCs w:val="28"/>
        </w:rPr>
        <w:t>联系方式</w:t>
      </w:r>
      <w:r>
        <w:rPr>
          <w:rFonts w:hint="eastAsia" w:ascii="宋体" w:hAnsi="宋体"/>
          <w:bCs/>
          <w:sz w:val="28"/>
          <w:szCs w:val="28"/>
        </w:rPr>
        <w:t>见</w:t>
      </w:r>
      <w:r>
        <w:rPr>
          <w:rFonts w:hint="eastAsia" w:ascii="宋体" w:hAnsi="宋体"/>
          <w:bCs/>
          <w:sz w:val="28"/>
          <w:szCs w:val="28"/>
          <w:lang w:val="zh-CN"/>
        </w:rPr>
        <w:t>【投标供应商须知前附表】</w:t>
      </w:r>
      <w:r>
        <w:rPr>
          <w:rFonts w:hint="eastAsia" w:ascii="宋体" w:hAnsi="宋体"/>
          <w:bCs/>
          <w:sz w:val="28"/>
          <w:szCs w:val="28"/>
        </w:rPr>
        <w:t>。</w:t>
      </w:r>
    </w:p>
    <w:p>
      <w:pPr>
        <w:pStyle w:val="5"/>
        <w:keepNext w:val="0"/>
        <w:keepLines w:val="0"/>
        <w:adjustRightInd w:val="0"/>
        <w:snapToGrid w:val="0"/>
        <w:ind w:firstLine="560" w:firstLineChars="200"/>
        <w:rPr>
          <w:rFonts w:ascii="黑体" w:hAnsi="黑体"/>
          <w:b w:val="0"/>
        </w:rPr>
      </w:pPr>
      <w:r>
        <w:rPr>
          <w:rFonts w:ascii="黑体" w:hAnsi="黑体"/>
          <w:b w:val="0"/>
        </w:rPr>
        <w:t>43.</w:t>
      </w:r>
      <w:r>
        <w:rPr>
          <w:rFonts w:hint="eastAsia" w:ascii="黑体" w:hAnsi="黑体"/>
          <w:b w:val="0"/>
        </w:rPr>
        <w:t>投诉</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ascii="宋体" w:hAnsi="宋体"/>
          <w:bCs/>
          <w:sz w:val="28"/>
          <w:szCs w:val="28"/>
        </w:rPr>
        <w:t>43.1质疑</w:t>
      </w:r>
      <w:r>
        <w:rPr>
          <w:rFonts w:hint="eastAsia" w:ascii="宋体" w:hAnsi="宋体"/>
          <w:bCs/>
          <w:sz w:val="28"/>
          <w:szCs w:val="28"/>
        </w:rPr>
        <w:t>受理单位拒收质疑</w:t>
      </w:r>
      <w:r>
        <w:rPr>
          <w:rFonts w:ascii="宋体" w:hAnsi="宋体"/>
          <w:bCs/>
          <w:sz w:val="28"/>
          <w:szCs w:val="28"/>
        </w:rPr>
        <w:t>函或</w:t>
      </w:r>
      <w:r>
        <w:rPr>
          <w:rFonts w:hint="eastAsia" w:ascii="宋体" w:hAnsi="宋体"/>
          <w:bCs/>
          <w:sz w:val="28"/>
          <w:szCs w:val="28"/>
        </w:rPr>
        <w:t>未</w:t>
      </w:r>
      <w:r>
        <w:rPr>
          <w:rFonts w:ascii="宋体" w:hAnsi="宋体"/>
          <w:bCs/>
          <w:sz w:val="28"/>
          <w:szCs w:val="28"/>
        </w:rPr>
        <w:t>在规定期限内</w:t>
      </w:r>
      <w:r>
        <w:rPr>
          <w:rFonts w:hint="eastAsia" w:ascii="宋体" w:hAnsi="宋体"/>
          <w:bCs/>
          <w:sz w:val="28"/>
          <w:szCs w:val="28"/>
        </w:rPr>
        <w:t>作</w:t>
      </w:r>
      <w:r>
        <w:rPr>
          <w:rFonts w:ascii="宋体" w:hAnsi="宋体"/>
          <w:bCs/>
          <w:sz w:val="28"/>
          <w:szCs w:val="28"/>
        </w:rPr>
        <w:t>出答复</w:t>
      </w:r>
      <w:r>
        <w:rPr>
          <w:rFonts w:hint="eastAsia" w:ascii="宋体" w:hAnsi="宋体"/>
          <w:bCs/>
          <w:sz w:val="28"/>
          <w:szCs w:val="28"/>
        </w:rPr>
        <w:t>，</w:t>
      </w:r>
      <w:r>
        <w:rPr>
          <w:rFonts w:ascii="宋体" w:hAnsi="宋体"/>
          <w:bCs/>
          <w:sz w:val="28"/>
          <w:szCs w:val="28"/>
        </w:rPr>
        <w:t>以及对</w:t>
      </w:r>
      <w:r>
        <w:rPr>
          <w:rFonts w:hint="eastAsia" w:ascii="宋体" w:hAnsi="宋体"/>
          <w:bCs/>
          <w:sz w:val="28"/>
          <w:szCs w:val="28"/>
        </w:rPr>
        <w:t>质疑</w:t>
      </w:r>
      <w:r>
        <w:rPr>
          <w:rFonts w:ascii="宋体" w:hAnsi="宋体"/>
          <w:bCs/>
          <w:sz w:val="28"/>
          <w:szCs w:val="28"/>
        </w:rPr>
        <w:t>答复及处理结果不满意的，质疑</w:t>
      </w:r>
      <w:r>
        <w:rPr>
          <w:rFonts w:hint="eastAsia" w:ascii="宋体" w:hAnsi="宋体"/>
          <w:bCs/>
          <w:sz w:val="28"/>
          <w:szCs w:val="28"/>
        </w:rPr>
        <w:t>供应商</w:t>
      </w:r>
      <w:r>
        <w:rPr>
          <w:rFonts w:ascii="宋体" w:hAnsi="宋体"/>
          <w:bCs/>
          <w:sz w:val="28"/>
          <w:szCs w:val="28"/>
        </w:rPr>
        <w:t>可以在质疑答复期满之日起15个工作日内，向</w:t>
      </w:r>
      <w:r>
        <w:rPr>
          <w:rFonts w:hint="eastAsia" w:ascii="宋体" w:hAnsi="宋体"/>
          <w:bCs/>
          <w:sz w:val="28"/>
          <w:szCs w:val="28"/>
        </w:rPr>
        <w:t>投诉受理部门</w:t>
      </w:r>
      <w:r>
        <w:rPr>
          <w:rFonts w:ascii="宋体" w:hAnsi="宋体"/>
          <w:bCs/>
          <w:sz w:val="28"/>
          <w:szCs w:val="28"/>
        </w:rPr>
        <w:t>提出</w:t>
      </w:r>
      <w:r>
        <w:rPr>
          <w:rFonts w:hint="eastAsia" w:ascii="宋体" w:hAnsi="宋体"/>
          <w:bCs/>
          <w:sz w:val="28"/>
          <w:szCs w:val="28"/>
        </w:rPr>
        <w:t>书面</w:t>
      </w:r>
      <w:r>
        <w:rPr>
          <w:rFonts w:ascii="宋体" w:hAnsi="宋体"/>
          <w:bCs/>
          <w:sz w:val="28"/>
          <w:szCs w:val="28"/>
        </w:rPr>
        <w:t>投诉。</w:t>
      </w:r>
    </w:p>
    <w:p>
      <w:pPr>
        <w:tabs>
          <w:tab w:val="left" w:pos="562"/>
          <w:tab w:val="left" w:pos="1129"/>
        </w:tabs>
        <w:adjustRightInd w:val="0"/>
        <w:snapToGrid w:val="0"/>
        <w:spacing w:line="560" w:lineRule="exact"/>
        <w:ind w:firstLine="560" w:firstLineChars="200"/>
        <w:rPr>
          <w:rFonts w:ascii="仿宋_GB2312" w:hAnsi="宋体" w:cs="宋体"/>
          <w:bCs/>
          <w:sz w:val="28"/>
          <w:szCs w:val="36"/>
        </w:rPr>
      </w:pPr>
      <w:r>
        <w:rPr>
          <w:rFonts w:ascii="宋体" w:hAnsi="宋体"/>
          <w:bCs/>
          <w:sz w:val="28"/>
          <w:szCs w:val="28"/>
        </w:rPr>
        <w:t>43.2</w:t>
      </w:r>
      <w:r>
        <w:rPr>
          <w:rFonts w:hint="eastAsia" w:ascii="仿宋_GB2312" w:hAnsi="宋体" w:cs="宋体"/>
          <w:bCs/>
          <w:sz w:val="28"/>
          <w:szCs w:val="36"/>
        </w:rPr>
        <w:t>投诉人投诉时</w:t>
      </w:r>
      <w:r>
        <w:rPr>
          <w:rFonts w:hint="eastAsia" w:ascii="宋体" w:hAnsi="宋体"/>
          <w:bCs/>
          <w:sz w:val="28"/>
          <w:szCs w:val="28"/>
        </w:rPr>
        <w:t>，</w:t>
      </w:r>
      <w:r>
        <w:rPr>
          <w:rFonts w:hint="eastAsia" w:ascii="仿宋_GB2312" w:hAnsi="宋体" w:cs="宋体"/>
          <w:bCs/>
          <w:sz w:val="28"/>
          <w:szCs w:val="36"/>
        </w:rPr>
        <w:t>应当提交投诉书正本和必要的证明材料，并按照被投诉人和与投诉事项有关的供应商数量提供投诉书副本。投诉书应当包括下列内容：</w:t>
      </w:r>
    </w:p>
    <w:p>
      <w:pPr>
        <w:pStyle w:val="22"/>
        <w:adjustRightInd w:val="0"/>
        <w:snapToGrid w:val="0"/>
        <w:spacing w:line="560" w:lineRule="exact"/>
        <w:ind w:firstLine="560" w:firstLineChars="200"/>
        <w:rPr>
          <w:rFonts w:hAnsi="宋体" w:cs="宋体"/>
          <w:bCs/>
          <w:sz w:val="28"/>
          <w:szCs w:val="36"/>
        </w:rPr>
      </w:pPr>
      <w:r>
        <w:rPr>
          <w:rFonts w:hint="eastAsia" w:hAnsi="宋体"/>
          <w:bCs/>
          <w:sz w:val="28"/>
          <w:szCs w:val="28"/>
        </w:rPr>
        <w:t>（</w:t>
      </w:r>
      <w:r>
        <w:rPr>
          <w:rFonts w:hAnsi="宋体"/>
          <w:bCs/>
          <w:sz w:val="28"/>
          <w:szCs w:val="28"/>
        </w:rPr>
        <w:t>1）</w:t>
      </w:r>
      <w:r>
        <w:rPr>
          <w:rFonts w:hint="eastAsia" w:hAnsi="宋体" w:cs="宋体"/>
          <w:bCs/>
          <w:sz w:val="28"/>
          <w:szCs w:val="36"/>
        </w:rPr>
        <w:t>投诉人和被投诉人的名称、通讯地址、邮编、联系人及联系电话；</w:t>
      </w:r>
    </w:p>
    <w:p>
      <w:pPr>
        <w:pStyle w:val="22"/>
        <w:adjustRightInd w:val="0"/>
        <w:snapToGrid w:val="0"/>
        <w:spacing w:line="560" w:lineRule="exact"/>
        <w:ind w:firstLine="560" w:firstLineChars="200"/>
        <w:rPr>
          <w:rFonts w:hAnsi="宋体" w:cs="宋体"/>
          <w:bCs/>
          <w:sz w:val="28"/>
          <w:szCs w:val="36"/>
        </w:rPr>
      </w:pPr>
      <w:r>
        <w:rPr>
          <w:rFonts w:hint="eastAsia" w:hAnsi="宋体"/>
          <w:bCs/>
          <w:sz w:val="28"/>
          <w:szCs w:val="28"/>
        </w:rPr>
        <w:t>（</w:t>
      </w:r>
      <w:r>
        <w:rPr>
          <w:rFonts w:hAnsi="宋体"/>
          <w:bCs/>
          <w:sz w:val="28"/>
          <w:szCs w:val="28"/>
        </w:rPr>
        <w:t>2）</w:t>
      </w:r>
      <w:r>
        <w:rPr>
          <w:rFonts w:hint="eastAsia" w:hAnsi="宋体" w:cs="宋体"/>
          <w:bCs/>
          <w:sz w:val="28"/>
          <w:szCs w:val="36"/>
        </w:rPr>
        <w:t>质疑和质疑答复情况说明及相关证明材料；</w:t>
      </w:r>
    </w:p>
    <w:p>
      <w:pPr>
        <w:pStyle w:val="22"/>
        <w:adjustRightInd w:val="0"/>
        <w:snapToGrid w:val="0"/>
        <w:spacing w:line="560" w:lineRule="exact"/>
        <w:ind w:firstLine="560" w:firstLineChars="200"/>
        <w:rPr>
          <w:rFonts w:hAnsi="宋体" w:cs="宋体"/>
          <w:bCs/>
          <w:sz w:val="28"/>
          <w:szCs w:val="36"/>
        </w:rPr>
      </w:pPr>
      <w:r>
        <w:rPr>
          <w:rFonts w:hint="eastAsia" w:hAnsi="宋体" w:cs="宋体"/>
          <w:bCs/>
          <w:sz w:val="28"/>
          <w:szCs w:val="36"/>
        </w:rPr>
        <w:t>（</w:t>
      </w:r>
      <w:r>
        <w:rPr>
          <w:rFonts w:hAnsi="宋体" w:cs="宋体"/>
          <w:bCs/>
          <w:sz w:val="28"/>
          <w:szCs w:val="36"/>
        </w:rPr>
        <w:t>3）</w:t>
      </w:r>
      <w:r>
        <w:rPr>
          <w:rFonts w:hint="eastAsia" w:hAnsi="宋体" w:cs="宋体"/>
          <w:bCs/>
          <w:sz w:val="28"/>
          <w:szCs w:val="36"/>
        </w:rPr>
        <w:t>具体、明确的投诉事项和与投诉事项相关的投诉请求；</w:t>
      </w:r>
    </w:p>
    <w:p>
      <w:pPr>
        <w:pStyle w:val="22"/>
        <w:adjustRightInd w:val="0"/>
        <w:snapToGrid w:val="0"/>
        <w:spacing w:line="560" w:lineRule="exact"/>
        <w:ind w:firstLine="560" w:firstLineChars="200"/>
        <w:rPr>
          <w:rFonts w:hAnsi="宋体" w:cs="宋体"/>
          <w:bCs/>
          <w:sz w:val="28"/>
          <w:szCs w:val="36"/>
        </w:rPr>
      </w:pPr>
      <w:r>
        <w:rPr>
          <w:rFonts w:hint="eastAsia" w:hAnsi="宋体"/>
          <w:bCs/>
          <w:sz w:val="28"/>
          <w:szCs w:val="28"/>
        </w:rPr>
        <w:t>（</w:t>
      </w:r>
      <w:r>
        <w:rPr>
          <w:rFonts w:hAnsi="宋体"/>
          <w:bCs/>
          <w:sz w:val="28"/>
          <w:szCs w:val="28"/>
        </w:rPr>
        <w:t>4）</w:t>
      </w:r>
      <w:r>
        <w:rPr>
          <w:rFonts w:hint="eastAsia" w:hAnsi="宋体" w:cs="宋体"/>
          <w:bCs/>
          <w:sz w:val="28"/>
          <w:szCs w:val="36"/>
        </w:rPr>
        <w:t>事实依据；</w:t>
      </w:r>
    </w:p>
    <w:p>
      <w:pPr>
        <w:pStyle w:val="22"/>
        <w:adjustRightInd w:val="0"/>
        <w:snapToGrid w:val="0"/>
        <w:spacing w:line="560" w:lineRule="exact"/>
        <w:ind w:firstLine="560" w:firstLineChars="200"/>
        <w:rPr>
          <w:rFonts w:hAnsi="宋体" w:cs="宋体"/>
          <w:bCs/>
          <w:sz w:val="28"/>
          <w:szCs w:val="36"/>
        </w:rPr>
      </w:pPr>
      <w:r>
        <w:rPr>
          <w:rFonts w:hint="eastAsia" w:hAnsi="宋体"/>
          <w:bCs/>
          <w:sz w:val="28"/>
          <w:szCs w:val="28"/>
        </w:rPr>
        <w:t>（</w:t>
      </w:r>
      <w:r>
        <w:rPr>
          <w:rFonts w:hAnsi="宋体"/>
          <w:bCs/>
          <w:sz w:val="28"/>
          <w:szCs w:val="28"/>
        </w:rPr>
        <w:t>5）</w:t>
      </w:r>
      <w:r>
        <w:rPr>
          <w:rFonts w:hint="eastAsia" w:hAnsi="宋体" w:cs="宋体"/>
          <w:bCs/>
          <w:sz w:val="28"/>
          <w:szCs w:val="36"/>
        </w:rPr>
        <w:t>法律依据；</w:t>
      </w:r>
    </w:p>
    <w:p>
      <w:pPr>
        <w:pStyle w:val="22"/>
        <w:adjustRightInd w:val="0"/>
        <w:snapToGrid w:val="0"/>
        <w:spacing w:line="560" w:lineRule="exact"/>
        <w:ind w:firstLine="560" w:firstLineChars="200"/>
        <w:rPr>
          <w:rFonts w:hAnsi="宋体" w:cs="宋体"/>
          <w:bCs/>
          <w:sz w:val="28"/>
          <w:szCs w:val="36"/>
        </w:rPr>
      </w:pPr>
      <w:r>
        <w:rPr>
          <w:rFonts w:hint="eastAsia" w:hAnsi="宋体"/>
          <w:bCs/>
          <w:sz w:val="28"/>
          <w:szCs w:val="28"/>
        </w:rPr>
        <w:t>（</w:t>
      </w:r>
      <w:r>
        <w:rPr>
          <w:rFonts w:hAnsi="宋体"/>
          <w:bCs/>
          <w:sz w:val="28"/>
          <w:szCs w:val="28"/>
        </w:rPr>
        <w:t>6）</w:t>
      </w:r>
      <w:r>
        <w:rPr>
          <w:rFonts w:hint="eastAsia" w:hAnsi="宋体" w:cs="宋体"/>
          <w:bCs/>
          <w:sz w:val="28"/>
          <w:szCs w:val="36"/>
        </w:rPr>
        <w:t>提起投诉的日期。</w:t>
      </w:r>
    </w:p>
    <w:p>
      <w:pPr>
        <w:pStyle w:val="22"/>
        <w:adjustRightInd w:val="0"/>
        <w:snapToGrid w:val="0"/>
        <w:spacing w:line="560" w:lineRule="exact"/>
        <w:ind w:firstLine="560" w:firstLineChars="200"/>
        <w:rPr>
          <w:rFonts w:ascii="仿宋_GB2312" w:hAnsi="宋体" w:cs="宋体"/>
          <w:bCs/>
          <w:sz w:val="28"/>
          <w:szCs w:val="36"/>
        </w:rPr>
      </w:pPr>
      <w:r>
        <w:rPr>
          <w:rFonts w:hAnsi="宋体" w:cs="Times New Roman"/>
          <w:bCs/>
          <w:sz w:val="28"/>
          <w:szCs w:val="28"/>
        </w:rPr>
        <w:t>43.3</w:t>
      </w:r>
      <w:r>
        <w:rPr>
          <w:rFonts w:hint="eastAsia" w:ascii="仿宋_GB2312" w:hAnsi="宋体" w:cs="宋体"/>
          <w:bCs/>
          <w:sz w:val="28"/>
          <w:szCs w:val="36"/>
        </w:rPr>
        <w:t>投诉书应当由法定代表人或其授权代表签字，并加盖公章。法定代表人授权其他人办理采购投诉事宜，应当在正本中签署授权书；授权书应当载明被授权人的姓名、职务、授权范围和时间期限，并加盖公章。</w:t>
      </w:r>
    </w:p>
    <w:p>
      <w:pPr>
        <w:tabs>
          <w:tab w:val="left" w:pos="562"/>
        </w:tabs>
        <w:adjustRightInd w:val="0"/>
        <w:snapToGrid w:val="0"/>
        <w:spacing w:line="560" w:lineRule="exact"/>
        <w:ind w:firstLine="560" w:firstLineChars="200"/>
        <w:rPr>
          <w:rFonts w:ascii="宋体" w:hAnsi="宋体"/>
          <w:bCs/>
          <w:sz w:val="28"/>
          <w:szCs w:val="28"/>
        </w:rPr>
      </w:pPr>
      <w:r>
        <w:rPr>
          <w:rFonts w:ascii="宋体" w:hAnsi="宋体"/>
          <w:bCs/>
          <w:sz w:val="28"/>
          <w:szCs w:val="28"/>
        </w:rPr>
        <w:t>43.4受理、处理</w:t>
      </w:r>
      <w:r>
        <w:rPr>
          <w:rFonts w:hint="eastAsia" w:ascii="宋体" w:hAnsi="宋体"/>
          <w:bCs/>
          <w:sz w:val="28"/>
          <w:szCs w:val="28"/>
        </w:rPr>
        <w:t>投诉申请</w:t>
      </w:r>
      <w:r>
        <w:rPr>
          <w:rFonts w:ascii="宋体" w:hAnsi="宋体"/>
          <w:bCs/>
          <w:sz w:val="28"/>
          <w:szCs w:val="28"/>
        </w:rPr>
        <w:t>部门及联系方式</w:t>
      </w:r>
      <w:r>
        <w:rPr>
          <w:rFonts w:hint="eastAsia" w:ascii="宋体" w:hAnsi="宋体"/>
          <w:bCs/>
          <w:sz w:val="28"/>
          <w:szCs w:val="28"/>
        </w:rPr>
        <w:t>见</w:t>
      </w:r>
      <w:r>
        <w:rPr>
          <w:rFonts w:hint="eastAsia" w:ascii="宋体" w:hAnsi="宋体"/>
          <w:bCs/>
          <w:sz w:val="28"/>
          <w:szCs w:val="28"/>
          <w:lang w:val="zh-CN"/>
        </w:rPr>
        <w:t>【投标供应商须知前附表】</w:t>
      </w:r>
      <w:r>
        <w:rPr>
          <w:rFonts w:hint="eastAsia" w:ascii="宋体" w:hAnsi="宋体"/>
          <w:bCs/>
          <w:sz w:val="28"/>
          <w:szCs w:val="28"/>
        </w:rPr>
        <w:t>。</w:t>
      </w:r>
    </w:p>
    <w:p>
      <w:pPr>
        <w:pStyle w:val="5"/>
        <w:keepNext w:val="0"/>
        <w:keepLines w:val="0"/>
        <w:adjustRightInd w:val="0"/>
        <w:snapToGrid w:val="0"/>
        <w:ind w:firstLine="560" w:firstLineChars="200"/>
        <w:rPr>
          <w:rFonts w:ascii="黑体" w:hAnsi="黑体"/>
          <w:b w:val="0"/>
        </w:rPr>
      </w:pPr>
      <w:r>
        <w:rPr>
          <w:rFonts w:ascii="黑体" w:hAnsi="黑体"/>
          <w:b w:val="0"/>
        </w:rPr>
        <w:t>44.</w:t>
      </w:r>
      <w:r>
        <w:rPr>
          <w:rFonts w:hint="eastAsia" w:ascii="黑体" w:hAnsi="黑体"/>
          <w:b w:val="0"/>
        </w:rPr>
        <w:t>投诉复议</w:t>
      </w:r>
    </w:p>
    <w:p>
      <w:pPr>
        <w:tabs>
          <w:tab w:val="left" w:pos="562"/>
          <w:tab w:val="left" w:pos="1129"/>
        </w:tabs>
        <w:adjustRightInd w:val="0"/>
        <w:snapToGrid w:val="0"/>
        <w:spacing w:line="560" w:lineRule="exact"/>
        <w:ind w:firstLine="560" w:firstLineChars="200"/>
        <w:rPr>
          <w:rFonts w:ascii="仿宋_GB2312" w:hAnsi="宋体" w:cs="宋体"/>
          <w:bCs/>
          <w:sz w:val="28"/>
          <w:szCs w:val="36"/>
        </w:rPr>
      </w:pPr>
      <w:r>
        <w:rPr>
          <w:rFonts w:ascii="宋体" w:hAnsi="宋体"/>
          <w:bCs/>
          <w:sz w:val="28"/>
          <w:szCs w:val="28"/>
        </w:rPr>
        <w:t>44.1</w:t>
      </w:r>
      <w:r>
        <w:rPr>
          <w:rFonts w:hint="eastAsia" w:ascii="仿宋_GB2312" w:hAnsi="宋体" w:cs="宋体"/>
          <w:bCs/>
          <w:sz w:val="28"/>
          <w:szCs w:val="36"/>
        </w:rPr>
        <w:t>投诉人对投诉受理部门的投诉处理决定不服或投诉受理部门逾期未作处理的，可以自收到投诉处理决定书</w:t>
      </w:r>
      <w:r>
        <w:rPr>
          <w:rFonts w:ascii="宋体" w:hAnsi="宋体"/>
          <w:bCs/>
          <w:sz w:val="28"/>
          <w:szCs w:val="28"/>
        </w:rPr>
        <w:t>15个工作日内，</w:t>
      </w:r>
      <w:r>
        <w:rPr>
          <w:rFonts w:hint="eastAsia" w:ascii="仿宋_GB2312" w:hAnsi="宋体" w:cs="宋体"/>
          <w:bCs/>
          <w:sz w:val="28"/>
          <w:szCs w:val="36"/>
        </w:rPr>
        <w:t>提出投诉复议申请。</w:t>
      </w:r>
    </w:p>
    <w:p>
      <w:pPr>
        <w:tabs>
          <w:tab w:val="left" w:pos="562"/>
          <w:tab w:val="left" w:pos="1129"/>
        </w:tabs>
        <w:adjustRightInd w:val="0"/>
        <w:snapToGrid w:val="0"/>
        <w:spacing w:line="560" w:lineRule="exact"/>
        <w:ind w:firstLine="560" w:firstLineChars="200"/>
        <w:rPr>
          <w:rFonts w:ascii="仿宋_GB2312" w:hAnsi="宋体" w:cs="宋体"/>
          <w:bCs/>
          <w:sz w:val="28"/>
          <w:szCs w:val="36"/>
        </w:rPr>
      </w:pPr>
      <w:r>
        <w:rPr>
          <w:rFonts w:ascii="宋体" w:hAnsi="宋体"/>
          <w:bCs/>
          <w:sz w:val="28"/>
          <w:szCs w:val="28"/>
        </w:rPr>
        <w:t>44.2</w:t>
      </w:r>
      <w:r>
        <w:rPr>
          <w:rFonts w:hint="eastAsia" w:ascii="仿宋_GB2312" w:hAnsi="宋体" w:cs="宋体"/>
          <w:bCs/>
          <w:sz w:val="28"/>
          <w:szCs w:val="36"/>
        </w:rPr>
        <w:t>投诉复议申请人应当提交投诉复议申请书和必要的证明材料，并按照被申请人和与复议事项有关当事人数量提供申请书副本。投诉复议申请书应当包括下列内容：</w:t>
      </w:r>
    </w:p>
    <w:p>
      <w:pPr>
        <w:pStyle w:val="22"/>
        <w:adjustRightInd w:val="0"/>
        <w:snapToGrid w:val="0"/>
        <w:spacing w:line="560" w:lineRule="exact"/>
        <w:ind w:firstLine="560" w:firstLineChars="200"/>
        <w:rPr>
          <w:rFonts w:hAnsi="宋体"/>
          <w:bCs/>
          <w:kern w:val="0"/>
          <w:sz w:val="28"/>
          <w:szCs w:val="36"/>
        </w:rPr>
      </w:pPr>
      <w:r>
        <w:rPr>
          <w:rFonts w:hint="eastAsia" w:hAnsi="宋体"/>
          <w:bCs/>
          <w:sz w:val="28"/>
          <w:szCs w:val="28"/>
        </w:rPr>
        <w:t>（</w:t>
      </w:r>
      <w:r>
        <w:rPr>
          <w:rFonts w:hAnsi="宋体"/>
          <w:bCs/>
          <w:sz w:val="28"/>
          <w:szCs w:val="28"/>
        </w:rPr>
        <w:t>1）</w:t>
      </w:r>
      <w:r>
        <w:rPr>
          <w:rFonts w:hint="eastAsia" w:hAnsi="宋体"/>
          <w:bCs/>
          <w:kern w:val="0"/>
          <w:sz w:val="28"/>
          <w:szCs w:val="36"/>
        </w:rPr>
        <w:t>申请人和被申请人名称、通讯地址、联系人、联系电话；</w:t>
      </w:r>
    </w:p>
    <w:p>
      <w:pPr>
        <w:pStyle w:val="22"/>
        <w:adjustRightInd w:val="0"/>
        <w:snapToGrid w:val="0"/>
        <w:spacing w:line="560" w:lineRule="exact"/>
        <w:ind w:firstLine="560" w:firstLineChars="200"/>
        <w:rPr>
          <w:rFonts w:hAnsi="宋体"/>
          <w:bCs/>
          <w:kern w:val="0"/>
          <w:sz w:val="28"/>
          <w:szCs w:val="36"/>
        </w:rPr>
      </w:pPr>
      <w:r>
        <w:rPr>
          <w:rFonts w:hint="eastAsia" w:hAnsi="宋体"/>
          <w:bCs/>
          <w:sz w:val="28"/>
          <w:szCs w:val="28"/>
        </w:rPr>
        <w:t>（</w:t>
      </w:r>
      <w:r>
        <w:rPr>
          <w:rFonts w:hAnsi="宋体"/>
          <w:bCs/>
          <w:sz w:val="28"/>
          <w:szCs w:val="28"/>
        </w:rPr>
        <w:t>2）</w:t>
      </w:r>
      <w:r>
        <w:rPr>
          <w:rFonts w:hint="eastAsia" w:hAnsi="宋体"/>
          <w:bCs/>
          <w:kern w:val="0"/>
          <w:sz w:val="28"/>
          <w:szCs w:val="36"/>
        </w:rPr>
        <w:t>投诉和投诉处理决定情况说明及相关证明材料；</w:t>
      </w:r>
    </w:p>
    <w:p>
      <w:pPr>
        <w:pStyle w:val="22"/>
        <w:adjustRightInd w:val="0"/>
        <w:snapToGrid w:val="0"/>
        <w:spacing w:line="560" w:lineRule="exact"/>
        <w:ind w:firstLine="560" w:firstLineChars="200"/>
        <w:rPr>
          <w:rFonts w:hAnsi="宋体"/>
          <w:bCs/>
          <w:kern w:val="0"/>
          <w:sz w:val="28"/>
          <w:szCs w:val="36"/>
        </w:rPr>
      </w:pPr>
      <w:r>
        <w:rPr>
          <w:rFonts w:hint="eastAsia" w:hAnsi="宋体"/>
          <w:bCs/>
          <w:sz w:val="28"/>
          <w:szCs w:val="28"/>
        </w:rPr>
        <w:t>（</w:t>
      </w:r>
      <w:r>
        <w:rPr>
          <w:rFonts w:hAnsi="宋体"/>
          <w:bCs/>
          <w:sz w:val="28"/>
          <w:szCs w:val="28"/>
        </w:rPr>
        <w:t>3）</w:t>
      </w:r>
      <w:r>
        <w:rPr>
          <w:rFonts w:hint="eastAsia" w:hAnsi="宋体"/>
          <w:bCs/>
          <w:kern w:val="0"/>
          <w:sz w:val="28"/>
          <w:szCs w:val="36"/>
        </w:rPr>
        <w:t>具体、明确的复议事项和与复议事项相关的请求；</w:t>
      </w:r>
    </w:p>
    <w:p>
      <w:pPr>
        <w:pStyle w:val="22"/>
        <w:adjustRightInd w:val="0"/>
        <w:snapToGrid w:val="0"/>
        <w:spacing w:line="560" w:lineRule="exact"/>
        <w:ind w:firstLine="560" w:firstLineChars="200"/>
        <w:rPr>
          <w:rFonts w:hAnsi="宋体"/>
          <w:bCs/>
          <w:kern w:val="0"/>
          <w:sz w:val="28"/>
          <w:szCs w:val="36"/>
        </w:rPr>
      </w:pPr>
      <w:r>
        <w:rPr>
          <w:rFonts w:hint="eastAsia" w:hAnsi="宋体"/>
          <w:bCs/>
          <w:sz w:val="28"/>
          <w:szCs w:val="28"/>
        </w:rPr>
        <w:t>（</w:t>
      </w:r>
      <w:r>
        <w:rPr>
          <w:rFonts w:hAnsi="宋体"/>
          <w:bCs/>
          <w:sz w:val="28"/>
          <w:szCs w:val="28"/>
        </w:rPr>
        <w:t>4）</w:t>
      </w:r>
      <w:r>
        <w:rPr>
          <w:rFonts w:hint="eastAsia" w:hAnsi="宋体"/>
          <w:bCs/>
          <w:kern w:val="0"/>
          <w:sz w:val="28"/>
          <w:szCs w:val="36"/>
        </w:rPr>
        <w:t>事实依据；</w:t>
      </w:r>
    </w:p>
    <w:p>
      <w:pPr>
        <w:pStyle w:val="22"/>
        <w:adjustRightInd w:val="0"/>
        <w:snapToGrid w:val="0"/>
        <w:spacing w:line="560" w:lineRule="exact"/>
        <w:ind w:firstLine="560" w:firstLineChars="200"/>
        <w:rPr>
          <w:rFonts w:hAnsi="宋体"/>
          <w:bCs/>
          <w:kern w:val="0"/>
          <w:sz w:val="28"/>
          <w:szCs w:val="36"/>
        </w:rPr>
      </w:pPr>
      <w:r>
        <w:rPr>
          <w:rFonts w:hint="eastAsia" w:hAnsi="宋体"/>
          <w:bCs/>
          <w:kern w:val="0"/>
          <w:sz w:val="28"/>
          <w:szCs w:val="36"/>
        </w:rPr>
        <w:t>（5）法律依据；</w:t>
      </w:r>
    </w:p>
    <w:p>
      <w:pPr>
        <w:pStyle w:val="22"/>
        <w:adjustRightInd w:val="0"/>
        <w:snapToGrid w:val="0"/>
        <w:spacing w:line="560" w:lineRule="exact"/>
        <w:ind w:firstLine="560" w:firstLineChars="200"/>
        <w:rPr>
          <w:rFonts w:hAnsi="宋体"/>
          <w:bCs/>
          <w:kern w:val="0"/>
          <w:sz w:val="28"/>
          <w:szCs w:val="36"/>
        </w:rPr>
      </w:pPr>
      <w:r>
        <w:rPr>
          <w:rFonts w:hint="eastAsia" w:hAnsi="宋体"/>
          <w:bCs/>
          <w:sz w:val="28"/>
          <w:szCs w:val="28"/>
        </w:rPr>
        <w:t>（</w:t>
      </w:r>
      <w:r>
        <w:rPr>
          <w:rFonts w:hAnsi="宋体"/>
          <w:bCs/>
          <w:sz w:val="28"/>
          <w:szCs w:val="28"/>
        </w:rPr>
        <w:t>6）</w:t>
      </w:r>
      <w:r>
        <w:rPr>
          <w:rFonts w:hint="eastAsia" w:hAnsi="宋体"/>
          <w:bCs/>
          <w:kern w:val="0"/>
          <w:sz w:val="28"/>
          <w:szCs w:val="36"/>
        </w:rPr>
        <w:t>申请</w:t>
      </w:r>
      <w:r>
        <w:rPr>
          <w:rFonts w:hint="eastAsia" w:hAnsi="宋体" w:cs="宋体"/>
          <w:bCs/>
          <w:sz w:val="28"/>
          <w:szCs w:val="36"/>
        </w:rPr>
        <w:t>投诉</w:t>
      </w:r>
      <w:r>
        <w:rPr>
          <w:rFonts w:hint="eastAsia" w:hAnsi="宋体"/>
          <w:bCs/>
          <w:kern w:val="0"/>
          <w:sz w:val="28"/>
          <w:szCs w:val="36"/>
        </w:rPr>
        <w:t>复议的日期。</w:t>
      </w:r>
    </w:p>
    <w:p>
      <w:pPr>
        <w:tabs>
          <w:tab w:val="left" w:pos="562"/>
          <w:tab w:val="left" w:pos="1129"/>
        </w:tabs>
        <w:adjustRightInd w:val="0"/>
        <w:snapToGrid w:val="0"/>
        <w:spacing w:line="560" w:lineRule="exact"/>
        <w:ind w:firstLine="560" w:firstLineChars="200"/>
        <w:rPr>
          <w:rFonts w:ascii="仿宋_GB2312" w:hAnsi="宋体" w:cs="宋体"/>
          <w:bCs/>
          <w:sz w:val="28"/>
          <w:szCs w:val="36"/>
        </w:rPr>
      </w:pPr>
      <w:r>
        <w:rPr>
          <w:rFonts w:ascii="宋体" w:hAnsi="宋体"/>
          <w:bCs/>
          <w:sz w:val="28"/>
          <w:szCs w:val="28"/>
        </w:rPr>
        <w:t>44.3</w:t>
      </w:r>
      <w:r>
        <w:rPr>
          <w:rFonts w:hint="eastAsia" w:ascii="仿宋_GB2312" w:hAnsi="宋体" w:cs="宋体"/>
          <w:bCs/>
          <w:sz w:val="28"/>
          <w:szCs w:val="36"/>
        </w:rPr>
        <w:t>投诉复议申请书应当由法定代表人或其授权代表签字，并加盖公章。法定代表人授权其他人办理投诉复议事宜，应当在正本中签署授权书；授权书应当载明被授权人的姓名、职务、授权范围和时间期限，并加盖公章。</w:t>
      </w:r>
    </w:p>
    <w:p>
      <w:pPr>
        <w:tabs>
          <w:tab w:val="left" w:pos="562"/>
          <w:tab w:val="left" w:pos="1129"/>
        </w:tabs>
        <w:adjustRightInd w:val="0"/>
        <w:snapToGrid w:val="0"/>
        <w:spacing w:line="560" w:lineRule="exact"/>
        <w:ind w:firstLine="560" w:firstLineChars="200"/>
        <w:rPr>
          <w:rFonts w:ascii="仿宋_GB2312" w:hAnsi="宋体" w:cs="宋体"/>
          <w:bCs/>
          <w:sz w:val="28"/>
          <w:szCs w:val="36"/>
        </w:rPr>
      </w:pPr>
      <w:r>
        <w:rPr>
          <w:rFonts w:ascii="宋体" w:hAnsi="宋体"/>
          <w:bCs/>
          <w:sz w:val="28"/>
          <w:szCs w:val="28"/>
        </w:rPr>
        <w:t>44.4</w:t>
      </w:r>
      <w:r>
        <w:rPr>
          <w:rFonts w:hint="eastAsia" w:ascii="仿宋_GB2312" w:hAnsi="宋体" w:cs="宋体"/>
          <w:bCs/>
          <w:sz w:val="28"/>
          <w:szCs w:val="36"/>
        </w:rPr>
        <w:t>受理、处理投诉复议申请部门及</w:t>
      </w:r>
      <w:r>
        <w:rPr>
          <w:rFonts w:hint="eastAsia" w:ascii="宋体" w:hAnsi="宋体"/>
          <w:bCs/>
          <w:sz w:val="28"/>
          <w:szCs w:val="28"/>
        </w:rPr>
        <w:t>联系方式见</w:t>
      </w:r>
      <w:r>
        <w:rPr>
          <w:rFonts w:hint="eastAsia" w:ascii="宋体" w:hAnsi="宋体"/>
          <w:bCs/>
          <w:sz w:val="28"/>
          <w:szCs w:val="28"/>
          <w:lang w:val="zh-CN"/>
        </w:rPr>
        <w:t>【投标供应商须知前附表】</w:t>
      </w:r>
      <w:r>
        <w:rPr>
          <w:rFonts w:hint="eastAsia" w:ascii="仿宋_GB2312" w:hAnsi="宋体" w:cs="宋体"/>
          <w:bCs/>
          <w:sz w:val="28"/>
          <w:szCs w:val="36"/>
        </w:rPr>
        <w:t>。</w:t>
      </w:r>
    </w:p>
    <w:p>
      <w:pPr>
        <w:pStyle w:val="4"/>
        <w:keepNext w:val="0"/>
        <w:keepLines w:val="0"/>
        <w:adjustRightInd w:val="0"/>
        <w:snapToGrid w:val="0"/>
        <w:spacing w:before="120" w:beforeLines="50" w:after="120" w:afterLines="50" w:line="560" w:lineRule="exact"/>
        <w:jc w:val="center"/>
        <w:rPr>
          <w:b w:val="0"/>
        </w:rPr>
      </w:pPr>
      <w:bookmarkStart w:id="205" w:name="_Toc132190603"/>
      <w:r>
        <w:rPr>
          <w:rFonts w:hint="eastAsia"/>
          <w:b w:val="0"/>
        </w:rPr>
        <w:t>八、签订合同</w:t>
      </w:r>
      <w:bookmarkEnd w:id="200"/>
      <w:bookmarkEnd w:id="201"/>
      <w:bookmarkEnd w:id="202"/>
      <w:bookmarkEnd w:id="203"/>
      <w:bookmarkEnd w:id="204"/>
      <w:bookmarkEnd w:id="205"/>
    </w:p>
    <w:p>
      <w:pPr>
        <w:pStyle w:val="5"/>
        <w:keepNext w:val="0"/>
        <w:keepLines w:val="0"/>
        <w:adjustRightInd w:val="0"/>
        <w:snapToGrid w:val="0"/>
        <w:ind w:firstLine="560" w:firstLineChars="200"/>
        <w:rPr>
          <w:rFonts w:ascii="黑体" w:hAnsi="黑体"/>
          <w:b w:val="0"/>
        </w:rPr>
      </w:pPr>
      <w:bookmarkStart w:id="206" w:name="_Toc24078"/>
      <w:bookmarkStart w:id="207" w:name="_Toc19884"/>
      <w:bookmarkStart w:id="208" w:name="_Toc29124"/>
      <w:bookmarkStart w:id="209" w:name="_Toc96"/>
      <w:r>
        <w:rPr>
          <w:rFonts w:ascii="黑体" w:hAnsi="黑体"/>
          <w:b w:val="0"/>
        </w:rPr>
        <w:t>45.</w:t>
      </w:r>
      <w:r>
        <w:rPr>
          <w:rFonts w:hint="eastAsia" w:ascii="黑体" w:hAnsi="黑体"/>
          <w:b w:val="0"/>
        </w:rPr>
        <w:t>签订合同</w:t>
      </w:r>
      <w:bookmarkEnd w:id="206"/>
      <w:bookmarkEnd w:id="207"/>
      <w:bookmarkEnd w:id="208"/>
      <w:bookmarkEnd w:id="209"/>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45.1中标供应商在采购机构发出《中标通知书》之日起30日内，</w:t>
      </w:r>
      <w:r>
        <w:rPr>
          <w:rFonts w:hint="eastAsia" w:ascii="宋体" w:hAnsi="宋体"/>
          <w:bCs/>
          <w:sz w:val="28"/>
          <w:szCs w:val="28"/>
        </w:rPr>
        <w:t>依据招标文件、中标供应商投标文件和澄清承诺，与采购单位签订采购合同</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45.2采购合同不得对招标文件和中标供应商投标文件作实质性修改</w:t>
      </w:r>
      <w:r>
        <w:rPr>
          <w:rFonts w:hint="eastAsia" w:ascii="宋体" w:hAnsi="宋体"/>
          <w:bCs/>
          <w:sz w:val="28"/>
          <w:szCs w:val="28"/>
        </w:rPr>
        <w:t>，采购单位不得向中标供应商提出任何不合理要求，作为签订合同的条件。</w:t>
      </w:r>
      <w:r>
        <w:rPr>
          <w:rFonts w:ascii="宋体" w:hAnsi="宋体"/>
          <w:bCs/>
          <w:sz w:val="28"/>
          <w:szCs w:val="28"/>
        </w:rPr>
        <w:t>招标文件、中标供应商投标文件、补充</w:t>
      </w:r>
      <w:r>
        <w:rPr>
          <w:rFonts w:hint="eastAsia" w:ascii="宋体" w:hAnsi="宋体"/>
          <w:bCs/>
          <w:sz w:val="28"/>
          <w:szCs w:val="28"/>
        </w:rPr>
        <w:t>文件、</w:t>
      </w:r>
      <w:r>
        <w:rPr>
          <w:rFonts w:ascii="宋体" w:hAnsi="宋体"/>
          <w:bCs/>
          <w:sz w:val="28"/>
          <w:szCs w:val="28"/>
        </w:rPr>
        <w:t>澄清承诺等，均为签订合同的依据。</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45.3签订合同后，中标供应商不得将中标项目</w:t>
      </w:r>
      <w:r>
        <w:rPr>
          <w:rFonts w:hint="eastAsia" w:ascii="宋体" w:hAnsi="宋体"/>
          <w:bCs/>
          <w:sz w:val="28"/>
          <w:szCs w:val="28"/>
        </w:rPr>
        <w:t>整体转包或将项目拆分后分别向他人转包，不得违反招标文件、投标文件和合同约定，擅自将合同分包，一经查实将按有关规定进行严肃处理</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45.4</w:t>
      </w:r>
      <w:r>
        <w:t xml:space="preserve"> </w:t>
      </w:r>
      <w:r>
        <w:rPr>
          <w:rFonts w:hint="eastAsia" w:ascii="宋体" w:hAnsi="宋体"/>
          <w:bCs/>
          <w:sz w:val="28"/>
          <w:szCs w:val="28"/>
        </w:rPr>
        <w:t>未经甲方允许，乙方不得在合同未生效前履行合同相关义务。</w:t>
      </w:r>
    </w:p>
    <w:p>
      <w:pPr>
        <w:pStyle w:val="4"/>
        <w:keepNext w:val="0"/>
        <w:keepLines w:val="0"/>
        <w:adjustRightInd w:val="0"/>
        <w:snapToGrid w:val="0"/>
        <w:spacing w:before="120" w:beforeLines="50" w:after="120" w:afterLines="50" w:line="560" w:lineRule="exact"/>
        <w:jc w:val="center"/>
        <w:rPr>
          <w:b w:val="0"/>
        </w:rPr>
      </w:pPr>
      <w:bookmarkStart w:id="210" w:name="_Toc5523"/>
      <w:bookmarkStart w:id="211" w:name="_Toc112317776"/>
      <w:bookmarkStart w:id="212" w:name="_Toc24627"/>
      <w:bookmarkStart w:id="213" w:name="_Toc132190604"/>
      <w:bookmarkStart w:id="214" w:name="_Toc19987"/>
      <w:bookmarkStart w:id="215" w:name="_Toc28366"/>
      <w:r>
        <w:rPr>
          <w:rFonts w:hint="eastAsia"/>
          <w:b w:val="0"/>
        </w:rPr>
        <w:t>九、解释权限</w:t>
      </w:r>
      <w:bookmarkEnd w:id="210"/>
      <w:bookmarkEnd w:id="211"/>
      <w:bookmarkEnd w:id="212"/>
      <w:bookmarkEnd w:id="213"/>
      <w:bookmarkEnd w:id="214"/>
      <w:bookmarkEnd w:id="215"/>
    </w:p>
    <w:p>
      <w:pPr>
        <w:pStyle w:val="5"/>
        <w:keepNext w:val="0"/>
        <w:keepLines w:val="0"/>
        <w:adjustRightInd w:val="0"/>
        <w:snapToGrid w:val="0"/>
        <w:ind w:firstLine="560" w:firstLineChars="200"/>
        <w:rPr>
          <w:rFonts w:ascii="黑体" w:hAnsi="黑体"/>
          <w:b w:val="0"/>
        </w:rPr>
      </w:pPr>
      <w:bookmarkStart w:id="216" w:name="_Toc31881"/>
      <w:bookmarkStart w:id="217" w:name="_Toc10805"/>
      <w:bookmarkStart w:id="218" w:name="_Toc8428"/>
      <w:bookmarkStart w:id="219" w:name="_Toc18827"/>
      <w:r>
        <w:rPr>
          <w:rFonts w:ascii="黑体" w:hAnsi="黑体"/>
          <w:b w:val="0"/>
        </w:rPr>
        <w:t>46.</w:t>
      </w:r>
      <w:r>
        <w:rPr>
          <w:rFonts w:hint="eastAsia" w:ascii="黑体" w:hAnsi="黑体"/>
          <w:b w:val="0"/>
        </w:rPr>
        <w:t>解释权限</w:t>
      </w:r>
      <w:bookmarkEnd w:id="216"/>
      <w:bookmarkEnd w:id="217"/>
      <w:bookmarkEnd w:id="218"/>
      <w:bookmarkEnd w:id="219"/>
    </w:p>
    <w:p>
      <w:pPr>
        <w:adjustRightInd w:val="0"/>
        <w:snapToGrid w:val="0"/>
        <w:spacing w:line="560" w:lineRule="exact"/>
        <w:ind w:firstLine="560" w:firstLineChars="200"/>
        <w:rPr>
          <w:rFonts w:ascii="黑体" w:hAnsi="黑体" w:eastAsia="黑体" w:cs="黑体"/>
          <w:bCs/>
          <w:sz w:val="28"/>
          <w:szCs w:val="28"/>
        </w:rPr>
      </w:pPr>
      <w:r>
        <w:rPr>
          <w:rFonts w:ascii="宋体" w:hAnsi="宋体"/>
          <w:bCs/>
          <w:sz w:val="28"/>
          <w:szCs w:val="28"/>
        </w:rPr>
        <w:t>46.1</w:t>
      </w:r>
      <w:r>
        <w:rPr>
          <w:rFonts w:hint="eastAsia"/>
          <w:bCs/>
          <w:sz w:val="28"/>
          <w:szCs w:val="28"/>
        </w:rPr>
        <w:t>本招标文件由采购机构负责解释。</w:t>
      </w:r>
    </w:p>
    <w:p>
      <w:pPr>
        <w:pStyle w:val="4"/>
        <w:spacing w:before="120" w:beforeLines="50" w:after="120" w:afterLines="50" w:line="560" w:lineRule="exact"/>
        <w:rPr>
          <w:rFonts w:ascii="黑体" w:hAnsi="黑体" w:cs="黑体"/>
          <w:b w:val="0"/>
          <w:sz w:val="28"/>
          <w:szCs w:val="28"/>
        </w:rPr>
        <w:sectPr>
          <w:footerReference r:id="rId4" w:type="default"/>
          <w:pgSz w:w="11906" w:h="16838"/>
          <w:pgMar w:top="1418" w:right="1134" w:bottom="1418" w:left="1418" w:header="850" w:footer="851" w:gutter="0"/>
          <w:pgNumType w:start="1"/>
          <w:cols w:space="720" w:num="1"/>
        </w:sectPr>
      </w:pPr>
      <w:bookmarkStart w:id="220" w:name="_Toc21065"/>
      <w:bookmarkStart w:id="221" w:name="_Toc7344"/>
      <w:bookmarkStart w:id="222" w:name="_Toc132190605"/>
      <w:bookmarkStart w:id="223" w:name="_Toc19792"/>
      <w:bookmarkStart w:id="224" w:name="_Toc11888"/>
    </w:p>
    <w:p>
      <w:pPr>
        <w:pStyle w:val="4"/>
        <w:spacing w:before="120" w:beforeLines="50" w:after="120" w:afterLines="50" w:line="560" w:lineRule="exact"/>
        <w:rPr>
          <w:rFonts w:ascii="黑体" w:hAnsi="黑体" w:cs="黑体"/>
          <w:b w:val="0"/>
          <w:sz w:val="28"/>
          <w:szCs w:val="28"/>
        </w:rPr>
      </w:pPr>
      <w:r>
        <w:rPr>
          <w:rFonts w:hint="eastAsia" w:ascii="黑体" w:hAnsi="黑体" w:cs="黑体"/>
          <w:b w:val="0"/>
          <w:sz w:val="28"/>
          <w:szCs w:val="28"/>
        </w:rPr>
        <w:t>附页1 招标文件更正确认函</w:t>
      </w:r>
      <w:bookmarkEnd w:id="220"/>
      <w:bookmarkEnd w:id="221"/>
      <w:bookmarkEnd w:id="222"/>
      <w:bookmarkEnd w:id="223"/>
      <w:bookmarkEnd w:id="224"/>
    </w:p>
    <w:p>
      <w:pPr>
        <w:spacing w:before="120" w:beforeLines="50" w:after="120" w:afterLines="50" w:line="560" w:lineRule="exact"/>
        <w:ind w:firstLine="720" w:firstLineChars="200"/>
        <w:jc w:val="center"/>
        <w:rPr>
          <w:rFonts w:ascii="宋体" w:hAnsi="宋体" w:cs="宋体"/>
          <w:bCs/>
          <w:sz w:val="28"/>
          <w:szCs w:val="28"/>
        </w:rPr>
      </w:pPr>
      <w:r>
        <w:rPr>
          <w:rFonts w:hint="eastAsia" w:ascii="黑体" w:hAnsi="黑体" w:eastAsia="黑体" w:cs="黑体"/>
          <w:bCs/>
          <w:sz w:val="36"/>
          <w:szCs w:val="36"/>
        </w:rPr>
        <w:t>招标文件更正确认函</w:t>
      </w:r>
    </w:p>
    <w:p>
      <w:pPr>
        <w:spacing w:line="560" w:lineRule="exact"/>
        <w:rPr>
          <w:rFonts w:ascii="宋体" w:hAnsi="宋体" w:cs="宋体"/>
          <w:bCs/>
          <w:sz w:val="28"/>
          <w:szCs w:val="28"/>
        </w:rPr>
      </w:pPr>
      <w:r>
        <w:rPr>
          <w:rFonts w:hint="eastAsia" w:ascii="宋体" w:hAnsi="宋体" w:cs="宋体"/>
          <w:bCs/>
          <w:sz w:val="28"/>
          <w:szCs w:val="28"/>
          <w:u w:val="single"/>
        </w:rPr>
        <w:t>（采购机构名称）</w:t>
      </w:r>
      <w:r>
        <w:rPr>
          <w:rFonts w:hint="eastAsia" w:ascii="宋体" w:hAnsi="宋体" w:cs="宋体"/>
          <w:bCs/>
          <w:sz w:val="28"/>
          <w:szCs w:val="28"/>
        </w:rPr>
        <w:t>：</w:t>
      </w:r>
    </w:p>
    <w:p>
      <w:pPr>
        <w:spacing w:line="560" w:lineRule="exact"/>
        <w:ind w:firstLine="560" w:firstLineChars="200"/>
        <w:rPr>
          <w:rFonts w:ascii="宋体" w:hAnsi="宋体" w:cs="宋体"/>
          <w:bCs/>
          <w:sz w:val="28"/>
          <w:szCs w:val="28"/>
        </w:rPr>
      </w:pPr>
      <w:r>
        <w:rPr>
          <w:rFonts w:hint="eastAsia" w:ascii="宋体" w:hAnsi="宋体" w:cs="宋体"/>
          <w:bCs/>
          <w:sz w:val="28"/>
          <w:szCs w:val="28"/>
        </w:rPr>
        <w:t>我单位对</w:t>
      </w:r>
      <w:r>
        <w:rPr>
          <w:rFonts w:hint="eastAsia" w:ascii="宋体" w:hAnsi="宋体" w:cs="宋体"/>
          <w:bCs/>
          <w:sz w:val="28"/>
          <w:szCs w:val="28"/>
          <w:u w:val="single"/>
        </w:rPr>
        <w:t xml:space="preserve">        </w:t>
      </w:r>
      <w:r>
        <w:rPr>
          <w:rFonts w:hint="eastAsia" w:ascii="宋体" w:hAnsi="宋体" w:cs="宋体"/>
          <w:bCs/>
          <w:sz w:val="28"/>
          <w:szCs w:val="28"/>
        </w:rPr>
        <w:t>采购项目（项目编号：</w:t>
      </w:r>
      <w:r>
        <w:rPr>
          <w:rFonts w:hint="eastAsia" w:ascii="宋体" w:hAnsi="宋体" w:cs="宋体"/>
          <w:bCs/>
          <w:sz w:val="28"/>
          <w:szCs w:val="28"/>
          <w:u w:val="single"/>
        </w:rPr>
        <w:t xml:space="preserve">      </w:t>
      </w:r>
      <w:r>
        <w:rPr>
          <w:rFonts w:hint="eastAsia" w:ascii="宋体" w:hAnsi="宋体" w:cs="宋体"/>
          <w:bCs/>
          <w:sz w:val="28"/>
          <w:szCs w:val="28"/>
        </w:rPr>
        <w:t>）的招标文件更正信息已收悉。</w:t>
      </w:r>
    </w:p>
    <w:p>
      <w:pPr>
        <w:spacing w:line="560" w:lineRule="exact"/>
        <w:rPr>
          <w:rFonts w:ascii="宋体" w:hAnsi="宋体" w:cs="宋体"/>
          <w:bCs/>
          <w:sz w:val="28"/>
          <w:szCs w:val="28"/>
        </w:rPr>
      </w:pPr>
    </w:p>
    <w:p>
      <w:pPr>
        <w:spacing w:line="560" w:lineRule="exact"/>
        <w:rPr>
          <w:rFonts w:ascii="宋体" w:hAnsi="宋体" w:cs="宋体"/>
          <w:bCs/>
          <w:sz w:val="28"/>
          <w:szCs w:val="28"/>
        </w:rPr>
      </w:pPr>
    </w:p>
    <w:p>
      <w:pPr>
        <w:spacing w:line="560" w:lineRule="exact"/>
        <w:rPr>
          <w:rFonts w:ascii="宋体" w:hAnsi="宋体" w:cs="宋体"/>
          <w:bCs/>
          <w:sz w:val="28"/>
          <w:szCs w:val="28"/>
        </w:rPr>
      </w:pPr>
    </w:p>
    <w:p>
      <w:pPr>
        <w:spacing w:line="560" w:lineRule="exact"/>
        <w:rPr>
          <w:rFonts w:ascii="宋体" w:hAnsi="宋体" w:cs="宋体"/>
          <w:bCs/>
          <w:sz w:val="28"/>
          <w:szCs w:val="28"/>
        </w:rPr>
      </w:pPr>
    </w:p>
    <w:p>
      <w:pPr>
        <w:spacing w:line="560" w:lineRule="exact"/>
        <w:ind w:firstLine="3640" w:firstLineChars="1300"/>
        <w:rPr>
          <w:rFonts w:ascii="宋体" w:hAnsi="宋体" w:cs="宋体"/>
          <w:bCs/>
          <w:sz w:val="28"/>
          <w:szCs w:val="28"/>
          <w:lang w:val="zh-CN"/>
        </w:rPr>
      </w:pPr>
      <w:r>
        <w:rPr>
          <w:rFonts w:hint="eastAsia" w:ascii="宋体" w:hAnsi="宋体" w:cs="宋体"/>
          <w:bCs/>
          <w:sz w:val="28"/>
          <w:szCs w:val="28"/>
          <w:lang w:val="zh-CN"/>
        </w:rPr>
        <w:t>投标供应商全称：（盖章）</w:t>
      </w:r>
    </w:p>
    <w:p>
      <w:pPr>
        <w:spacing w:line="560" w:lineRule="exact"/>
        <w:ind w:firstLine="3640" w:firstLineChars="1300"/>
        <w:rPr>
          <w:rFonts w:ascii="宋体" w:hAnsi="宋体" w:cs="宋体"/>
          <w:bCs/>
          <w:sz w:val="28"/>
          <w:szCs w:val="28"/>
          <w:lang w:val="zh-CN"/>
        </w:rPr>
      </w:pPr>
      <w:r>
        <w:rPr>
          <w:rFonts w:hint="eastAsia" w:ascii="宋体" w:hAnsi="宋体" w:cs="宋体"/>
          <w:bCs/>
          <w:sz w:val="28"/>
          <w:szCs w:val="28"/>
          <w:lang w:val="zh-CN"/>
        </w:rPr>
        <w:t>法定代表人（或授权代表）：（签字）</w:t>
      </w:r>
    </w:p>
    <w:p>
      <w:pPr>
        <w:spacing w:line="560" w:lineRule="exact"/>
        <w:ind w:firstLine="6160" w:firstLineChars="2200"/>
        <w:rPr>
          <w:rFonts w:ascii="宋体" w:hAnsi="宋体" w:cs="宋体"/>
          <w:bCs/>
          <w:sz w:val="28"/>
          <w:szCs w:val="28"/>
          <w:lang w:val="zh-CN"/>
        </w:rPr>
      </w:pPr>
      <w:r>
        <w:rPr>
          <w:rFonts w:hint="eastAsia" w:ascii="宋体" w:hAnsi="宋体" w:cs="宋体"/>
          <w:bCs/>
          <w:sz w:val="28"/>
          <w:szCs w:val="28"/>
          <w:u w:val="single"/>
        </w:rPr>
        <w:t xml:space="preserve">   </w:t>
      </w:r>
      <w:r>
        <w:rPr>
          <w:rFonts w:hint="eastAsia" w:ascii="宋体" w:hAnsi="宋体" w:cs="宋体"/>
          <w:bCs/>
          <w:sz w:val="28"/>
          <w:szCs w:val="28"/>
        </w:rPr>
        <w:t>年</w:t>
      </w:r>
      <w:r>
        <w:rPr>
          <w:rFonts w:hint="eastAsia" w:ascii="宋体" w:hAnsi="宋体" w:cs="宋体"/>
          <w:bCs/>
          <w:sz w:val="28"/>
          <w:szCs w:val="28"/>
          <w:u w:val="single"/>
        </w:rPr>
        <w:t xml:space="preserve">   </w:t>
      </w:r>
      <w:r>
        <w:rPr>
          <w:rFonts w:hint="eastAsia" w:ascii="宋体" w:hAnsi="宋体" w:cs="宋体"/>
          <w:bCs/>
          <w:sz w:val="28"/>
          <w:szCs w:val="28"/>
        </w:rPr>
        <w:t>月</w:t>
      </w:r>
      <w:r>
        <w:rPr>
          <w:rFonts w:hint="eastAsia" w:ascii="宋体" w:hAnsi="宋体" w:cs="宋体"/>
          <w:bCs/>
          <w:sz w:val="28"/>
          <w:szCs w:val="28"/>
          <w:u w:val="single"/>
        </w:rPr>
        <w:t xml:space="preserve">   </w:t>
      </w:r>
      <w:r>
        <w:rPr>
          <w:rFonts w:hint="eastAsia" w:ascii="宋体" w:hAnsi="宋体" w:cs="宋体"/>
          <w:bCs/>
          <w:sz w:val="28"/>
          <w:szCs w:val="28"/>
        </w:rPr>
        <w:t>日</w:t>
      </w:r>
    </w:p>
    <w:p>
      <w:pPr>
        <w:spacing w:line="560" w:lineRule="exact"/>
        <w:ind w:firstLine="624"/>
        <w:rPr>
          <w:rFonts w:ascii="仿宋_GB2312" w:cs="宋体"/>
          <w:bCs/>
          <w:szCs w:val="32"/>
        </w:rPr>
      </w:pPr>
    </w:p>
    <w:p>
      <w:pPr>
        <w:pStyle w:val="4"/>
        <w:spacing w:before="120" w:beforeLines="50" w:after="120" w:afterLines="50" w:line="560" w:lineRule="exact"/>
        <w:rPr>
          <w:rFonts w:cs="宋体" w:asciiTheme="minorEastAsia" w:hAnsiTheme="minorEastAsia" w:eastAsiaTheme="minorEastAsia"/>
          <w:b w:val="0"/>
          <w:sz w:val="28"/>
          <w:szCs w:val="28"/>
        </w:rPr>
      </w:pPr>
      <w:r>
        <w:rPr>
          <w:b w:val="0"/>
        </w:rPr>
        <w:br w:type="page"/>
      </w:r>
      <w:bookmarkStart w:id="225" w:name="_Toc132190606"/>
      <w:bookmarkStart w:id="226" w:name="_Toc21635"/>
      <w:bookmarkStart w:id="227" w:name="_Toc20737"/>
      <w:bookmarkStart w:id="228" w:name="_Toc9904"/>
      <w:bookmarkStart w:id="229" w:name="_Toc3566"/>
      <w:r>
        <w:rPr>
          <w:rFonts w:hint="eastAsia" w:ascii="黑体" w:hAnsi="黑体" w:cs="黑体"/>
          <w:b w:val="0"/>
          <w:sz w:val="28"/>
          <w:szCs w:val="28"/>
        </w:rPr>
        <w:t>附页2 质疑函（格式）</w:t>
      </w:r>
      <w:bookmarkEnd w:id="225"/>
      <w:bookmarkEnd w:id="226"/>
      <w:bookmarkEnd w:id="227"/>
      <w:bookmarkEnd w:id="228"/>
      <w:bookmarkEnd w:id="229"/>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质  疑  函</w:t>
      </w:r>
    </w:p>
    <w:p>
      <w:pPr>
        <w:spacing w:line="560" w:lineRule="exact"/>
        <w:ind w:firstLine="560" w:firstLineChars="200"/>
        <w:rPr>
          <w:kern w:val="0"/>
          <w:sz w:val="28"/>
          <w:szCs w:val="28"/>
        </w:rPr>
      </w:pPr>
      <w:bookmarkStart w:id="230" w:name="_Toc30926"/>
      <w:bookmarkStart w:id="231" w:name="_Toc6068"/>
      <w:bookmarkStart w:id="232" w:name="_Toc15296"/>
      <w:bookmarkStart w:id="233" w:name="_Toc28425"/>
      <w:r>
        <w:rPr>
          <w:rFonts w:hint="eastAsia"/>
          <w:kern w:val="0"/>
          <w:sz w:val="28"/>
          <w:szCs w:val="28"/>
        </w:rPr>
        <w:t>质疑供应商名称：</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通讯地址：</w:t>
      </w:r>
      <w:r>
        <w:rPr>
          <w:rFonts w:ascii="仿宋_GB2312"/>
          <w:sz w:val="28"/>
          <w:szCs w:val="28"/>
          <w:u w:val="single"/>
        </w:rPr>
        <w:t xml:space="preserve">                                          </w:t>
      </w:r>
      <w:r>
        <w:rPr>
          <w:kern w:val="0"/>
          <w:sz w:val="28"/>
          <w:szCs w:val="28"/>
        </w:rPr>
        <w:t xml:space="preserve">     </w:t>
      </w:r>
    </w:p>
    <w:p>
      <w:pPr>
        <w:spacing w:line="560" w:lineRule="exact"/>
        <w:ind w:firstLine="560" w:firstLineChars="200"/>
        <w:rPr>
          <w:kern w:val="0"/>
          <w:sz w:val="28"/>
          <w:szCs w:val="28"/>
        </w:rPr>
      </w:pPr>
      <w:r>
        <w:rPr>
          <w:rFonts w:hint="eastAsia"/>
          <w:kern w:val="0"/>
          <w:sz w:val="28"/>
          <w:szCs w:val="28"/>
        </w:rPr>
        <w:t>法定代表人：</w:t>
      </w:r>
      <w:r>
        <w:rPr>
          <w:rFonts w:ascii="仿宋_GB2312"/>
          <w:sz w:val="28"/>
          <w:szCs w:val="28"/>
          <w:u w:val="single"/>
        </w:rPr>
        <w:t xml:space="preserve">                   </w:t>
      </w:r>
      <w:r>
        <w:rPr>
          <w:rFonts w:hint="eastAsia"/>
          <w:kern w:val="0"/>
          <w:sz w:val="28"/>
          <w:szCs w:val="28"/>
        </w:rPr>
        <w:t>联系电话：</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授权代表：</w:t>
      </w:r>
      <w:r>
        <w:rPr>
          <w:rFonts w:ascii="仿宋_GB2312"/>
          <w:sz w:val="28"/>
          <w:szCs w:val="28"/>
          <w:u w:val="single"/>
        </w:rPr>
        <w:t xml:space="preserve">                     </w:t>
      </w:r>
      <w:r>
        <w:rPr>
          <w:rFonts w:hint="eastAsia"/>
          <w:kern w:val="0"/>
          <w:sz w:val="28"/>
          <w:szCs w:val="28"/>
        </w:rPr>
        <w:t>联系电话：</w:t>
      </w:r>
      <w:r>
        <w:rPr>
          <w:rFonts w:ascii="仿宋_GB2312"/>
          <w:sz w:val="28"/>
          <w:szCs w:val="28"/>
          <w:u w:val="single"/>
        </w:rPr>
        <w:t xml:space="preserve">           </w:t>
      </w:r>
    </w:p>
    <w:p>
      <w:pPr>
        <w:spacing w:before="240" w:beforeLines="100" w:line="560" w:lineRule="exact"/>
        <w:rPr>
          <w:rFonts w:ascii="宋体" w:hAnsi="宋体"/>
          <w:kern w:val="0"/>
          <w:sz w:val="28"/>
          <w:szCs w:val="28"/>
        </w:rPr>
      </w:pPr>
      <w:r>
        <w:rPr>
          <w:rFonts w:hint="eastAsia" w:ascii="宋体" w:hAnsi="宋体"/>
          <w:kern w:val="0"/>
          <w:sz w:val="28"/>
          <w:szCs w:val="28"/>
          <w:u w:val="single"/>
        </w:rPr>
        <w:t>（质疑受理单位名称）</w:t>
      </w:r>
      <w:r>
        <w:rPr>
          <w:rFonts w:hint="eastAsia" w:ascii="宋体" w:hAnsi="宋体"/>
          <w:kern w:val="0"/>
          <w:sz w:val="28"/>
          <w:szCs w:val="28"/>
        </w:rPr>
        <w:t>：</w:t>
      </w:r>
    </w:p>
    <w:p>
      <w:pPr>
        <w:spacing w:line="560" w:lineRule="exact"/>
        <w:ind w:firstLine="560" w:firstLineChars="200"/>
        <w:rPr>
          <w:rFonts w:ascii="宋体" w:hAnsi="宋体"/>
          <w:kern w:val="0"/>
          <w:sz w:val="28"/>
          <w:szCs w:val="28"/>
        </w:rPr>
      </w:pPr>
      <w:r>
        <w:rPr>
          <w:rFonts w:hint="eastAsia" w:ascii="宋体" w:hAnsi="宋体"/>
          <w:kern w:val="0"/>
          <w:sz w:val="28"/>
          <w:szCs w:val="28"/>
        </w:rPr>
        <w:t>针对你单位组织的</w:t>
      </w:r>
      <w:r>
        <w:rPr>
          <w:rFonts w:ascii="宋体" w:hAnsi="宋体"/>
          <w:sz w:val="28"/>
          <w:szCs w:val="28"/>
          <w:u w:val="single"/>
        </w:rPr>
        <w:t xml:space="preserve">    </w:t>
      </w:r>
      <w:r>
        <w:rPr>
          <w:rFonts w:hint="eastAsia" w:ascii="宋体" w:hAnsi="宋体"/>
          <w:kern w:val="0"/>
          <w:sz w:val="28"/>
          <w:szCs w:val="28"/>
        </w:rPr>
        <w:t>采购项目（项目编号：</w:t>
      </w:r>
      <w:r>
        <w:rPr>
          <w:rFonts w:ascii="宋体" w:hAnsi="宋体"/>
          <w:sz w:val="28"/>
          <w:szCs w:val="28"/>
          <w:u w:val="single"/>
        </w:rPr>
        <w:t xml:space="preserve">    </w:t>
      </w:r>
      <w:r>
        <w:rPr>
          <w:rFonts w:hint="eastAsia" w:ascii="宋体" w:hAnsi="宋体"/>
          <w:kern w:val="0"/>
          <w:sz w:val="28"/>
          <w:szCs w:val="28"/>
        </w:rPr>
        <w:t>），我单位现就以下问题提出质疑：</w:t>
      </w:r>
    </w:p>
    <w:p>
      <w:pPr>
        <w:spacing w:line="560" w:lineRule="exact"/>
        <w:ind w:firstLine="560" w:firstLineChars="200"/>
        <w:rPr>
          <w:rFonts w:ascii="宋体" w:hAnsi="宋体"/>
          <w:kern w:val="0"/>
          <w:sz w:val="28"/>
          <w:szCs w:val="28"/>
        </w:rPr>
      </w:pPr>
      <w:r>
        <w:rPr>
          <w:rFonts w:hint="eastAsia" w:ascii="宋体" w:hAnsi="宋体"/>
          <w:kern w:val="0"/>
          <w:sz w:val="28"/>
          <w:szCs w:val="28"/>
        </w:rPr>
        <w:t>一、质疑事项和与之相关的请求</w:t>
      </w:r>
    </w:p>
    <w:p>
      <w:pPr>
        <w:spacing w:line="560" w:lineRule="exact"/>
        <w:ind w:firstLine="560" w:firstLineChars="200"/>
        <w:rPr>
          <w:rFonts w:ascii="宋体" w:hAnsi="宋体"/>
          <w:kern w:val="0"/>
          <w:sz w:val="28"/>
          <w:szCs w:val="28"/>
        </w:rPr>
      </w:pPr>
      <w:r>
        <w:rPr>
          <w:rFonts w:hint="eastAsia" w:ascii="宋体" w:hAnsi="宋体"/>
          <w:kern w:val="0"/>
          <w:sz w:val="28"/>
          <w:szCs w:val="28"/>
        </w:rPr>
        <w:t>二、事实依据</w:t>
      </w:r>
    </w:p>
    <w:p>
      <w:pPr>
        <w:spacing w:line="560" w:lineRule="exact"/>
        <w:ind w:firstLine="560" w:firstLineChars="200"/>
        <w:rPr>
          <w:rFonts w:ascii="宋体" w:hAnsi="宋体"/>
          <w:kern w:val="0"/>
          <w:sz w:val="28"/>
          <w:szCs w:val="28"/>
        </w:rPr>
      </w:pPr>
      <w:r>
        <w:rPr>
          <w:rFonts w:hint="eastAsia" w:ascii="宋体" w:hAnsi="宋体"/>
          <w:kern w:val="0"/>
          <w:sz w:val="28"/>
          <w:szCs w:val="28"/>
        </w:rPr>
        <w:t>三、法律依据</w:t>
      </w:r>
    </w:p>
    <w:p>
      <w:pPr>
        <w:spacing w:line="560" w:lineRule="exact"/>
        <w:ind w:firstLine="560" w:firstLineChars="200"/>
        <w:rPr>
          <w:rFonts w:ascii="宋体" w:hAnsi="宋体"/>
          <w:kern w:val="0"/>
          <w:sz w:val="28"/>
          <w:szCs w:val="28"/>
        </w:rPr>
      </w:pPr>
      <w:r>
        <w:rPr>
          <w:rFonts w:hint="eastAsia" w:ascii="宋体" w:hAnsi="宋体"/>
          <w:kern w:val="0"/>
          <w:sz w:val="28"/>
          <w:szCs w:val="28"/>
        </w:rPr>
        <w:t>……</w:t>
      </w:r>
    </w:p>
    <w:p>
      <w:pPr>
        <w:spacing w:line="560" w:lineRule="exact"/>
        <w:ind w:firstLine="560" w:firstLineChars="200"/>
        <w:rPr>
          <w:rFonts w:ascii="宋体" w:hAnsi="宋体"/>
          <w:kern w:val="0"/>
          <w:sz w:val="28"/>
          <w:szCs w:val="28"/>
        </w:rPr>
      </w:pPr>
    </w:p>
    <w:p>
      <w:pPr>
        <w:spacing w:line="560" w:lineRule="exact"/>
        <w:ind w:firstLine="560" w:firstLineChars="200"/>
        <w:rPr>
          <w:rFonts w:ascii="宋体" w:hAnsi="宋体"/>
          <w:kern w:val="0"/>
          <w:sz w:val="28"/>
          <w:szCs w:val="28"/>
        </w:rPr>
      </w:pPr>
    </w:p>
    <w:p>
      <w:pPr>
        <w:spacing w:line="560" w:lineRule="exact"/>
        <w:ind w:firstLine="560" w:firstLineChars="200"/>
        <w:rPr>
          <w:rFonts w:ascii="宋体" w:hAnsi="宋体"/>
          <w:kern w:val="0"/>
          <w:sz w:val="28"/>
          <w:szCs w:val="28"/>
        </w:rPr>
      </w:pPr>
    </w:p>
    <w:p>
      <w:pPr>
        <w:spacing w:line="560" w:lineRule="exact"/>
        <w:ind w:firstLine="560" w:firstLineChars="200"/>
        <w:rPr>
          <w:rFonts w:ascii="宋体" w:hAnsi="宋体"/>
          <w:kern w:val="0"/>
          <w:sz w:val="28"/>
          <w:szCs w:val="28"/>
        </w:rPr>
      </w:pPr>
    </w:p>
    <w:p>
      <w:pPr>
        <w:spacing w:line="560" w:lineRule="exact"/>
        <w:ind w:firstLine="4592" w:firstLineChars="1640"/>
        <w:rPr>
          <w:rFonts w:ascii="宋体" w:hAnsi="宋体"/>
          <w:kern w:val="0"/>
          <w:sz w:val="28"/>
          <w:szCs w:val="28"/>
        </w:rPr>
      </w:pPr>
      <w:r>
        <w:rPr>
          <w:rFonts w:hint="eastAsia" w:ascii="宋体" w:hAnsi="宋体"/>
          <w:kern w:val="0"/>
          <w:sz w:val="28"/>
          <w:szCs w:val="28"/>
        </w:rPr>
        <w:t>质疑供应商名称：（盖章）</w:t>
      </w:r>
    </w:p>
    <w:p>
      <w:pPr>
        <w:spacing w:line="560" w:lineRule="exact"/>
        <w:ind w:firstLine="560" w:firstLineChars="200"/>
        <w:jc w:val="right"/>
        <w:rPr>
          <w:rFonts w:ascii="宋体" w:hAnsi="宋体"/>
          <w:kern w:val="0"/>
          <w:sz w:val="28"/>
          <w:szCs w:val="28"/>
        </w:rPr>
      </w:pPr>
      <w:r>
        <w:rPr>
          <w:rFonts w:hint="eastAsia" w:ascii="宋体" w:hAnsi="宋体"/>
          <w:kern w:val="0"/>
          <w:sz w:val="28"/>
          <w:szCs w:val="28"/>
        </w:rPr>
        <w:t xml:space="preserve">         法定代表人（或授权代表）：（签字）</w:t>
      </w:r>
    </w:p>
    <w:p>
      <w:pPr>
        <w:spacing w:line="560" w:lineRule="exact"/>
        <w:ind w:firstLine="560" w:firstLineChars="200"/>
        <w:jc w:val="right"/>
        <w:rPr>
          <w:rFonts w:ascii="宋体" w:hAnsi="宋体"/>
          <w:kern w:val="0"/>
          <w:sz w:val="28"/>
          <w:szCs w:val="28"/>
        </w:rPr>
      </w:pPr>
      <w:r>
        <w:rPr>
          <w:rFonts w:hint="eastAsia" w:ascii="宋体" w:hAnsi="宋体"/>
          <w:sz w:val="28"/>
          <w:szCs w:val="28"/>
        </w:rPr>
        <w:t xml:space="preserve">       </w:t>
      </w:r>
      <w:r>
        <w:rPr>
          <w:rFonts w:ascii="宋体" w:hAnsi="宋体"/>
          <w:sz w:val="28"/>
          <w:szCs w:val="28"/>
          <w:u w:val="single"/>
        </w:rPr>
        <w:t xml:space="preserve">    </w:t>
      </w:r>
      <w:r>
        <w:rPr>
          <w:rFonts w:hint="eastAsia" w:ascii="宋体" w:hAnsi="宋体"/>
          <w:kern w:val="0"/>
          <w:sz w:val="28"/>
          <w:szCs w:val="28"/>
        </w:rPr>
        <w:t>年</w:t>
      </w:r>
      <w:r>
        <w:rPr>
          <w:rFonts w:ascii="宋体" w:hAnsi="宋体"/>
          <w:sz w:val="28"/>
          <w:szCs w:val="28"/>
          <w:u w:val="single"/>
        </w:rPr>
        <w:t xml:space="preserve">    </w:t>
      </w:r>
      <w:r>
        <w:rPr>
          <w:rFonts w:hint="eastAsia" w:ascii="宋体" w:hAnsi="宋体"/>
          <w:kern w:val="0"/>
          <w:sz w:val="28"/>
          <w:szCs w:val="28"/>
        </w:rPr>
        <w:t>月</w:t>
      </w:r>
      <w:r>
        <w:rPr>
          <w:rFonts w:ascii="宋体" w:hAnsi="宋体"/>
          <w:sz w:val="28"/>
          <w:szCs w:val="28"/>
          <w:u w:val="single"/>
        </w:rPr>
        <w:t xml:space="preserve">    </w:t>
      </w:r>
      <w:r>
        <w:rPr>
          <w:rFonts w:hint="eastAsia" w:ascii="宋体" w:hAnsi="宋体"/>
          <w:kern w:val="0"/>
          <w:sz w:val="28"/>
          <w:szCs w:val="28"/>
        </w:rPr>
        <w:t>日</w:t>
      </w:r>
    </w:p>
    <w:p>
      <w:pPr>
        <w:widowControl/>
        <w:jc w:val="left"/>
        <w:rPr>
          <w:rFonts w:ascii="黑体" w:hAnsi="黑体" w:eastAsia="黑体" w:cs="黑体"/>
          <w:bCs/>
          <w:sz w:val="28"/>
          <w:szCs w:val="28"/>
        </w:rPr>
      </w:pPr>
      <w:r>
        <w:rPr>
          <w:rFonts w:ascii="黑体" w:hAnsi="黑体" w:cs="黑体"/>
          <w:b/>
          <w:sz w:val="28"/>
          <w:szCs w:val="28"/>
        </w:rPr>
        <w:br w:type="page"/>
      </w:r>
    </w:p>
    <w:p>
      <w:pPr>
        <w:pStyle w:val="4"/>
        <w:spacing w:before="120" w:beforeLines="50" w:after="120" w:afterLines="50" w:line="560" w:lineRule="exact"/>
        <w:rPr>
          <w:rFonts w:cs="宋体" w:asciiTheme="minorEastAsia" w:hAnsiTheme="minorEastAsia" w:eastAsiaTheme="minorEastAsia"/>
          <w:b w:val="0"/>
          <w:sz w:val="28"/>
          <w:szCs w:val="28"/>
        </w:rPr>
      </w:pPr>
      <w:bookmarkStart w:id="234" w:name="_Toc132190607"/>
      <w:r>
        <w:rPr>
          <w:rFonts w:hint="eastAsia" w:ascii="黑体" w:hAnsi="黑体" w:cs="黑体"/>
          <w:b w:val="0"/>
          <w:sz w:val="28"/>
          <w:szCs w:val="28"/>
        </w:rPr>
        <w:t>附页3 投诉书（格式）</w:t>
      </w:r>
      <w:bookmarkEnd w:id="230"/>
      <w:bookmarkEnd w:id="231"/>
      <w:bookmarkEnd w:id="232"/>
      <w:bookmarkEnd w:id="233"/>
      <w:bookmarkEnd w:id="234"/>
    </w:p>
    <w:p>
      <w:pPr>
        <w:spacing w:before="120" w:beforeLines="50" w:after="120" w:afterLines="50" w:line="560" w:lineRule="exact"/>
        <w:ind w:firstLine="640" w:firstLineChars="200"/>
        <w:jc w:val="right"/>
        <w:rPr>
          <w:rFonts w:ascii="黑体" w:eastAsia="黑体" w:cs="宋体"/>
          <w:bCs/>
          <w:sz w:val="36"/>
          <w:szCs w:val="36"/>
        </w:rPr>
      </w:pPr>
      <w:r>
        <w:rPr>
          <w:rFonts w:hint="eastAsia" w:ascii="黑体" w:eastAsia="黑体" w:cs="宋体"/>
          <w:bCs/>
          <w:sz w:val="32"/>
          <w:szCs w:val="32"/>
        </w:rPr>
        <w:t>正</w:t>
      </w:r>
      <w:r>
        <w:rPr>
          <w:rFonts w:ascii="黑体" w:eastAsia="黑体" w:cs="宋体"/>
          <w:bCs/>
          <w:sz w:val="32"/>
          <w:szCs w:val="32"/>
        </w:rPr>
        <w:t xml:space="preserve">  </w:t>
      </w:r>
      <w:r>
        <w:rPr>
          <w:rFonts w:hint="eastAsia" w:ascii="黑体" w:eastAsia="黑体" w:cs="宋体"/>
          <w:bCs/>
          <w:sz w:val="32"/>
          <w:szCs w:val="32"/>
        </w:rPr>
        <w:t>本</w:t>
      </w:r>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投  诉  书</w:t>
      </w:r>
    </w:p>
    <w:p>
      <w:pPr>
        <w:spacing w:line="560" w:lineRule="exact"/>
        <w:ind w:firstLine="560" w:firstLineChars="200"/>
        <w:rPr>
          <w:kern w:val="0"/>
          <w:sz w:val="28"/>
          <w:szCs w:val="28"/>
        </w:rPr>
      </w:pPr>
      <w:r>
        <w:rPr>
          <w:rFonts w:hint="eastAsia"/>
          <w:kern w:val="0"/>
          <w:sz w:val="28"/>
          <w:szCs w:val="28"/>
        </w:rPr>
        <w:t>投诉人名称：</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通讯地址：</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法定代表人：</w:t>
      </w:r>
      <w:r>
        <w:rPr>
          <w:rFonts w:ascii="仿宋_GB2312"/>
          <w:sz w:val="28"/>
          <w:szCs w:val="28"/>
          <w:u w:val="single"/>
        </w:rPr>
        <w:t xml:space="preserve">                   </w:t>
      </w:r>
      <w:r>
        <w:rPr>
          <w:rFonts w:hint="eastAsia"/>
          <w:kern w:val="0"/>
          <w:sz w:val="28"/>
          <w:szCs w:val="28"/>
        </w:rPr>
        <w:t>联系电话：</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授权代表：</w:t>
      </w:r>
      <w:r>
        <w:rPr>
          <w:rFonts w:ascii="仿宋_GB2312"/>
          <w:sz w:val="28"/>
          <w:szCs w:val="28"/>
          <w:u w:val="single"/>
        </w:rPr>
        <w:t xml:space="preserve">                     </w:t>
      </w:r>
      <w:r>
        <w:rPr>
          <w:rFonts w:hint="eastAsia"/>
          <w:kern w:val="0"/>
          <w:sz w:val="28"/>
          <w:szCs w:val="28"/>
        </w:rPr>
        <w:t>联系电话：</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被投诉人名称：</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通讯地址：</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联系人：</w:t>
      </w:r>
      <w:r>
        <w:rPr>
          <w:rFonts w:ascii="仿宋_GB2312"/>
          <w:sz w:val="28"/>
          <w:szCs w:val="28"/>
          <w:u w:val="single"/>
        </w:rPr>
        <w:t xml:space="preserve">                    </w:t>
      </w:r>
      <w:r>
        <w:rPr>
          <w:kern w:val="0"/>
          <w:sz w:val="28"/>
          <w:szCs w:val="28"/>
        </w:rPr>
        <w:t xml:space="preserve">   </w:t>
      </w:r>
      <w:r>
        <w:rPr>
          <w:rFonts w:hint="eastAsia"/>
          <w:kern w:val="0"/>
          <w:sz w:val="28"/>
          <w:szCs w:val="28"/>
        </w:rPr>
        <w:t>联系电话：</w:t>
      </w:r>
      <w:r>
        <w:rPr>
          <w:rFonts w:ascii="仿宋_GB2312"/>
          <w:sz w:val="28"/>
          <w:szCs w:val="28"/>
          <w:u w:val="single"/>
        </w:rPr>
        <w:t xml:space="preserve">         </w:t>
      </w:r>
    </w:p>
    <w:p>
      <w:pPr>
        <w:spacing w:before="240" w:beforeLines="100" w:line="560" w:lineRule="exact"/>
        <w:rPr>
          <w:rFonts w:ascii="宋体" w:hAnsi="宋体"/>
          <w:kern w:val="0"/>
          <w:sz w:val="28"/>
          <w:szCs w:val="28"/>
        </w:rPr>
      </w:pPr>
      <w:r>
        <w:rPr>
          <w:rFonts w:hint="eastAsia" w:ascii="宋体" w:hAnsi="宋体"/>
          <w:kern w:val="0"/>
          <w:sz w:val="28"/>
          <w:szCs w:val="28"/>
          <w:u w:val="single"/>
        </w:rPr>
        <w:t>（投诉受理部门名称）</w:t>
      </w:r>
      <w:r>
        <w:rPr>
          <w:rFonts w:hint="eastAsia" w:ascii="宋体" w:hAnsi="宋体"/>
          <w:kern w:val="0"/>
          <w:sz w:val="28"/>
          <w:szCs w:val="28"/>
        </w:rPr>
        <w:t>：</w:t>
      </w:r>
    </w:p>
    <w:p>
      <w:pPr>
        <w:spacing w:line="560" w:lineRule="exact"/>
        <w:ind w:firstLine="560" w:firstLineChars="200"/>
        <w:rPr>
          <w:rFonts w:ascii="宋体" w:hAnsi="宋体"/>
          <w:kern w:val="0"/>
          <w:sz w:val="28"/>
          <w:szCs w:val="28"/>
        </w:rPr>
      </w:pPr>
      <w:r>
        <w:rPr>
          <w:rFonts w:hint="eastAsia" w:ascii="宋体" w:hAnsi="宋体"/>
          <w:kern w:val="0"/>
          <w:sz w:val="28"/>
          <w:szCs w:val="28"/>
        </w:rPr>
        <w:t>针对</w:t>
      </w:r>
      <w:r>
        <w:rPr>
          <w:rFonts w:hint="eastAsia" w:ascii="宋体" w:hAnsi="宋体"/>
          <w:kern w:val="0"/>
          <w:sz w:val="28"/>
          <w:szCs w:val="28"/>
          <w:u w:val="single"/>
        </w:rPr>
        <w:t>（质疑受理单位</w:t>
      </w:r>
      <w:r>
        <w:rPr>
          <w:rFonts w:hint="eastAsia" w:ascii="宋体" w:hAnsi="宋体"/>
          <w:sz w:val="28"/>
          <w:szCs w:val="28"/>
          <w:u w:val="single"/>
        </w:rPr>
        <w:t>名称）</w:t>
      </w:r>
      <w:r>
        <w:rPr>
          <w:rFonts w:hint="eastAsia" w:ascii="宋体" w:hAnsi="宋体"/>
          <w:kern w:val="0"/>
          <w:sz w:val="28"/>
          <w:szCs w:val="28"/>
        </w:rPr>
        <w:t>组织的</w:t>
      </w:r>
      <w:r>
        <w:rPr>
          <w:rFonts w:ascii="宋体" w:hAnsi="宋体"/>
          <w:sz w:val="28"/>
          <w:szCs w:val="28"/>
          <w:u w:val="single"/>
        </w:rPr>
        <w:t xml:space="preserve">    </w:t>
      </w:r>
      <w:r>
        <w:rPr>
          <w:rFonts w:hint="eastAsia" w:ascii="宋体" w:hAnsi="宋体"/>
          <w:kern w:val="0"/>
          <w:sz w:val="28"/>
          <w:szCs w:val="28"/>
        </w:rPr>
        <w:t>采购项目（项目编号：</w:t>
      </w:r>
      <w:r>
        <w:rPr>
          <w:rFonts w:ascii="宋体" w:hAnsi="宋体"/>
          <w:sz w:val="28"/>
          <w:szCs w:val="28"/>
          <w:u w:val="single"/>
        </w:rPr>
        <w:t xml:space="preserve">    </w:t>
      </w:r>
      <w:r>
        <w:rPr>
          <w:rFonts w:hint="eastAsia" w:ascii="宋体" w:hAnsi="宋体"/>
          <w:kern w:val="0"/>
          <w:sz w:val="28"/>
          <w:szCs w:val="28"/>
        </w:rPr>
        <w:t>），我</w:t>
      </w:r>
      <w:r>
        <w:rPr>
          <w:rFonts w:hint="eastAsia" w:ascii="宋体" w:hAnsi="宋体"/>
          <w:sz w:val="28"/>
          <w:szCs w:val="28"/>
        </w:rPr>
        <w:t>单位</w:t>
      </w:r>
      <w:r>
        <w:rPr>
          <w:rFonts w:hint="eastAsia" w:ascii="宋体" w:hAnsi="宋体"/>
          <w:kern w:val="0"/>
          <w:sz w:val="28"/>
          <w:szCs w:val="28"/>
        </w:rPr>
        <w:t>现就以下问题提起投诉：</w:t>
      </w:r>
    </w:p>
    <w:p>
      <w:pPr>
        <w:spacing w:line="560" w:lineRule="exact"/>
        <w:ind w:firstLine="560" w:firstLineChars="200"/>
        <w:rPr>
          <w:rFonts w:ascii="宋体" w:hAnsi="宋体"/>
          <w:kern w:val="0"/>
          <w:sz w:val="28"/>
          <w:szCs w:val="28"/>
        </w:rPr>
      </w:pPr>
      <w:r>
        <w:rPr>
          <w:rFonts w:hint="eastAsia" w:ascii="宋体" w:hAnsi="宋体"/>
          <w:kern w:val="0"/>
          <w:sz w:val="28"/>
          <w:szCs w:val="28"/>
        </w:rPr>
        <w:t>一、投诉事项和与投诉事项相关的请求</w:t>
      </w:r>
    </w:p>
    <w:p>
      <w:pPr>
        <w:spacing w:line="560" w:lineRule="exact"/>
        <w:ind w:firstLine="560" w:firstLineChars="200"/>
        <w:rPr>
          <w:rFonts w:ascii="宋体" w:hAnsi="宋体"/>
          <w:kern w:val="0"/>
          <w:sz w:val="28"/>
          <w:szCs w:val="28"/>
        </w:rPr>
      </w:pPr>
      <w:r>
        <w:rPr>
          <w:rFonts w:hint="eastAsia" w:ascii="宋体" w:hAnsi="宋体"/>
          <w:kern w:val="0"/>
          <w:sz w:val="28"/>
          <w:szCs w:val="28"/>
        </w:rPr>
        <w:t>二、事实依据</w:t>
      </w:r>
    </w:p>
    <w:p>
      <w:pPr>
        <w:spacing w:line="560" w:lineRule="exact"/>
        <w:ind w:firstLine="560" w:firstLineChars="200"/>
        <w:rPr>
          <w:rFonts w:ascii="宋体" w:hAnsi="宋体"/>
          <w:kern w:val="0"/>
          <w:sz w:val="28"/>
          <w:szCs w:val="28"/>
        </w:rPr>
      </w:pPr>
      <w:r>
        <w:rPr>
          <w:rFonts w:hint="eastAsia" w:ascii="宋体" w:hAnsi="宋体"/>
          <w:kern w:val="0"/>
          <w:sz w:val="28"/>
          <w:szCs w:val="28"/>
        </w:rPr>
        <w:t>三、法律依据</w:t>
      </w:r>
    </w:p>
    <w:p>
      <w:pPr>
        <w:spacing w:line="560" w:lineRule="exact"/>
        <w:ind w:firstLine="560" w:firstLineChars="200"/>
        <w:rPr>
          <w:rFonts w:ascii="宋体" w:hAnsi="宋体"/>
          <w:kern w:val="0"/>
          <w:sz w:val="28"/>
          <w:szCs w:val="28"/>
        </w:rPr>
      </w:pPr>
      <w:r>
        <w:rPr>
          <w:rFonts w:hint="eastAsia" w:ascii="宋体" w:hAnsi="宋体"/>
          <w:kern w:val="0"/>
          <w:sz w:val="28"/>
          <w:szCs w:val="28"/>
        </w:rPr>
        <w:t>四、质疑和质疑答复情况及相关证明材料</w:t>
      </w:r>
    </w:p>
    <w:p>
      <w:pPr>
        <w:spacing w:line="560" w:lineRule="exact"/>
        <w:ind w:firstLine="560" w:firstLineChars="200"/>
        <w:rPr>
          <w:rFonts w:ascii="宋体" w:hAnsi="宋体"/>
          <w:kern w:val="0"/>
          <w:sz w:val="28"/>
          <w:szCs w:val="28"/>
        </w:rPr>
      </w:pPr>
      <w:r>
        <w:rPr>
          <w:rFonts w:ascii="宋体" w:hAnsi="宋体"/>
          <w:kern w:val="0"/>
          <w:sz w:val="28"/>
          <w:szCs w:val="28"/>
        </w:rPr>
        <w:t>……</w:t>
      </w:r>
    </w:p>
    <w:p>
      <w:pPr>
        <w:spacing w:line="560" w:lineRule="exact"/>
        <w:ind w:firstLine="4606" w:firstLineChars="1645"/>
        <w:rPr>
          <w:rFonts w:ascii="宋体" w:hAnsi="宋体"/>
          <w:kern w:val="0"/>
          <w:sz w:val="28"/>
          <w:szCs w:val="28"/>
        </w:rPr>
      </w:pPr>
      <w:r>
        <w:rPr>
          <w:rFonts w:hint="eastAsia" w:ascii="宋体" w:hAnsi="宋体"/>
          <w:kern w:val="0"/>
          <w:sz w:val="28"/>
          <w:szCs w:val="28"/>
        </w:rPr>
        <w:t>投诉人名称：（盖章）</w:t>
      </w:r>
    </w:p>
    <w:p>
      <w:pPr>
        <w:spacing w:line="560" w:lineRule="exact"/>
        <w:ind w:firstLine="560" w:firstLineChars="200"/>
        <w:jc w:val="right"/>
        <w:rPr>
          <w:rFonts w:ascii="宋体" w:hAnsi="宋体"/>
          <w:kern w:val="0"/>
          <w:sz w:val="28"/>
          <w:szCs w:val="28"/>
        </w:rPr>
      </w:pPr>
      <w:r>
        <w:rPr>
          <w:rFonts w:hint="eastAsia" w:ascii="宋体" w:hAnsi="宋体"/>
          <w:kern w:val="0"/>
          <w:sz w:val="28"/>
          <w:szCs w:val="28"/>
        </w:rPr>
        <w:t xml:space="preserve">        法定代表人（或授权代表）：（签字）</w:t>
      </w:r>
    </w:p>
    <w:p>
      <w:pPr>
        <w:pStyle w:val="22"/>
        <w:adjustRightInd w:val="0"/>
        <w:snapToGrid w:val="0"/>
        <w:spacing w:line="560" w:lineRule="exact"/>
        <w:jc w:val="right"/>
        <w:rPr>
          <w:rFonts w:hAnsi="宋体"/>
          <w:bCs/>
          <w:sz w:val="32"/>
          <w:szCs w:val="32"/>
        </w:rPr>
        <w:sectPr>
          <w:pgSz w:w="11906" w:h="16838"/>
          <w:pgMar w:top="1418" w:right="1134" w:bottom="1418" w:left="1418" w:header="850" w:footer="851" w:gutter="0"/>
          <w:cols w:space="720" w:num="1"/>
        </w:sectPr>
      </w:pPr>
      <w:r>
        <w:rPr>
          <w:rFonts w:hint="eastAsia" w:hAnsi="宋体" w:cs="Times New Roman"/>
          <w:kern w:val="0"/>
          <w:sz w:val="28"/>
          <w:szCs w:val="28"/>
        </w:rPr>
        <w:t xml:space="preserve">    </w:t>
      </w:r>
      <w:r>
        <w:rPr>
          <w:rFonts w:hAnsi="宋体" w:cs="Times New Roman"/>
          <w:sz w:val="28"/>
          <w:szCs w:val="28"/>
          <w:u w:val="single"/>
        </w:rPr>
        <w:t xml:space="preserve">    </w:t>
      </w:r>
      <w:r>
        <w:rPr>
          <w:rFonts w:hint="eastAsia" w:hAnsi="宋体" w:cs="Times New Roman"/>
          <w:kern w:val="0"/>
          <w:sz w:val="28"/>
          <w:szCs w:val="28"/>
        </w:rPr>
        <w:t>年</w:t>
      </w:r>
      <w:r>
        <w:rPr>
          <w:rFonts w:hAnsi="宋体" w:cs="Times New Roman"/>
          <w:sz w:val="28"/>
          <w:szCs w:val="28"/>
          <w:u w:val="single"/>
        </w:rPr>
        <w:t xml:space="preserve">    </w:t>
      </w:r>
      <w:r>
        <w:rPr>
          <w:rFonts w:hint="eastAsia" w:hAnsi="宋体" w:cs="Times New Roman"/>
          <w:kern w:val="0"/>
          <w:sz w:val="28"/>
          <w:szCs w:val="28"/>
        </w:rPr>
        <w:t>月</w:t>
      </w:r>
      <w:r>
        <w:rPr>
          <w:rFonts w:hAnsi="宋体" w:cs="Times New Roman"/>
          <w:sz w:val="28"/>
          <w:szCs w:val="28"/>
          <w:u w:val="single"/>
        </w:rPr>
        <w:t xml:space="preserve">    </w:t>
      </w:r>
      <w:r>
        <w:rPr>
          <w:rFonts w:hint="eastAsia" w:hAnsi="宋体" w:cs="Times New Roman"/>
          <w:kern w:val="0"/>
          <w:sz w:val="28"/>
          <w:szCs w:val="28"/>
        </w:rPr>
        <w:t>日</w:t>
      </w:r>
    </w:p>
    <w:p>
      <w:pPr>
        <w:pStyle w:val="3"/>
        <w:keepNext w:val="0"/>
        <w:keepLines w:val="0"/>
        <w:adjustRightInd w:val="0"/>
        <w:snapToGrid w:val="0"/>
        <w:spacing w:line="560" w:lineRule="exact"/>
        <w:jc w:val="center"/>
        <w:rPr>
          <w:b w:val="0"/>
          <w:szCs w:val="44"/>
          <w:lang w:val="zh-CN"/>
        </w:rPr>
      </w:pPr>
      <w:bookmarkStart w:id="235" w:name="_Toc13851"/>
      <w:bookmarkStart w:id="236" w:name="_Toc19931"/>
      <w:bookmarkStart w:id="237" w:name="_Toc112317783"/>
      <w:bookmarkStart w:id="238" w:name="_Toc14712"/>
      <w:bookmarkStart w:id="239" w:name="_Toc774"/>
      <w:bookmarkStart w:id="240" w:name="_Toc132190608"/>
      <w:r>
        <w:rPr>
          <w:rFonts w:hint="eastAsia"/>
          <w:b w:val="0"/>
          <w:szCs w:val="44"/>
          <w:lang w:val="zh-CN"/>
        </w:rPr>
        <w:t>第二章</w:t>
      </w:r>
      <w:r>
        <w:rPr>
          <w:b w:val="0"/>
          <w:szCs w:val="44"/>
          <w:lang w:val="zh-CN"/>
        </w:rPr>
        <w:t xml:space="preserve"> </w:t>
      </w:r>
      <w:bookmarkEnd w:id="235"/>
      <w:bookmarkEnd w:id="236"/>
      <w:bookmarkEnd w:id="237"/>
      <w:bookmarkEnd w:id="238"/>
      <w:bookmarkEnd w:id="239"/>
      <w:r>
        <w:rPr>
          <w:rFonts w:hint="eastAsia"/>
          <w:b w:val="0"/>
          <w:szCs w:val="44"/>
          <w:lang w:val="zh-CN"/>
        </w:rPr>
        <w:t>合同通用条款</w:t>
      </w:r>
      <w:bookmarkEnd w:id="240"/>
    </w:p>
    <w:p>
      <w:pPr>
        <w:pStyle w:val="4"/>
        <w:spacing w:before="0" w:after="0" w:line="560" w:lineRule="exact"/>
        <w:ind w:firstLine="560" w:firstLineChars="200"/>
        <w:rPr>
          <w:rFonts w:ascii="黑体" w:hAnsi="黑体" w:cs="黑体"/>
          <w:b w:val="0"/>
          <w:sz w:val="28"/>
          <w:szCs w:val="28"/>
        </w:rPr>
      </w:pPr>
      <w:bookmarkStart w:id="241" w:name="_Toc18663"/>
      <w:bookmarkStart w:id="242" w:name="_Toc7292"/>
      <w:bookmarkStart w:id="243" w:name="_Toc132190609"/>
      <w:bookmarkStart w:id="244" w:name="_Toc25781"/>
      <w:bookmarkStart w:id="245" w:name="_Toc6390"/>
      <w:r>
        <w:rPr>
          <w:rFonts w:hint="eastAsia" w:ascii="黑体" w:hAnsi="黑体" w:cs="黑体"/>
          <w:b w:val="0"/>
          <w:sz w:val="28"/>
          <w:szCs w:val="28"/>
        </w:rPr>
        <w:t>一、定义</w:t>
      </w:r>
      <w:bookmarkEnd w:id="241"/>
      <w:bookmarkEnd w:id="242"/>
      <w:bookmarkEnd w:id="243"/>
      <w:bookmarkEnd w:id="244"/>
      <w:bookmarkEnd w:id="245"/>
    </w:p>
    <w:p>
      <w:pPr>
        <w:spacing w:line="560" w:lineRule="exact"/>
        <w:ind w:firstLine="560" w:firstLineChars="200"/>
        <w:rPr>
          <w:rFonts w:asciiTheme="minorEastAsia" w:hAnsiTheme="minorEastAsia" w:eastAsiaTheme="minorEastAsia"/>
          <w:bCs/>
          <w:sz w:val="28"/>
          <w:szCs w:val="28"/>
        </w:rPr>
      </w:pPr>
      <w:r>
        <w:rPr>
          <w:rFonts w:hint="eastAsia"/>
          <w:bCs/>
          <w:sz w:val="28"/>
          <w:szCs w:val="28"/>
        </w:rPr>
        <w:t>（一）</w:t>
      </w:r>
      <w:r>
        <w:rPr>
          <w:rFonts w:hint="eastAsia" w:asciiTheme="minorEastAsia" w:hAnsiTheme="minorEastAsia" w:eastAsiaTheme="minorEastAsia"/>
          <w:bCs/>
          <w:sz w:val="28"/>
          <w:szCs w:val="28"/>
        </w:rPr>
        <w:t>“合同”是指甲方和乙方（以下简称双方）已达成的协议，即由双方签订的合同格式中的文件，包括所有的附件、附录和组成合同部分的所有其他文件。</w:t>
      </w:r>
    </w:p>
    <w:p>
      <w:pPr>
        <w:spacing w:line="560" w:lineRule="exact"/>
        <w:ind w:firstLine="560" w:firstLineChars="200"/>
        <w:rPr>
          <w:rFonts w:asciiTheme="minorEastAsia" w:hAnsiTheme="minorEastAsia" w:eastAsiaTheme="minorEastAsia"/>
          <w:bCs/>
          <w:sz w:val="28"/>
          <w:szCs w:val="28"/>
        </w:rPr>
      </w:pPr>
      <w:r>
        <w:rPr>
          <w:rFonts w:hint="eastAsia"/>
          <w:bCs/>
          <w:sz w:val="28"/>
          <w:szCs w:val="28"/>
        </w:rPr>
        <w:t>（二）</w:t>
      </w:r>
      <w:r>
        <w:rPr>
          <w:rFonts w:hint="eastAsia" w:asciiTheme="minorEastAsia" w:hAnsiTheme="minorEastAsia" w:eastAsiaTheme="minorEastAsia"/>
          <w:bCs/>
          <w:sz w:val="28"/>
          <w:szCs w:val="28"/>
        </w:rPr>
        <w:t>“合同价格”是指根据合同规定，在乙方全面正确地履行合同义务时支付给乙方的款项。</w:t>
      </w:r>
    </w:p>
    <w:p>
      <w:pPr>
        <w:spacing w:line="560" w:lineRule="exact"/>
        <w:ind w:firstLine="560" w:firstLineChars="200"/>
      </w:pPr>
      <w:r>
        <w:rPr>
          <w:rFonts w:hint="eastAsia"/>
          <w:bCs/>
          <w:sz w:val="28"/>
          <w:szCs w:val="28"/>
        </w:rPr>
        <w:t>（三）“甲方”</w:t>
      </w:r>
      <w:r>
        <w:rPr>
          <w:rFonts w:hint="eastAsia" w:asciiTheme="minorEastAsia" w:hAnsiTheme="minorEastAsia" w:eastAsiaTheme="minorEastAsia"/>
          <w:bCs/>
          <w:sz w:val="28"/>
          <w:szCs w:val="28"/>
        </w:rPr>
        <w:t>是</w:t>
      </w:r>
      <w:r>
        <w:rPr>
          <w:rFonts w:hint="eastAsia"/>
          <w:bCs/>
          <w:sz w:val="28"/>
          <w:szCs w:val="28"/>
        </w:rPr>
        <w:t>指采购物资和相关服务的采购单位。</w:t>
      </w:r>
    </w:p>
    <w:p>
      <w:pPr>
        <w:spacing w:line="560" w:lineRule="exact"/>
        <w:ind w:firstLine="560" w:firstLineChars="200"/>
      </w:pPr>
      <w:r>
        <w:rPr>
          <w:rFonts w:hint="eastAsia"/>
          <w:bCs/>
          <w:sz w:val="28"/>
          <w:szCs w:val="28"/>
        </w:rPr>
        <w:t>（四）“乙方”</w:t>
      </w:r>
      <w:r>
        <w:rPr>
          <w:rFonts w:hint="eastAsia" w:asciiTheme="minorEastAsia" w:hAnsiTheme="minorEastAsia" w:eastAsiaTheme="minorEastAsia"/>
          <w:bCs/>
          <w:sz w:val="28"/>
          <w:szCs w:val="28"/>
        </w:rPr>
        <w:t>是</w:t>
      </w:r>
      <w:r>
        <w:rPr>
          <w:rFonts w:hint="eastAsia"/>
          <w:bCs/>
          <w:sz w:val="28"/>
          <w:szCs w:val="28"/>
        </w:rPr>
        <w:t>指中标后提供物资和相关服务的供应商。</w:t>
      </w:r>
      <w:bookmarkStart w:id="246" w:name="_Toc30125"/>
      <w:bookmarkStart w:id="247" w:name="_Toc28764"/>
      <w:bookmarkStart w:id="248" w:name="_Toc26599"/>
      <w:bookmarkStart w:id="249" w:name="_Toc12135"/>
    </w:p>
    <w:p>
      <w:pPr>
        <w:pStyle w:val="4"/>
        <w:spacing w:before="0" w:after="0" w:line="560" w:lineRule="exact"/>
        <w:ind w:firstLine="560" w:firstLineChars="200"/>
        <w:rPr>
          <w:rFonts w:ascii="黑体" w:hAnsi="黑体" w:cs="黑体"/>
          <w:b w:val="0"/>
          <w:sz w:val="28"/>
          <w:szCs w:val="28"/>
        </w:rPr>
      </w:pPr>
      <w:bookmarkStart w:id="250" w:name="_Toc132190610"/>
      <w:r>
        <w:rPr>
          <w:rFonts w:hint="eastAsia" w:ascii="黑体" w:hAnsi="黑体" w:cs="黑体"/>
          <w:b w:val="0"/>
          <w:sz w:val="28"/>
          <w:szCs w:val="28"/>
        </w:rPr>
        <w:t>二、物资编目编码、打码贴签要求</w:t>
      </w:r>
      <w:bookmarkEnd w:id="246"/>
      <w:bookmarkEnd w:id="247"/>
      <w:bookmarkEnd w:id="248"/>
      <w:bookmarkEnd w:id="249"/>
      <w:bookmarkEnd w:id="250"/>
    </w:p>
    <w:p>
      <w:pPr>
        <w:spacing w:line="560" w:lineRule="exact"/>
        <w:ind w:firstLine="560" w:firstLineChars="200"/>
        <w:rPr>
          <w:bCs/>
          <w:sz w:val="28"/>
          <w:szCs w:val="28"/>
        </w:rPr>
      </w:pPr>
      <w:r>
        <w:rPr>
          <w:rFonts w:hint="eastAsia"/>
          <w:bCs/>
          <w:sz w:val="28"/>
          <w:szCs w:val="28"/>
        </w:rPr>
        <w:t>（一）乙方应当配合甲方完成合同内采购物资的编目编码工作，按照统一要求，提供物资相关数据信息，配合甲方做好编目数据采集工作。涉密信息应当按照国家、军队安全保密有关规定进行处理，确保不发生失泄密问题。</w:t>
      </w:r>
    </w:p>
    <w:p>
      <w:pPr>
        <w:spacing w:line="560" w:lineRule="exact"/>
        <w:ind w:firstLine="560" w:firstLineChars="200"/>
        <w:rPr>
          <w:bCs/>
          <w:sz w:val="28"/>
          <w:szCs w:val="28"/>
        </w:rPr>
      </w:pPr>
      <w:r>
        <w:rPr>
          <w:rFonts w:ascii="宋体" w:hAnsi="宋体" w:cs="宋体"/>
          <w:bCs/>
          <w:sz w:val="28"/>
          <w:szCs w:val="28"/>
        </w:rPr>
        <w:t>1.</w:t>
      </w:r>
      <w:r>
        <w:rPr>
          <w:rFonts w:hint="eastAsia"/>
          <w:bCs/>
          <w:sz w:val="28"/>
          <w:szCs w:val="28"/>
        </w:rPr>
        <w:t>乙方可通过军队采购网互联网网站</w:t>
      </w:r>
      <w:r>
        <w:rPr>
          <w:rFonts w:hint="eastAsia" w:asciiTheme="minorEastAsia" w:hAnsiTheme="minorEastAsia" w:eastAsiaTheme="minorEastAsia"/>
          <w:bCs/>
          <w:sz w:val="28"/>
          <w:szCs w:val="28"/>
        </w:rPr>
        <w:t>（www.plap.mil.cn）或“通用物资编目数据平台”（</w:t>
      </w:r>
      <w:r>
        <w:rPr>
          <w:rFonts w:asciiTheme="minorEastAsia" w:hAnsiTheme="minorEastAsia" w:eastAsiaTheme="minorEastAsia"/>
          <w:bCs/>
          <w:sz w:val="28"/>
          <w:szCs w:val="28"/>
        </w:rPr>
        <w:t>www.ngcode.cn/catalog</w:t>
      </w:r>
      <w:r>
        <w:rPr>
          <w:rFonts w:hint="eastAsia" w:asciiTheme="minorEastAsia" w:hAnsiTheme="minorEastAsia" w:eastAsiaTheme="minorEastAsia"/>
          <w:bCs/>
          <w:sz w:val="28"/>
          <w:szCs w:val="28"/>
        </w:rPr>
        <w:t>）</w:t>
      </w:r>
      <w:r>
        <w:rPr>
          <w:rFonts w:hint="eastAsia"/>
          <w:bCs/>
          <w:sz w:val="28"/>
          <w:szCs w:val="28"/>
        </w:rPr>
        <w:t>，下载安装编目用户终端软件。按要求录入采购物资数据，导入技术规范、产品说明书、图片等便于</w:t>
      </w:r>
      <w:r>
        <w:rPr>
          <w:bCs/>
          <w:sz w:val="28"/>
          <w:szCs w:val="28"/>
        </w:rPr>
        <w:t>物资识别的</w:t>
      </w:r>
      <w:r>
        <w:rPr>
          <w:rFonts w:hint="eastAsia"/>
          <w:bCs/>
          <w:sz w:val="28"/>
          <w:szCs w:val="28"/>
        </w:rPr>
        <w:t>电子文件资料，生成编目申请数据包，提交甲方或承担军队资产编目编码职能的单位。</w:t>
      </w:r>
    </w:p>
    <w:p>
      <w:pPr>
        <w:spacing w:line="560" w:lineRule="exact"/>
        <w:ind w:firstLine="560" w:firstLineChars="200"/>
        <w:rPr>
          <w:bCs/>
          <w:sz w:val="28"/>
          <w:szCs w:val="28"/>
        </w:rPr>
      </w:pPr>
      <w:r>
        <w:rPr>
          <w:rFonts w:ascii="宋体" w:hAnsi="宋体" w:cs="宋体"/>
          <w:bCs/>
          <w:sz w:val="28"/>
          <w:szCs w:val="28"/>
        </w:rPr>
        <w:t>2.</w:t>
      </w:r>
      <w:r>
        <w:rPr>
          <w:rFonts w:hint="eastAsia"/>
          <w:bCs/>
          <w:sz w:val="28"/>
          <w:szCs w:val="28"/>
        </w:rPr>
        <w:t>乙方应当配合甲方</w:t>
      </w:r>
      <w:r>
        <w:rPr>
          <w:bCs/>
          <w:sz w:val="28"/>
          <w:szCs w:val="28"/>
        </w:rPr>
        <w:t>或</w:t>
      </w:r>
      <w:r>
        <w:rPr>
          <w:rFonts w:hint="eastAsia"/>
          <w:bCs/>
          <w:sz w:val="28"/>
          <w:szCs w:val="28"/>
        </w:rPr>
        <w:t>承担军队资产编目编码职能的单位，补充完善编目数据。</w:t>
      </w:r>
    </w:p>
    <w:p>
      <w:pPr>
        <w:spacing w:line="560" w:lineRule="exact"/>
        <w:ind w:firstLine="560" w:firstLineChars="200"/>
        <w:rPr>
          <w:rFonts w:ascii="宋体" w:hAnsi="宋体" w:cs="宋体"/>
          <w:bCs/>
          <w:sz w:val="28"/>
          <w:szCs w:val="28"/>
        </w:rPr>
      </w:pPr>
      <w:r>
        <w:rPr>
          <w:rFonts w:ascii="宋体" w:hAnsi="宋体" w:cs="宋体"/>
          <w:bCs/>
          <w:sz w:val="28"/>
          <w:szCs w:val="28"/>
        </w:rPr>
        <w:t>3.</w:t>
      </w:r>
      <w:r>
        <w:rPr>
          <w:rFonts w:hint="eastAsia" w:ascii="宋体" w:hAnsi="宋体" w:cs="宋体"/>
          <w:bCs/>
          <w:sz w:val="28"/>
          <w:szCs w:val="28"/>
        </w:rPr>
        <w:t>乙方通过甲方接收赋码后的编目数据包，导入编目用户终端软件，获取品种码，正确填入合同文本，用于打码贴签、验收结算等。</w:t>
      </w:r>
    </w:p>
    <w:p>
      <w:pPr>
        <w:spacing w:line="560" w:lineRule="exact"/>
        <w:ind w:firstLine="560" w:firstLineChars="200"/>
        <w:rPr>
          <w:rFonts w:ascii="宋体" w:hAnsi="宋体" w:cs="宋体"/>
          <w:bCs/>
          <w:sz w:val="28"/>
          <w:szCs w:val="28"/>
        </w:rPr>
      </w:pPr>
      <w:r>
        <w:rPr>
          <w:rFonts w:hint="eastAsia" w:ascii="宋体" w:hAnsi="宋体" w:cs="宋体"/>
          <w:bCs/>
          <w:sz w:val="28"/>
          <w:szCs w:val="28"/>
        </w:rPr>
        <w:t>4</w:t>
      </w:r>
      <w:r>
        <w:rPr>
          <w:rFonts w:ascii="宋体" w:hAnsi="宋体" w:cs="宋体"/>
          <w:bCs/>
          <w:sz w:val="28"/>
          <w:szCs w:val="28"/>
        </w:rPr>
        <w:t>.</w:t>
      </w:r>
      <w:r>
        <w:rPr>
          <w:rFonts w:hint="eastAsia" w:ascii="宋体" w:hAnsi="宋体" w:cs="宋体"/>
          <w:bCs/>
          <w:sz w:val="28"/>
          <w:szCs w:val="28"/>
        </w:rPr>
        <w:t>甲方有单件管理需要的，乙方应当依据规则或示例程序自行生成单件码。</w:t>
      </w:r>
    </w:p>
    <w:p>
      <w:pPr>
        <w:spacing w:line="560" w:lineRule="exact"/>
        <w:ind w:firstLine="560" w:firstLineChars="200"/>
        <w:rPr>
          <w:bCs/>
          <w:sz w:val="28"/>
          <w:szCs w:val="28"/>
        </w:rPr>
      </w:pPr>
      <w:r>
        <w:rPr>
          <w:rFonts w:hint="eastAsia"/>
          <w:bCs/>
          <w:sz w:val="28"/>
          <w:szCs w:val="28"/>
        </w:rPr>
        <w:t>（二）乙方应当按照统一要求在物资交付前完成打码贴签工作。</w:t>
      </w:r>
    </w:p>
    <w:p>
      <w:pPr>
        <w:spacing w:line="560" w:lineRule="exact"/>
        <w:ind w:firstLine="560" w:firstLineChars="200"/>
        <w:rPr>
          <w:bCs/>
          <w:sz w:val="28"/>
          <w:szCs w:val="28"/>
        </w:rPr>
      </w:pPr>
      <w:r>
        <w:rPr>
          <w:rFonts w:ascii="宋体" w:hAnsi="宋体" w:cs="宋体"/>
          <w:bCs/>
          <w:sz w:val="28"/>
          <w:szCs w:val="28"/>
        </w:rPr>
        <w:t>1.</w:t>
      </w:r>
      <w:r>
        <w:rPr>
          <w:rFonts w:hint="eastAsia"/>
          <w:bCs/>
          <w:sz w:val="28"/>
          <w:szCs w:val="28"/>
        </w:rPr>
        <w:t>物资标识标签格式、张挂位置、材质、码制等内容，应当符合军队有关要求。</w:t>
      </w:r>
    </w:p>
    <w:p>
      <w:pPr>
        <w:spacing w:line="560" w:lineRule="exact"/>
        <w:ind w:firstLine="560" w:firstLineChars="200"/>
        <w:rPr>
          <w:bCs/>
          <w:sz w:val="28"/>
          <w:szCs w:val="28"/>
        </w:rPr>
      </w:pPr>
      <w:r>
        <w:rPr>
          <w:rFonts w:ascii="宋体" w:hAnsi="宋体" w:cs="宋体"/>
          <w:bCs/>
          <w:sz w:val="28"/>
          <w:szCs w:val="28"/>
        </w:rPr>
        <w:t>2.</w:t>
      </w:r>
      <w:r>
        <w:rPr>
          <w:rFonts w:hint="eastAsia"/>
          <w:bCs/>
          <w:sz w:val="28"/>
          <w:szCs w:val="28"/>
        </w:rPr>
        <w:t>物资标识标签上的品种码应当与合同物资明细表中的品种码完全一致。</w:t>
      </w:r>
    </w:p>
    <w:p>
      <w:pPr>
        <w:spacing w:line="560" w:lineRule="exact"/>
        <w:ind w:firstLine="560" w:firstLineChars="200"/>
        <w:rPr>
          <w:bCs/>
          <w:sz w:val="28"/>
          <w:szCs w:val="28"/>
        </w:rPr>
      </w:pPr>
      <w:r>
        <w:rPr>
          <w:rFonts w:hint="eastAsia"/>
          <w:bCs/>
          <w:sz w:val="28"/>
          <w:szCs w:val="28"/>
        </w:rPr>
        <w:t>（三）物资编目数据填报和打码贴签情况，列入出厂验收、接收验收项目；编目数据、标识标签不符合规范要求的，验收不予通过，不得进入物资储存单位。乙方应当在</w:t>
      </w:r>
      <w:r>
        <w:rPr>
          <w:bCs/>
          <w:sz w:val="28"/>
          <w:szCs w:val="28"/>
        </w:rPr>
        <w:t>7</w:t>
      </w:r>
      <w:r>
        <w:rPr>
          <w:rFonts w:hint="eastAsia"/>
          <w:bCs/>
          <w:sz w:val="28"/>
          <w:szCs w:val="28"/>
        </w:rPr>
        <w:t>日内完成整改，重新协调甲方组织验收。</w:t>
      </w:r>
    </w:p>
    <w:p>
      <w:pPr>
        <w:pStyle w:val="4"/>
        <w:spacing w:before="0" w:after="0" w:line="560" w:lineRule="exact"/>
        <w:ind w:firstLine="560" w:firstLineChars="200"/>
        <w:rPr>
          <w:rFonts w:ascii="黑体" w:hAnsi="黑体" w:cs="黑体"/>
          <w:b w:val="0"/>
          <w:sz w:val="28"/>
          <w:szCs w:val="28"/>
        </w:rPr>
      </w:pPr>
      <w:bookmarkStart w:id="251" w:name="_Toc132190611"/>
      <w:r>
        <w:rPr>
          <w:rFonts w:hint="eastAsia" w:ascii="黑体" w:hAnsi="黑体" w:cs="黑体"/>
          <w:b w:val="0"/>
          <w:sz w:val="28"/>
          <w:szCs w:val="28"/>
        </w:rPr>
        <w:t>三、履约验收</w:t>
      </w:r>
      <w:bookmarkEnd w:id="251"/>
    </w:p>
    <w:p>
      <w:pPr>
        <w:spacing w:line="560" w:lineRule="exact"/>
        <w:ind w:firstLine="560" w:firstLineChars="200"/>
        <w:rPr>
          <w:rFonts w:eastAsia="仿宋_GB2312"/>
          <w:bCs/>
          <w:sz w:val="28"/>
          <w:szCs w:val="28"/>
        </w:rPr>
      </w:pPr>
      <w:r>
        <w:rPr>
          <w:rFonts w:hint="eastAsia"/>
          <w:bCs/>
          <w:sz w:val="28"/>
          <w:szCs w:val="28"/>
        </w:rPr>
        <w:t>（一）物资交付前，乙方应当对物资进行全面自检，符合交付条件后，由甲方组织验收。</w:t>
      </w:r>
    </w:p>
    <w:p>
      <w:pPr>
        <w:spacing w:line="560" w:lineRule="exact"/>
        <w:ind w:firstLine="560" w:firstLineChars="200"/>
        <w:rPr>
          <w:bCs/>
          <w:sz w:val="28"/>
          <w:szCs w:val="28"/>
        </w:rPr>
      </w:pPr>
      <w:r>
        <w:rPr>
          <w:rFonts w:hint="eastAsia"/>
          <w:bCs/>
          <w:sz w:val="28"/>
          <w:szCs w:val="28"/>
        </w:rPr>
        <w:t>（二）在交货时乙方应当对所提供的产品出具国家标准规定的产品合格证或国家认可的行业标准规定的产品合格证。</w:t>
      </w:r>
    </w:p>
    <w:p>
      <w:pPr>
        <w:spacing w:line="560" w:lineRule="exact"/>
        <w:ind w:firstLine="560" w:firstLineChars="200"/>
        <w:rPr>
          <w:bCs/>
          <w:sz w:val="28"/>
          <w:szCs w:val="28"/>
        </w:rPr>
      </w:pPr>
      <w:r>
        <w:rPr>
          <w:rFonts w:hint="eastAsia"/>
          <w:bCs/>
          <w:sz w:val="28"/>
          <w:szCs w:val="28"/>
        </w:rPr>
        <w:t>（三）甲方在交货前有权对乙方提供的物资、技术、服务提出异议，并采取相关措施确保质量合格。</w:t>
      </w:r>
    </w:p>
    <w:p>
      <w:pPr>
        <w:spacing w:line="560" w:lineRule="exact"/>
        <w:ind w:firstLine="560" w:firstLineChars="200"/>
        <w:rPr>
          <w:bCs/>
          <w:sz w:val="28"/>
          <w:szCs w:val="28"/>
        </w:rPr>
      </w:pPr>
      <w:r>
        <w:rPr>
          <w:rFonts w:hint="eastAsia"/>
          <w:bCs/>
          <w:sz w:val="28"/>
          <w:szCs w:val="28"/>
        </w:rPr>
        <w:t>（四）具体组织程序、验收标准和方法，按甲方规定程序执行，乙方配合实施。</w:t>
      </w:r>
    </w:p>
    <w:p>
      <w:pPr>
        <w:spacing w:line="560" w:lineRule="exact"/>
        <w:ind w:firstLine="560" w:firstLineChars="200"/>
        <w:rPr>
          <w:rFonts w:ascii="仿宋_GB2312"/>
          <w:bCs/>
          <w:sz w:val="28"/>
          <w:szCs w:val="28"/>
        </w:rPr>
      </w:pPr>
      <w:r>
        <w:rPr>
          <w:rFonts w:hint="eastAsia"/>
          <w:bCs/>
          <w:sz w:val="28"/>
          <w:szCs w:val="28"/>
        </w:rPr>
        <w:t>※（五）产品出厂验收不合格，甲方有权拒收物资和解除采购合同，由此造成的损失，由乙方承担。出厂验收过程中，乙方可有</w:t>
      </w:r>
      <w:r>
        <w:rPr>
          <w:bCs/>
          <w:sz w:val="28"/>
          <w:szCs w:val="28"/>
        </w:rPr>
        <w:t>1</w:t>
      </w:r>
      <w:r>
        <w:rPr>
          <w:rFonts w:hint="eastAsia"/>
          <w:bCs/>
          <w:sz w:val="28"/>
          <w:szCs w:val="28"/>
        </w:rPr>
        <w:t>次整改机会，若第一次检验未通过，甲方将书面通知乙方限期整改，整改后进行第二次检验，</w:t>
      </w:r>
      <w:r>
        <w:rPr>
          <w:rFonts w:hint="eastAsia" w:ascii="仿宋_GB2312"/>
          <w:bCs/>
          <w:sz w:val="28"/>
          <w:szCs w:val="28"/>
        </w:rPr>
        <w:t>检验合格后方可出厂。若第二次检验仍未通过的，甲方有权取消或解除采购合同，由此造成的损失，由</w:t>
      </w:r>
      <w:r>
        <w:rPr>
          <w:rFonts w:hint="eastAsia"/>
          <w:bCs/>
          <w:sz w:val="28"/>
          <w:szCs w:val="28"/>
        </w:rPr>
        <w:t>乙方</w:t>
      </w:r>
      <w:r>
        <w:rPr>
          <w:rFonts w:hint="eastAsia" w:ascii="仿宋_GB2312"/>
          <w:bCs/>
          <w:sz w:val="28"/>
          <w:szCs w:val="28"/>
        </w:rPr>
        <w:t>承担。</w:t>
      </w:r>
    </w:p>
    <w:p>
      <w:pPr>
        <w:pStyle w:val="16"/>
        <w:spacing w:line="560" w:lineRule="exact"/>
        <w:ind w:firstLine="560" w:firstLineChars="200"/>
      </w:pPr>
      <w:r>
        <w:rPr>
          <w:rFonts w:hint="eastAsia"/>
          <w:bCs/>
          <w:sz w:val="28"/>
          <w:szCs w:val="28"/>
        </w:rPr>
        <w:t>※</w:t>
      </w:r>
      <w:r>
        <w:rPr>
          <w:rFonts w:hint="eastAsia" w:ascii="仿宋_GB2312"/>
          <w:bCs/>
          <w:sz w:val="28"/>
          <w:szCs w:val="28"/>
        </w:rPr>
        <w:t>（六）甲方在产品使用过程中，发现产品性能指标未达到要求的，</w:t>
      </w:r>
      <w:r>
        <w:rPr>
          <w:rFonts w:hint="eastAsia"/>
          <w:bCs/>
          <w:sz w:val="28"/>
          <w:szCs w:val="28"/>
        </w:rPr>
        <w:t>乙方</w:t>
      </w:r>
      <w:r>
        <w:rPr>
          <w:rFonts w:hint="eastAsia" w:ascii="仿宋_GB2312"/>
          <w:bCs/>
          <w:sz w:val="28"/>
          <w:szCs w:val="28"/>
        </w:rPr>
        <w:t>按照甲方明确的整改期限（不超过</w:t>
      </w:r>
      <w:r>
        <w:rPr>
          <w:rFonts w:ascii="仿宋_GB2312"/>
          <w:bCs/>
          <w:sz w:val="28"/>
          <w:szCs w:val="28"/>
        </w:rPr>
        <w:t>1</w:t>
      </w:r>
      <w:r>
        <w:rPr>
          <w:rFonts w:hint="eastAsia" w:ascii="仿宋_GB2312"/>
          <w:bCs/>
          <w:sz w:val="28"/>
          <w:szCs w:val="28"/>
        </w:rPr>
        <w:t>个月），可有</w:t>
      </w:r>
      <w:r>
        <w:rPr>
          <w:rFonts w:ascii="仿宋_GB2312"/>
          <w:bCs/>
          <w:sz w:val="28"/>
          <w:szCs w:val="28"/>
        </w:rPr>
        <w:t>1</w:t>
      </w:r>
      <w:r>
        <w:rPr>
          <w:rFonts w:hint="eastAsia" w:ascii="仿宋_GB2312"/>
          <w:bCs/>
          <w:sz w:val="28"/>
          <w:szCs w:val="28"/>
        </w:rPr>
        <w:t>次整改机会，在规定期限内未整改完毕的，由此造成的损失，由</w:t>
      </w:r>
      <w:r>
        <w:rPr>
          <w:rFonts w:hint="eastAsia"/>
          <w:bCs/>
          <w:sz w:val="28"/>
          <w:szCs w:val="28"/>
        </w:rPr>
        <w:t>乙方</w:t>
      </w:r>
      <w:r>
        <w:rPr>
          <w:rFonts w:hint="eastAsia" w:ascii="仿宋_GB2312"/>
          <w:bCs/>
          <w:sz w:val="28"/>
          <w:szCs w:val="28"/>
        </w:rPr>
        <w:t>承担</w:t>
      </w:r>
      <w:r>
        <w:rPr>
          <w:rFonts w:hint="eastAsia"/>
          <w:bCs/>
          <w:sz w:val="28"/>
          <w:szCs w:val="28"/>
        </w:rPr>
        <w:t>。</w:t>
      </w:r>
    </w:p>
    <w:p>
      <w:pPr>
        <w:pStyle w:val="4"/>
        <w:spacing w:before="0" w:after="0" w:line="560" w:lineRule="exact"/>
        <w:ind w:firstLine="560" w:firstLineChars="200"/>
        <w:rPr>
          <w:rFonts w:ascii="黑体" w:hAnsi="黑体" w:cs="黑体"/>
          <w:b w:val="0"/>
          <w:sz w:val="28"/>
          <w:szCs w:val="28"/>
        </w:rPr>
      </w:pPr>
      <w:bookmarkStart w:id="252" w:name="_Toc132190612"/>
      <w:r>
        <w:rPr>
          <w:rFonts w:hint="eastAsia" w:ascii="黑体" w:hAnsi="黑体" w:cs="黑体"/>
          <w:b w:val="0"/>
          <w:sz w:val="28"/>
          <w:szCs w:val="28"/>
        </w:rPr>
        <w:t>四、保密条款</w:t>
      </w:r>
      <w:bookmarkEnd w:id="252"/>
    </w:p>
    <w:p>
      <w:pPr>
        <w:spacing w:line="560" w:lineRule="exact"/>
        <w:ind w:firstLine="560" w:firstLineChars="200"/>
        <w:rPr>
          <w:rFonts w:ascii="仿宋_GB2312"/>
          <w:bCs/>
          <w:sz w:val="28"/>
          <w:szCs w:val="28"/>
        </w:rPr>
      </w:pPr>
      <w:r>
        <w:rPr>
          <w:rFonts w:hint="eastAsia" w:ascii="仿宋_GB2312"/>
          <w:bCs/>
          <w:sz w:val="28"/>
          <w:szCs w:val="28"/>
        </w:rPr>
        <w:t>乙方知悉应当承担的保密义务，如违反以下条款，乙方承担一切法律责任，赔偿因违反承诺造成的损失，接受甲方按照国家和军队有关规定作出的处罚。参与本项目及其合同订立履行的乙方所属员工发生失密泄密的，由乙方承担连带责任：</w:t>
      </w:r>
    </w:p>
    <w:p>
      <w:pPr>
        <w:spacing w:line="560" w:lineRule="exact"/>
        <w:ind w:firstLine="560" w:firstLineChars="200"/>
        <w:rPr>
          <w:rFonts w:ascii="仿宋_GB2312"/>
          <w:bCs/>
          <w:sz w:val="28"/>
          <w:szCs w:val="28"/>
        </w:rPr>
      </w:pPr>
      <w:r>
        <w:rPr>
          <w:rFonts w:hint="eastAsia" w:ascii="仿宋_GB2312"/>
          <w:bCs/>
          <w:sz w:val="28"/>
          <w:szCs w:val="28"/>
        </w:rPr>
        <w:t>（一）严格遵守国家和军队保密法规制度要求，制定并严格落实保密管理制度，设置保密部门，配备保密人员，开展保密培训，严格约束所属员工行为，接受和配合甲方或军方采购管理部门、采购机构组织开展的保密指导和监督检查。</w:t>
      </w:r>
    </w:p>
    <w:p>
      <w:pPr>
        <w:spacing w:line="560" w:lineRule="exact"/>
        <w:ind w:firstLine="560" w:firstLineChars="200"/>
        <w:rPr>
          <w:rFonts w:ascii="仿宋_GB2312"/>
          <w:bCs/>
          <w:sz w:val="28"/>
          <w:szCs w:val="28"/>
        </w:rPr>
      </w:pPr>
      <w:r>
        <w:rPr>
          <w:rFonts w:hint="eastAsia" w:ascii="仿宋_GB2312"/>
          <w:bCs/>
          <w:sz w:val="28"/>
          <w:szCs w:val="28"/>
        </w:rPr>
        <w:t>（二）未经甲方或军方有权单位许可，不以摘抄、复制、告知、公布、出版、传递、转让或以其他任何方式使任何第三方组织和人员知悉本采购项目及其合同订立履行保密信息。甲方提供的或参与本项目及其合同订立履行获悉的所有信息均视为保密信息，甲方或军方有权单位明确表示无需保密的信息除外。</w:t>
      </w:r>
    </w:p>
    <w:p>
      <w:pPr>
        <w:spacing w:line="560" w:lineRule="exact"/>
        <w:ind w:firstLine="560" w:firstLineChars="200"/>
        <w:rPr>
          <w:rFonts w:ascii="仿宋_GB2312"/>
          <w:bCs/>
          <w:sz w:val="28"/>
          <w:szCs w:val="28"/>
        </w:rPr>
      </w:pPr>
      <w:r>
        <w:rPr>
          <w:rFonts w:hint="eastAsia" w:ascii="仿宋_GB2312"/>
          <w:bCs/>
          <w:sz w:val="28"/>
          <w:szCs w:val="28"/>
        </w:rPr>
        <w:t>（三）本采购项目及其合同订立履行保密信息，包括以手写、打印、软件、磁盘、光盘、胶片、图片、音视频或其他可读取方式记载的数据信息和文档资料，实行专人管理、专室专柜存放、定期审核销毁，不擅自复制留存。</w:t>
      </w:r>
    </w:p>
    <w:p>
      <w:pPr>
        <w:spacing w:line="560" w:lineRule="exact"/>
        <w:ind w:firstLine="560" w:firstLineChars="200"/>
        <w:rPr>
          <w:rFonts w:ascii="仿宋_GB2312"/>
          <w:bCs/>
          <w:sz w:val="28"/>
          <w:szCs w:val="28"/>
        </w:rPr>
      </w:pPr>
      <w:r>
        <w:rPr>
          <w:rFonts w:hint="eastAsia" w:ascii="仿宋_GB2312"/>
          <w:bCs/>
          <w:sz w:val="28"/>
          <w:szCs w:val="28"/>
        </w:rPr>
        <w:t>（四）不在联接互联网计算机中存储、处理、传递，不通过普通电话、传真、快递等非保密渠道传递本采购项目及其合同订立履行保密信息。</w:t>
      </w:r>
    </w:p>
    <w:p>
      <w:pPr>
        <w:spacing w:line="560" w:lineRule="exact"/>
        <w:ind w:firstLine="560" w:firstLineChars="200"/>
        <w:rPr>
          <w:rFonts w:ascii="仿宋_GB2312"/>
          <w:bCs/>
          <w:sz w:val="28"/>
          <w:szCs w:val="28"/>
        </w:rPr>
      </w:pPr>
      <w:r>
        <w:rPr>
          <w:rFonts w:hint="eastAsia" w:ascii="仿宋_GB2312"/>
          <w:bCs/>
          <w:sz w:val="28"/>
          <w:szCs w:val="28"/>
        </w:rPr>
        <w:t>（五）不将本采购项目合同订立履行保密信息作为企业业绩进行公开宣传。本合同履行完毕后，仍继续承担与合同履行期间相同的保密义务。在签订本合同前，乙方已知悉合同履行过程以及合同履行完毕后需要承担的保密义务及其成本，无须甲方另外支付保密相关费用。</w:t>
      </w:r>
    </w:p>
    <w:p>
      <w:pPr>
        <w:pStyle w:val="4"/>
        <w:spacing w:before="0" w:after="0" w:line="560" w:lineRule="exact"/>
        <w:ind w:firstLine="560" w:firstLineChars="200"/>
        <w:rPr>
          <w:rFonts w:ascii="黑体" w:hAnsi="黑体" w:cs="黑体"/>
          <w:b w:val="0"/>
          <w:sz w:val="28"/>
          <w:szCs w:val="28"/>
        </w:rPr>
      </w:pPr>
      <w:bookmarkStart w:id="253" w:name="_Toc132190613"/>
      <w:r>
        <w:rPr>
          <w:rFonts w:hint="eastAsia" w:ascii="黑体" w:hAnsi="黑体" w:cs="黑体"/>
          <w:b w:val="0"/>
          <w:sz w:val="28"/>
          <w:szCs w:val="28"/>
        </w:rPr>
        <w:t>五、知识产权</w:t>
      </w:r>
      <w:bookmarkEnd w:id="253"/>
    </w:p>
    <w:p>
      <w:pPr>
        <w:spacing w:line="560" w:lineRule="exact"/>
        <w:ind w:firstLine="560" w:firstLineChars="200"/>
        <w:rPr>
          <w:rFonts w:ascii="宋体" w:hAnsi="宋体"/>
          <w:bCs/>
          <w:sz w:val="28"/>
          <w:szCs w:val="28"/>
        </w:rPr>
      </w:pPr>
      <w:bookmarkStart w:id="254" w:name="_Toc13927"/>
      <w:bookmarkStart w:id="255" w:name="_Toc19371"/>
      <w:bookmarkStart w:id="256" w:name="_Toc11458"/>
      <w:bookmarkStart w:id="257" w:name="_Toc29139"/>
      <w:bookmarkStart w:id="258" w:name="_Toc9733"/>
      <w:bookmarkStart w:id="259" w:name="_Toc83738986"/>
      <w:bookmarkStart w:id="260" w:name="_Toc32592"/>
      <w:r>
        <w:rPr>
          <w:rFonts w:hint="eastAsia" w:ascii="宋体" w:hAnsi="宋体"/>
          <w:bCs/>
          <w:sz w:val="28"/>
          <w:szCs w:val="28"/>
        </w:rPr>
        <w:t>（一）乙方应当保证甲方在使用物资和服务时不受第三方提出侵犯其知识产权的指控，对此甲方不承担任何连带责任或赔偿责任。</w:t>
      </w:r>
    </w:p>
    <w:p>
      <w:pPr>
        <w:pStyle w:val="16"/>
        <w:spacing w:after="0" w:line="560" w:lineRule="exact"/>
        <w:ind w:firstLine="562" w:firstLineChars="200"/>
        <w:rPr>
          <w:rFonts w:ascii="宋体" w:hAnsi="宋体"/>
        </w:rPr>
      </w:pPr>
      <w:r>
        <w:rPr>
          <w:rFonts w:hint="eastAsia" w:ascii="宋体" w:hAnsi="宋体"/>
          <w:b/>
          <w:sz w:val="28"/>
          <w:szCs w:val="28"/>
        </w:rPr>
        <w:t>（二）基于项目合同履行形成的知识产权和其他权益，其权属归甲方所有，法律另有规定的除外。</w:t>
      </w:r>
    </w:p>
    <w:p>
      <w:pPr>
        <w:pStyle w:val="4"/>
        <w:spacing w:before="0" w:after="0" w:line="560" w:lineRule="exact"/>
        <w:ind w:firstLine="560" w:firstLineChars="200"/>
        <w:rPr>
          <w:rFonts w:ascii="黑体" w:hAnsi="黑体" w:cs="黑体"/>
          <w:b w:val="0"/>
          <w:sz w:val="28"/>
          <w:szCs w:val="28"/>
        </w:rPr>
      </w:pPr>
      <w:bookmarkStart w:id="261" w:name="_Toc132190614"/>
      <w:r>
        <w:rPr>
          <w:rFonts w:hint="eastAsia" w:ascii="黑体" w:hAnsi="黑体" w:cs="黑体"/>
          <w:b w:val="0"/>
          <w:sz w:val="28"/>
          <w:szCs w:val="28"/>
        </w:rPr>
        <w:t>六、合同的变更和解除</w:t>
      </w:r>
      <w:bookmarkEnd w:id="254"/>
      <w:bookmarkEnd w:id="255"/>
      <w:bookmarkEnd w:id="256"/>
      <w:bookmarkEnd w:id="257"/>
      <w:bookmarkEnd w:id="258"/>
      <w:bookmarkEnd w:id="259"/>
      <w:bookmarkEnd w:id="260"/>
      <w:bookmarkEnd w:id="261"/>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（一）因合同变更、解除造成损失的，过错方应当承担赔偿责任，双方都有过错的，甲乙双方应当各自承担相应的责任。</w:t>
      </w:r>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（二）合同履行中，经甲乙双方协商一致，并由甲方按照军队有关规定办理审批后，可以变更合同。</w:t>
      </w:r>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三）合同履行中，存在以下情形之一的，甲方有权解除合同：①因不可抗力无法履行合同，不能实现合同目的；②继续履行合同将损害国家或军队利益，且无法通过合同变更或中止方式解决；③采购任务调整或取消，不能通过合同变更方式达成新协议；④乙方明确表示或以自己的行为表明不履行合同主要义务；⑤乙方迟延履行合同主要义务，经催告后在限定合理整改期限内仍不履行；⑥乙方存在违规违约行为致使不能实现合同目的；⑦乙方</w:t>
      </w:r>
      <w:r>
        <w:rPr>
          <w:rFonts w:hint="eastAsia" w:ascii="仿宋_GB2312" w:hAnsi="宋体"/>
          <w:bCs/>
          <w:sz w:val="28"/>
          <w:szCs w:val="28"/>
          <w:lang w:val="zh-CN"/>
        </w:rPr>
        <w:t>发生控股关系、经营范围等重大实质性变化，不符合合同约定的；⑧</w:t>
      </w:r>
      <w:r>
        <w:rPr>
          <w:rFonts w:hint="eastAsia" w:ascii="仿宋_GB2312" w:hAnsi="宋体"/>
          <w:bCs/>
          <w:sz w:val="28"/>
          <w:szCs w:val="28"/>
        </w:rPr>
        <w:t>国家法律法规规定或合同约定的其他情形。</w:t>
      </w:r>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四）解除合同时，合同尚未履行的部分终止履行；对于乙方已履行的部分，甲乙双方区分情形，按照以下约定办理：①合同已履行并验收合格的部分，乙方没有违规违约行为的，甲方应当按照合同办理支付结算；乙方存在违规违约行为的，甲方应当按照本合同约定扣除违规违约赔偿费用后，办理支付结算；②合同已履行部分存在质量瑕疵的，甲方有权要求乙方采取修理、重作、更换等补救措施，验收合格后，按照本项第①条办理支付结算；③合同已履行部分根据甲方要求经乙方补救后仍未达到合同约定要求的，甲方有权拒绝接收；④乙方对合同解除负有主要过错责任的，甲方有权拒绝接收合同已履行部分物资；⑤合同已履行部分，甲方按照本合同约定拒绝接收的，乙方应当按照法律要求恢复原状。</w:t>
      </w:r>
    </w:p>
    <w:p>
      <w:pPr>
        <w:pStyle w:val="4"/>
        <w:spacing w:before="0" w:after="0" w:line="560" w:lineRule="exact"/>
        <w:ind w:firstLine="560" w:firstLineChars="200"/>
        <w:rPr>
          <w:rFonts w:ascii="黑体" w:hAnsi="黑体" w:cs="黑体"/>
          <w:b w:val="0"/>
          <w:sz w:val="28"/>
          <w:szCs w:val="28"/>
        </w:rPr>
      </w:pPr>
      <w:bookmarkStart w:id="262" w:name="_Toc22397"/>
      <w:bookmarkStart w:id="263" w:name="_Toc13788"/>
      <w:bookmarkStart w:id="264" w:name="_Toc132190615"/>
      <w:bookmarkStart w:id="265" w:name="_Toc17906"/>
      <w:bookmarkStart w:id="266" w:name="_Toc19429"/>
      <w:bookmarkStart w:id="267" w:name="_Toc2228"/>
      <w:bookmarkStart w:id="268" w:name="_Toc376"/>
      <w:bookmarkStart w:id="269" w:name="_Toc83738987"/>
      <w:r>
        <w:rPr>
          <w:rFonts w:hint="eastAsia" w:ascii="黑体" w:hAnsi="黑体" w:cs="黑体"/>
          <w:b w:val="0"/>
          <w:sz w:val="28"/>
          <w:szCs w:val="28"/>
        </w:rPr>
        <w:t>七、履约监督</w:t>
      </w:r>
      <w:bookmarkEnd w:id="262"/>
      <w:bookmarkEnd w:id="263"/>
      <w:bookmarkEnd w:id="264"/>
      <w:bookmarkEnd w:id="265"/>
      <w:bookmarkEnd w:id="266"/>
      <w:bookmarkEnd w:id="267"/>
      <w:bookmarkEnd w:id="268"/>
      <w:bookmarkEnd w:id="269"/>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一）乙方承诺接受甲方对其资质和履约能力进行监管，并保证在其资质和履约能力发生变化时向甲方通报，乙方存在法律规定的丧失或可能丧失合同履行能力有关情形时，甲方有权中止合同：①经营状况严重恶化的；②转移财产、抽逃资金，以逃避债务的；③丧失商业信誉的；④有丧失或可能丧失履行合同能力的其他情形。</w:t>
      </w:r>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（二）在不妨碍乙方正常生产、作业的情况下，甲方有关不定期对物资生产进度和过程质量管控情况进行监督检查，乙方承诺予以配合，如实反映情况，提供相关</w:t>
      </w:r>
      <w:r>
        <w:rPr>
          <w:rFonts w:hint="eastAsia" w:ascii="宋体" w:hAnsi="宋体"/>
          <w:bCs/>
          <w:sz w:val="28"/>
          <w:szCs w:val="28"/>
        </w:rPr>
        <w:t>材料</w:t>
      </w:r>
      <w:r>
        <w:rPr>
          <w:rFonts w:hint="eastAsia" w:ascii="仿宋_GB2312" w:hAnsi="宋体"/>
          <w:bCs/>
          <w:sz w:val="28"/>
          <w:szCs w:val="28"/>
        </w:rPr>
        <w:t>。</w:t>
      </w:r>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（三）乙方对于军队采购管理部门、纪检监察部门、审计部门等职能部门开展的调查，承诺予以配合，如实反映情况，提供相关</w:t>
      </w:r>
      <w:r>
        <w:rPr>
          <w:rFonts w:hint="eastAsia" w:ascii="宋体" w:hAnsi="宋体"/>
          <w:bCs/>
          <w:sz w:val="28"/>
          <w:szCs w:val="28"/>
        </w:rPr>
        <w:t>材料</w:t>
      </w:r>
      <w:r>
        <w:rPr>
          <w:rFonts w:hint="eastAsia" w:ascii="仿宋_GB2312" w:hAnsi="宋体"/>
          <w:bCs/>
          <w:sz w:val="28"/>
          <w:szCs w:val="28"/>
        </w:rPr>
        <w:t>。</w:t>
      </w:r>
    </w:p>
    <w:p>
      <w:pPr>
        <w:spacing w:line="540" w:lineRule="exact"/>
        <w:ind w:firstLine="560" w:firstLineChars="200"/>
        <w:rPr>
          <w:rFonts w:ascii="仿宋_GB2312" w:hAnsi="宋体"/>
          <w:bCs/>
          <w:sz w:val="28"/>
          <w:szCs w:val="28"/>
        </w:rPr>
      </w:pPr>
      <w:r>
        <w:rPr>
          <w:rFonts w:hint="eastAsia" w:ascii="仿宋_GB2312" w:hAnsi="宋体"/>
          <w:bCs/>
          <w:sz w:val="28"/>
          <w:szCs w:val="28"/>
        </w:rPr>
        <w:t>（四）乙方在合同订立、履行过程中，存在违法、违规、违约行为经查实的，承诺愿意无条件接受军队采购管理部门根据军队采购有关规定给予的书面警告、限制参加军队采购活动等处罚。</w:t>
      </w:r>
    </w:p>
    <w:p>
      <w:pPr>
        <w:pStyle w:val="4"/>
        <w:spacing w:before="0" w:after="0" w:line="560" w:lineRule="exact"/>
        <w:ind w:firstLine="560" w:firstLineChars="200"/>
        <w:rPr>
          <w:rFonts w:ascii="黑体" w:hAnsi="黑体" w:cs="黑体"/>
          <w:b w:val="0"/>
          <w:sz w:val="28"/>
          <w:szCs w:val="28"/>
        </w:rPr>
      </w:pPr>
      <w:bookmarkStart w:id="270" w:name="_Toc132190616"/>
      <w:r>
        <w:rPr>
          <w:rFonts w:hint="eastAsia" w:ascii="黑体" w:hAnsi="黑体" w:cs="黑体"/>
          <w:b w:val="0"/>
          <w:sz w:val="28"/>
          <w:szCs w:val="28"/>
        </w:rPr>
        <w:t>八、转包与分包</w:t>
      </w:r>
      <w:bookmarkEnd w:id="270"/>
    </w:p>
    <w:p>
      <w:pPr>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（一）乙方不得以任何形式将合同转包。</w:t>
      </w:r>
    </w:p>
    <w:p>
      <w:pPr>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（二）乙方未在投标文件中说明，不得将合同的非主体、非关键性部分或工作分包给他人。</w:t>
      </w:r>
    </w:p>
    <w:p>
      <w:pPr>
        <w:pStyle w:val="16"/>
        <w:spacing w:after="0"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（三）合同分包履行的，乙方应当与分包承担主体就分包项目向甲方承担连带责任。</w:t>
      </w:r>
    </w:p>
    <w:p>
      <w:pPr>
        <w:pStyle w:val="4"/>
        <w:spacing w:before="0" w:after="0" w:line="560" w:lineRule="exact"/>
        <w:ind w:firstLine="640" w:firstLineChars="200"/>
        <w:rPr>
          <w:b w:val="0"/>
        </w:rPr>
      </w:pPr>
      <w:bookmarkStart w:id="271" w:name="_Toc132190617"/>
      <w:bookmarkStart w:id="272" w:name="_Toc83738988"/>
      <w:bookmarkStart w:id="273" w:name="_Toc16941"/>
      <w:bookmarkStart w:id="274" w:name="_Toc30656"/>
      <w:bookmarkStart w:id="275" w:name="_Toc31717"/>
      <w:bookmarkStart w:id="276" w:name="_Toc32282"/>
      <w:bookmarkStart w:id="277" w:name="_Toc1573"/>
      <w:bookmarkStart w:id="278" w:name="_Toc25769"/>
      <w:r>
        <w:rPr>
          <w:rFonts w:hint="eastAsia"/>
          <w:b w:val="0"/>
        </w:rPr>
        <w:t>九、违约责任</w:t>
      </w:r>
      <w:bookmarkEnd w:id="271"/>
      <w:bookmarkEnd w:id="272"/>
      <w:bookmarkEnd w:id="273"/>
      <w:bookmarkEnd w:id="274"/>
      <w:bookmarkEnd w:id="275"/>
      <w:bookmarkEnd w:id="276"/>
      <w:bookmarkEnd w:id="277"/>
      <w:bookmarkEnd w:id="278"/>
    </w:p>
    <w:p>
      <w:pPr>
        <w:spacing w:line="560" w:lineRule="exact"/>
        <w:ind w:firstLine="560" w:firstLineChars="200"/>
        <w:rPr>
          <w:rFonts w:ascii="宋体" w:hAnsi="宋体"/>
          <w:bCs/>
          <w:sz w:val="28"/>
          <w:szCs w:val="28"/>
        </w:rPr>
      </w:pPr>
      <w:r>
        <w:rPr>
          <w:rFonts w:hint="eastAsia" w:ascii="宋体" w:hAnsi="宋体"/>
          <w:bCs/>
          <w:sz w:val="28"/>
          <w:szCs w:val="28"/>
        </w:rPr>
        <w:t>（一）乙方未经甲方同意而延期交货时，应当向甲方偿付违约金，违约金每天按违约物资金额的</w:t>
      </w:r>
      <w:r>
        <w:rPr>
          <w:rFonts w:ascii="宋体" w:hAnsi="宋体"/>
          <w:bCs/>
          <w:sz w:val="28"/>
          <w:szCs w:val="28"/>
        </w:rPr>
        <w:t>1</w:t>
      </w:r>
      <w:r>
        <w:rPr>
          <w:rFonts w:hint="eastAsia" w:ascii="宋体" w:hAnsi="宋体"/>
          <w:bCs/>
          <w:sz w:val="28"/>
          <w:szCs w:val="28"/>
        </w:rPr>
        <w:t>‰计算，违约金最高限额为违约总金额的</w:t>
      </w:r>
      <w:r>
        <w:rPr>
          <w:rFonts w:ascii="宋体" w:hAnsi="宋体"/>
          <w:bCs/>
          <w:sz w:val="28"/>
          <w:szCs w:val="28"/>
        </w:rPr>
        <w:t>5%</w:t>
      </w:r>
      <w:r>
        <w:rPr>
          <w:rFonts w:hint="eastAsia" w:ascii="宋体" w:hAnsi="宋体"/>
          <w:bCs/>
          <w:sz w:val="28"/>
          <w:szCs w:val="28"/>
        </w:rPr>
        <w:t>。如果达到违约金最高限额时仍不能交货，或交货时间影响甲方任务实施，甲方可以终止合同，而由此给甲方造成的实际损失，乙方应当给予足额赔偿。</w:t>
      </w:r>
    </w:p>
    <w:p>
      <w:pPr>
        <w:spacing w:line="560" w:lineRule="exact"/>
        <w:ind w:firstLine="560" w:firstLineChars="200"/>
        <w:rPr>
          <w:rFonts w:ascii="仿宋_GB2312" w:hAnsi="宋体"/>
          <w:bCs/>
          <w:sz w:val="28"/>
          <w:szCs w:val="28"/>
        </w:rPr>
      </w:pPr>
      <w:r>
        <w:rPr>
          <w:rFonts w:hint="eastAsia" w:ascii="仿宋_GB2312" w:hAnsi="宋体"/>
          <w:bCs/>
          <w:sz w:val="28"/>
          <w:szCs w:val="28"/>
        </w:rPr>
        <w:t>（二）乙方未按合同约定履行服务义务或产品技术性能指标不达标而给甲方或产品使用单位造成损失的，乙方要按损失金额予以赔偿。</w:t>
      </w:r>
    </w:p>
    <w:p>
      <w:pPr>
        <w:spacing w:line="560" w:lineRule="exact"/>
        <w:ind w:firstLine="560" w:firstLineChars="200"/>
        <w:rPr>
          <w:rFonts w:ascii="宋体" w:hAnsi="宋体"/>
          <w:bCs/>
          <w:sz w:val="28"/>
          <w:szCs w:val="28"/>
        </w:rPr>
      </w:pPr>
      <w:r>
        <w:rPr>
          <w:rFonts w:hint="eastAsia" w:ascii="宋体" w:hAnsi="宋体"/>
          <w:bCs/>
          <w:sz w:val="28"/>
          <w:szCs w:val="28"/>
        </w:rPr>
        <w:t>（三）甲方需按约定及时足额支付货款，未按约定及时足额支付货款时，每迟付一天按违约金额</w:t>
      </w:r>
      <w:r>
        <w:rPr>
          <w:rFonts w:ascii="宋体" w:hAnsi="宋体"/>
          <w:bCs/>
          <w:sz w:val="28"/>
          <w:szCs w:val="28"/>
        </w:rPr>
        <w:t>1</w:t>
      </w:r>
      <w:r>
        <w:rPr>
          <w:rFonts w:hint="eastAsia" w:ascii="宋体" w:hAnsi="宋体"/>
          <w:bCs/>
          <w:sz w:val="28"/>
          <w:szCs w:val="28"/>
        </w:rPr>
        <w:t>‰向乙方偿付违约金，违约金最高限额为违约总金额的</w:t>
      </w:r>
      <w:r>
        <w:rPr>
          <w:rFonts w:ascii="宋体" w:hAnsi="宋体"/>
          <w:bCs/>
          <w:sz w:val="28"/>
          <w:szCs w:val="28"/>
        </w:rPr>
        <w:t>5%</w:t>
      </w:r>
      <w:r>
        <w:rPr>
          <w:rFonts w:hint="eastAsia" w:ascii="宋体" w:hAnsi="宋体"/>
          <w:bCs/>
          <w:sz w:val="28"/>
          <w:szCs w:val="28"/>
        </w:rPr>
        <w:t>。</w:t>
      </w:r>
    </w:p>
    <w:p>
      <w:pPr>
        <w:pStyle w:val="4"/>
        <w:spacing w:before="0" w:after="0" w:line="560" w:lineRule="exact"/>
        <w:ind w:firstLine="560" w:firstLineChars="200"/>
        <w:rPr>
          <w:rFonts w:ascii="黑体" w:hAnsi="黑体" w:cs="黑体"/>
          <w:b w:val="0"/>
          <w:sz w:val="28"/>
          <w:szCs w:val="28"/>
        </w:rPr>
      </w:pPr>
      <w:bookmarkStart w:id="279" w:name="_Toc4921"/>
      <w:bookmarkStart w:id="280" w:name="_Toc25283"/>
      <w:bookmarkStart w:id="281" w:name="_Toc10383"/>
      <w:bookmarkStart w:id="282" w:name="_Toc132190618"/>
      <w:bookmarkStart w:id="283" w:name="_Toc15949"/>
      <w:bookmarkStart w:id="284" w:name="_Toc83738989"/>
      <w:bookmarkStart w:id="285" w:name="_Toc22345"/>
      <w:bookmarkStart w:id="286" w:name="_Toc7908"/>
      <w:r>
        <w:rPr>
          <w:rFonts w:hint="eastAsia" w:ascii="黑体" w:hAnsi="黑体" w:cs="黑体"/>
          <w:b w:val="0"/>
          <w:sz w:val="28"/>
          <w:szCs w:val="28"/>
        </w:rPr>
        <w:t>十、争议解决方式</w:t>
      </w:r>
      <w:bookmarkEnd w:id="279"/>
      <w:bookmarkEnd w:id="280"/>
      <w:bookmarkEnd w:id="281"/>
      <w:bookmarkEnd w:id="282"/>
      <w:bookmarkEnd w:id="283"/>
      <w:bookmarkEnd w:id="284"/>
      <w:bookmarkEnd w:id="285"/>
      <w:bookmarkEnd w:id="286"/>
    </w:p>
    <w:p>
      <w:pPr>
        <w:spacing w:line="540" w:lineRule="exact"/>
        <w:ind w:firstLine="560" w:firstLineChars="200"/>
        <w:rPr>
          <w:rFonts w:ascii="仿宋_GB2312" w:hAnsi="宋体"/>
          <w:bCs/>
          <w:sz w:val="28"/>
          <w:szCs w:val="28"/>
        </w:rPr>
      </w:pPr>
      <w:r>
        <w:rPr>
          <w:rFonts w:hint="eastAsia" w:ascii="仿宋_GB2312" w:hAnsi="宋体"/>
          <w:bCs/>
          <w:sz w:val="28"/>
          <w:szCs w:val="28"/>
        </w:rPr>
        <w:t>合同履行过程中，发生争议时，按照下列方式解决：</w:t>
      </w:r>
    </w:p>
    <w:p>
      <w:pPr>
        <w:spacing w:line="540" w:lineRule="exact"/>
        <w:ind w:firstLine="560" w:firstLineChars="200"/>
        <w:rPr>
          <w:rFonts w:ascii="仿宋_GB2312" w:hAnsi="宋体"/>
          <w:bCs/>
          <w:sz w:val="28"/>
          <w:szCs w:val="28"/>
        </w:rPr>
      </w:pPr>
      <w:r>
        <w:rPr>
          <w:rFonts w:hint="eastAsia" w:ascii="仿宋_GB2312" w:hAnsi="宋体"/>
          <w:bCs/>
          <w:sz w:val="28"/>
          <w:szCs w:val="28"/>
        </w:rPr>
        <w:t>（一）甲方和乙方协商解决。</w:t>
      </w:r>
    </w:p>
    <w:p>
      <w:pPr>
        <w:spacing w:line="540" w:lineRule="exact"/>
        <w:ind w:firstLine="560" w:firstLineChars="200"/>
        <w:rPr>
          <w:rFonts w:ascii="仿宋_GB2312" w:hAnsi="宋体"/>
          <w:bCs/>
          <w:sz w:val="28"/>
          <w:szCs w:val="28"/>
        </w:rPr>
      </w:pPr>
      <w:r>
        <w:rPr>
          <w:rFonts w:hint="eastAsia" w:ascii="仿宋_GB2312" w:hAnsi="宋体"/>
          <w:bCs/>
          <w:sz w:val="28"/>
          <w:szCs w:val="28"/>
        </w:rPr>
        <w:t>（二）协商不一致的，甲方或乙方向采购机构负责合同履约的部门反映情况，请求第一次调解处理；第一次调解不成功的，</w:t>
      </w:r>
      <w:r>
        <w:rPr>
          <w:rFonts w:hint="eastAsia" w:asciiTheme="minorEastAsia" w:hAnsiTheme="minorEastAsia" w:eastAsiaTheme="minorEastAsia"/>
          <w:bCs/>
          <w:sz w:val="28"/>
          <w:szCs w:val="28"/>
        </w:rPr>
        <w:t>向军级单位</w:t>
      </w:r>
      <w:r>
        <w:rPr>
          <w:rFonts w:asciiTheme="minorEastAsia" w:hAnsiTheme="minorEastAsia" w:eastAsiaTheme="minorEastAsia"/>
          <w:bCs/>
          <w:sz w:val="28"/>
          <w:szCs w:val="28"/>
        </w:rPr>
        <w:t>采购管理部门或同等权限的采购管理部门</w:t>
      </w:r>
      <w:r>
        <w:rPr>
          <w:rFonts w:hint="eastAsia" w:asciiTheme="minorEastAsia" w:hAnsiTheme="minorEastAsia" w:eastAsiaTheme="minorEastAsia"/>
          <w:bCs/>
          <w:sz w:val="28"/>
          <w:szCs w:val="28"/>
        </w:rPr>
        <w:t>请求第</w:t>
      </w:r>
      <w:r>
        <w:rPr>
          <w:rFonts w:hint="eastAsia" w:ascii="仿宋_GB2312" w:hAnsi="宋体"/>
          <w:bCs/>
          <w:sz w:val="28"/>
          <w:szCs w:val="28"/>
        </w:rPr>
        <w:t>二次调解处理。</w:t>
      </w:r>
    </w:p>
    <w:p>
      <w:pPr>
        <w:spacing w:line="540" w:lineRule="exact"/>
        <w:ind w:firstLine="560" w:firstLineChars="200"/>
        <w:rPr>
          <w:rFonts w:ascii="仿宋_GB2312" w:hAnsi="宋体"/>
          <w:bCs/>
          <w:sz w:val="28"/>
          <w:szCs w:val="28"/>
        </w:rPr>
      </w:pPr>
      <w:r>
        <w:rPr>
          <w:rFonts w:hint="eastAsia" w:ascii="仿宋_GB2312" w:hAnsi="宋体"/>
          <w:bCs/>
          <w:sz w:val="28"/>
          <w:szCs w:val="28"/>
        </w:rPr>
        <w:t>（三）调解不成功的，甲方或乙方应当向甲方所在地的仲裁机构申请仲裁，或向甲方所在地的人民法院提起诉讼。仲裁费、诉讼费由承担责任的一方承担。在仲裁、诉讼期间，除正在仲裁、诉讼的部分外，合同的其他部分应当继续执行。</w:t>
      </w:r>
    </w:p>
    <w:p>
      <w:pPr>
        <w:pStyle w:val="4"/>
        <w:spacing w:before="0" w:after="0" w:line="560" w:lineRule="exact"/>
        <w:ind w:firstLine="560" w:firstLineChars="200"/>
        <w:rPr>
          <w:rFonts w:ascii="黑体" w:hAnsi="黑体" w:cs="黑体"/>
          <w:b w:val="0"/>
          <w:sz w:val="28"/>
          <w:szCs w:val="28"/>
        </w:rPr>
      </w:pPr>
      <w:r>
        <w:rPr>
          <w:rFonts w:hint="eastAsia" w:ascii="黑体" w:hAnsi="黑体" w:cs="黑体"/>
          <w:b w:val="0"/>
          <w:sz w:val="28"/>
          <w:szCs w:val="28"/>
        </w:rPr>
        <w:t>十一、其他</w:t>
      </w:r>
    </w:p>
    <w:p>
      <w:pPr>
        <w:spacing w:line="560" w:lineRule="exact"/>
        <w:ind w:firstLine="560" w:firstLineChars="200"/>
        <w:rPr>
          <w:rFonts w:ascii="黑体" w:hAnsi="宋体" w:eastAsia="黑体"/>
          <w:sz w:val="28"/>
          <w:szCs w:val="28"/>
        </w:rPr>
      </w:pPr>
      <w:r>
        <w:rPr>
          <w:rFonts w:hint="eastAsia" w:ascii="仿宋_GB2312" w:hAnsi="宋体"/>
          <w:sz w:val="28"/>
          <w:szCs w:val="28"/>
        </w:rPr>
        <w:t>当国家、中央军委、军队系统内部或甲方上级单位出具新的政策、规定、文件等（下统称“新规”），甲方有权按照新规内容即时执行，对此，乙方同意并接受上述新规内容，甲方有权按照新规内容调整或修订本合同涉及相关条款并书面通知（包括书面、电邮、电话等）乙方，乙方自收到通知之日起应当严格执行甲方通知内容，乙方不得拒绝履行通知内容。</w:t>
      </w:r>
    </w:p>
    <w:p>
      <w:pPr>
        <w:pStyle w:val="17"/>
        <w:ind w:firstLine="210"/>
      </w:pPr>
    </w:p>
    <w:p>
      <w:pPr>
        <w:widowControl/>
        <w:spacing w:line="560" w:lineRule="exact"/>
        <w:ind w:firstLine="880" w:firstLineChars="200"/>
        <w:jc w:val="left"/>
        <w:rPr>
          <w:bCs/>
          <w:sz w:val="44"/>
          <w:szCs w:val="44"/>
        </w:rPr>
        <w:sectPr>
          <w:headerReference r:id="rId5" w:type="default"/>
          <w:pgSz w:w="11906" w:h="16838"/>
          <w:pgMar w:top="1418" w:right="1134" w:bottom="1418" w:left="1418" w:header="851" w:footer="851" w:gutter="0"/>
          <w:cols w:space="720" w:num="1"/>
        </w:sectPr>
      </w:pPr>
      <w:bookmarkStart w:id="287" w:name="_Toc112317784"/>
      <w:r>
        <w:rPr>
          <w:bCs/>
          <w:sz w:val="44"/>
          <w:szCs w:val="44"/>
        </w:rPr>
        <w:br w:type="page"/>
      </w:r>
    </w:p>
    <w:p>
      <w:pPr>
        <w:pStyle w:val="3"/>
        <w:keepNext w:val="0"/>
        <w:keepLines w:val="0"/>
        <w:adjustRightInd w:val="0"/>
        <w:snapToGrid w:val="0"/>
        <w:spacing w:line="560" w:lineRule="exact"/>
        <w:jc w:val="center"/>
        <w:rPr>
          <w:b w:val="0"/>
          <w:szCs w:val="44"/>
          <w:lang w:val="zh-CN"/>
        </w:rPr>
      </w:pPr>
      <w:bookmarkStart w:id="288" w:name="_Toc30778"/>
      <w:bookmarkStart w:id="289" w:name="_Toc10691"/>
      <w:bookmarkStart w:id="290" w:name="_Toc31933"/>
      <w:bookmarkStart w:id="291" w:name="_Toc132190619"/>
      <w:bookmarkStart w:id="292" w:name="_Toc1061"/>
      <w:r>
        <w:rPr>
          <w:rFonts w:hint="eastAsia"/>
          <w:b w:val="0"/>
          <w:szCs w:val="44"/>
          <w:lang w:val="zh-CN"/>
        </w:rPr>
        <w:t>第三章</w:t>
      </w:r>
      <w:r>
        <w:rPr>
          <w:b w:val="0"/>
          <w:szCs w:val="44"/>
          <w:lang w:val="zh-CN"/>
        </w:rPr>
        <w:t xml:space="preserve"> </w:t>
      </w:r>
      <w:bookmarkStart w:id="293" w:name="_Hlk112353117"/>
      <w:r>
        <w:rPr>
          <w:rFonts w:hint="eastAsia"/>
          <w:b w:val="0"/>
          <w:szCs w:val="44"/>
          <w:lang w:val="zh-CN"/>
        </w:rPr>
        <w:t>投标文件内容及格式</w:t>
      </w:r>
      <w:bookmarkEnd w:id="287"/>
      <w:bookmarkEnd w:id="288"/>
      <w:bookmarkEnd w:id="289"/>
      <w:bookmarkEnd w:id="290"/>
      <w:bookmarkEnd w:id="291"/>
      <w:bookmarkEnd w:id="292"/>
      <w:bookmarkEnd w:id="293"/>
    </w:p>
    <w:p>
      <w:pPr>
        <w:spacing w:line="560" w:lineRule="exact"/>
        <w:ind w:firstLine="560" w:firstLineChars="200"/>
        <w:rPr>
          <w:bCs/>
          <w:sz w:val="28"/>
          <w:szCs w:val="28"/>
        </w:rPr>
      </w:pPr>
      <w:r>
        <w:rPr>
          <w:rFonts w:hint="eastAsia"/>
          <w:bCs/>
          <w:sz w:val="28"/>
          <w:szCs w:val="28"/>
        </w:rPr>
        <w:t>投标文件分为</w:t>
      </w:r>
      <w:r>
        <w:rPr>
          <w:rFonts w:hint="eastAsia" w:ascii="宋体" w:hAnsi="宋体"/>
          <w:bCs/>
          <w:sz w:val="28"/>
          <w:szCs w:val="28"/>
        </w:rPr>
        <w:t>“</w:t>
      </w:r>
      <w:r>
        <w:rPr>
          <w:rFonts w:hint="eastAsia"/>
          <w:bCs/>
          <w:sz w:val="28"/>
          <w:szCs w:val="28"/>
        </w:rPr>
        <w:t>价格文件</w:t>
      </w:r>
      <w:r>
        <w:rPr>
          <w:rFonts w:hint="eastAsia" w:ascii="宋体" w:hAnsi="宋体"/>
          <w:bCs/>
          <w:sz w:val="28"/>
          <w:szCs w:val="28"/>
        </w:rPr>
        <w:t>”“商务技术文件”</w:t>
      </w:r>
      <w:r>
        <w:rPr>
          <w:rFonts w:hint="eastAsia"/>
          <w:bCs/>
          <w:sz w:val="28"/>
          <w:szCs w:val="28"/>
        </w:rPr>
        <w:t>和</w:t>
      </w:r>
      <w:r>
        <w:rPr>
          <w:rFonts w:hint="eastAsia" w:ascii="宋体" w:hAnsi="宋体"/>
          <w:bCs/>
          <w:sz w:val="28"/>
          <w:szCs w:val="28"/>
        </w:rPr>
        <w:t>“</w:t>
      </w:r>
      <w:r>
        <w:rPr>
          <w:rFonts w:hint="eastAsia"/>
          <w:bCs/>
          <w:sz w:val="28"/>
          <w:szCs w:val="28"/>
        </w:rPr>
        <w:t>资格证明文件</w:t>
      </w:r>
      <w:r>
        <w:rPr>
          <w:rFonts w:hint="eastAsia" w:ascii="宋体" w:hAnsi="宋体"/>
          <w:bCs/>
          <w:sz w:val="28"/>
          <w:szCs w:val="28"/>
        </w:rPr>
        <w:t>”</w:t>
      </w:r>
      <w:r>
        <w:rPr>
          <w:rFonts w:hint="eastAsia"/>
          <w:bCs/>
          <w:sz w:val="28"/>
          <w:szCs w:val="28"/>
        </w:rPr>
        <w:t>，包括但不限于本章所述内容，本章提供格式文件的请按格式要求制作。</w:t>
      </w:r>
    </w:p>
    <w:p>
      <w:pPr>
        <w:spacing w:line="560" w:lineRule="exact"/>
        <w:ind w:firstLine="560" w:firstLineChars="200"/>
        <w:rPr>
          <w:bCs/>
          <w:sz w:val="28"/>
          <w:szCs w:val="28"/>
        </w:rPr>
      </w:pPr>
      <w:r>
        <w:rPr>
          <w:rFonts w:hint="eastAsia"/>
          <w:bCs/>
          <w:sz w:val="28"/>
          <w:szCs w:val="28"/>
        </w:rPr>
        <w:t>投标供应商制作投标文件时，应当对照《资格性审查表》《符合性审查表》《商务评审标准表》《技术评审标准表》提供尽可能详细的证明</w:t>
      </w:r>
      <w:r>
        <w:rPr>
          <w:rFonts w:hint="eastAsia" w:ascii="宋体" w:hAnsi="宋体"/>
          <w:bCs/>
          <w:sz w:val="28"/>
          <w:szCs w:val="28"/>
        </w:rPr>
        <w:t>材料</w:t>
      </w:r>
      <w:r>
        <w:rPr>
          <w:rFonts w:hint="eastAsia"/>
          <w:bCs/>
          <w:sz w:val="28"/>
          <w:szCs w:val="28"/>
        </w:rPr>
        <w:t>。</w:t>
      </w:r>
    </w:p>
    <w:p>
      <w:pPr>
        <w:spacing w:line="560" w:lineRule="exact"/>
        <w:ind w:firstLine="560" w:firstLineChars="200"/>
        <w:rPr>
          <w:bCs/>
          <w:i/>
          <w:iCs/>
          <w:sz w:val="28"/>
          <w:szCs w:val="28"/>
        </w:rPr>
      </w:pPr>
      <w:r>
        <w:rPr>
          <w:rFonts w:hint="eastAsia"/>
          <w:bCs/>
          <w:i/>
          <w:iCs/>
          <w:sz w:val="28"/>
          <w:szCs w:val="28"/>
        </w:rPr>
        <w:t>采购机构可以结合公开招标项目具体特点和实际需要，对本章内容进行补充或细化；本章内容不适用的，采购机构可以删除或调整。采购机构对本章内容进行调整的，应当将调整后的内容与专用文件一并发放投标供应商。</w:t>
      </w:r>
    </w:p>
    <w:p>
      <w:pPr>
        <w:pStyle w:val="16"/>
      </w:pPr>
    </w:p>
    <w:p>
      <w:pPr>
        <w:widowControl/>
        <w:ind w:firstLine="420" w:firstLineChars="200"/>
        <w:jc w:val="left"/>
        <w:rPr>
          <w:rFonts w:ascii="宋体" w:hAnsi="宋体"/>
          <w:bCs/>
        </w:rPr>
      </w:pPr>
      <w:r>
        <w:rPr>
          <w:rFonts w:ascii="宋体" w:hAnsi="宋体"/>
          <w:bCs/>
        </w:rPr>
        <w:br w:type="page"/>
      </w:r>
    </w:p>
    <w:p>
      <w:pPr>
        <w:spacing w:before="600" w:beforeLines="250" w:after="960" w:afterLines="400" w:line="360" w:lineRule="auto"/>
        <w:jc w:val="center"/>
        <w:rPr>
          <w:rFonts w:ascii="方正小标宋简体" w:eastAsia="方正小标宋简体"/>
          <w:bCs/>
          <w:sz w:val="48"/>
          <w:szCs w:val="48"/>
        </w:rPr>
      </w:pPr>
    </w:p>
    <w:p>
      <w:pPr>
        <w:spacing w:before="600" w:beforeLines="250" w:line="480" w:lineRule="auto"/>
        <w:jc w:val="center"/>
        <w:rPr>
          <w:rFonts w:ascii="方正小标宋简体" w:eastAsia="方正小标宋简体"/>
          <w:bCs/>
          <w:sz w:val="44"/>
          <w:szCs w:val="44"/>
        </w:rPr>
      </w:pPr>
      <w:r>
        <w:rPr>
          <w:rFonts w:hint="eastAsia" w:ascii="方正小标宋简体" w:eastAsia="方正小标宋简体"/>
          <w:bCs/>
          <w:sz w:val="48"/>
          <w:szCs w:val="48"/>
        </w:rPr>
        <w:t>物资类项目公开招标</w:t>
      </w:r>
    </w:p>
    <w:p>
      <w:pPr>
        <w:spacing w:after="480" w:afterLines="200"/>
        <w:jc w:val="center"/>
        <w:rPr>
          <w:rFonts w:ascii="方正小标宋简体" w:eastAsia="方正小标宋简体"/>
          <w:bCs/>
        </w:rPr>
      </w:pPr>
      <w:r>
        <w:rPr>
          <w:rFonts w:hint="eastAsia" w:ascii="方正小标宋简体" w:eastAsia="方正小标宋简体"/>
          <w:bCs/>
          <w:sz w:val="84"/>
          <w:szCs w:val="84"/>
        </w:rPr>
        <w:t>投 标 文 件</w:t>
      </w:r>
    </w:p>
    <w:p>
      <w:pPr>
        <w:pStyle w:val="4"/>
        <w:jc w:val="center"/>
        <w:rPr>
          <w:rFonts w:ascii="方正小标宋简体" w:eastAsia="方正小标宋简体"/>
          <w:b w:val="0"/>
          <w:sz w:val="52"/>
          <w:szCs w:val="52"/>
        </w:rPr>
      </w:pPr>
      <w:bookmarkStart w:id="294" w:name="_Toc81213694"/>
      <w:bookmarkStart w:id="295" w:name="_Toc18151"/>
      <w:bookmarkStart w:id="296" w:name="_Toc132190620"/>
      <w:bookmarkStart w:id="297" w:name="_Toc31021"/>
      <w:bookmarkStart w:id="298" w:name="_Toc8608"/>
      <w:bookmarkStart w:id="299" w:name="_Toc3800"/>
      <w:r>
        <w:rPr>
          <w:rFonts w:hint="eastAsia" w:ascii="方正小标宋简体" w:eastAsia="方正小标宋简体"/>
          <w:b w:val="0"/>
          <w:sz w:val="52"/>
          <w:szCs w:val="52"/>
        </w:rPr>
        <w:t>一、</w:t>
      </w:r>
      <w:bookmarkEnd w:id="294"/>
      <w:r>
        <w:rPr>
          <w:rFonts w:hint="eastAsia" w:ascii="方正小标宋简体" w:eastAsia="方正小标宋简体"/>
          <w:b w:val="0"/>
          <w:sz w:val="52"/>
          <w:szCs w:val="52"/>
        </w:rPr>
        <w:t>价格文件</w:t>
      </w:r>
      <w:bookmarkEnd w:id="295"/>
      <w:bookmarkEnd w:id="296"/>
      <w:bookmarkEnd w:id="297"/>
      <w:bookmarkEnd w:id="298"/>
      <w:bookmarkEnd w:id="299"/>
    </w:p>
    <w:p>
      <w:pPr>
        <w:adjustRightInd w:val="0"/>
        <w:snapToGrid w:val="0"/>
        <w:spacing w:line="360" w:lineRule="auto"/>
        <w:rPr>
          <w:rFonts w:ascii="方正小标宋简体" w:hAnsi="黑体" w:eastAsia="方正小标宋简体"/>
          <w:bCs/>
          <w:sz w:val="32"/>
          <w:szCs w:val="32"/>
        </w:rPr>
      </w:pP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项目名称：</w:t>
      </w:r>
      <w:r>
        <w:rPr>
          <w:rFonts w:hint="eastAsia" w:ascii="方正小标宋简体" w:eastAsia="方正小标宋简体"/>
          <w:bCs/>
          <w:sz w:val="36"/>
          <w:szCs w:val="36"/>
          <w:u w:val="single"/>
        </w:rPr>
        <w:t xml:space="preserve">                </w:t>
      </w: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项目编号：</w:t>
      </w:r>
      <w:r>
        <w:rPr>
          <w:rFonts w:hint="eastAsia" w:ascii="方正小标宋简体" w:eastAsia="方正小标宋简体"/>
          <w:bCs/>
          <w:sz w:val="36"/>
          <w:szCs w:val="36"/>
          <w:u w:val="single"/>
        </w:rPr>
        <w:t xml:space="preserve">                </w:t>
      </w:r>
    </w:p>
    <w:p>
      <w:pPr>
        <w:jc w:val="center"/>
        <w:rPr>
          <w:rFonts w:ascii="方正小标宋简体" w:eastAsia="方正小标宋简体"/>
          <w:bCs/>
          <w:sz w:val="36"/>
          <w:szCs w:val="36"/>
        </w:rPr>
      </w:pPr>
    </w:p>
    <w:p>
      <w:pPr>
        <w:jc w:val="center"/>
        <w:rPr>
          <w:rFonts w:ascii="方正小标宋简体" w:eastAsia="方正小标宋简体"/>
          <w:bCs/>
          <w:sz w:val="36"/>
          <w:szCs w:val="36"/>
        </w:rPr>
      </w:pPr>
    </w:p>
    <w:p>
      <w:pPr>
        <w:jc w:val="center"/>
        <w:rPr>
          <w:rFonts w:ascii="方正小标宋简体" w:eastAsia="方正小标宋简体"/>
          <w:bCs/>
          <w:sz w:val="36"/>
          <w:szCs w:val="36"/>
        </w:rPr>
      </w:pPr>
    </w:p>
    <w:p>
      <w:pPr>
        <w:ind w:firstLine="720" w:firstLineChars="200"/>
        <w:jc w:val="center"/>
        <w:rPr>
          <w:rFonts w:ascii="方正小标宋简体" w:eastAsia="方正小标宋简体"/>
          <w:bCs/>
          <w:sz w:val="36"/>
          <w:szCs w:val="36"/>
        </w:rPr>
      </w:pPr>
      <w:r>
        <w:rPr>
          <w:rFonts w:hint="eastAsia" w:ascii="方正小标宋简体" w:eastAsia="方正小标宋简体"/>
          <w:bCs/>
          <w:sz w:val="36"/>
          <w:szCs w:val="36"/>
        </w:rPr>
        <w:t>投标供应商：</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（盖章）</w:t>
      </w:r>
    </w:p>
    <w:p>
      <w:pPr>
        <w:spacing w:before="240" w:beforeLines="100"/>
        <w:ind w:firstLine="720" w:firstLineChars="200"/>
        <w:jc w:val="center"/>
        <w:rPr>
          <w:rFonts w:ascii="方正小标宋简体" w:hAnsi="宋体" w:eastAsia="方正小标宋简体"/>
          <w:bCs/>
        </w:rPr>
      </w:pP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年</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月</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日</w:t>
      </w:r>
    </w:p>
    <w:p>
      <w:pPr>
        <w:spacing w:line="400" w:lineRule="exact"/>
        <w:ind w:firstLine="493" w:firstLineChars="235"/>
        <w:jc w:val="left"/>
        <w:rPr>
          <w:rFonts w:ascii="宋体" w:hAnsi="宋体"/>
          <w:bCs/>
        </w:rPr>
      </w:pPr>
    </w:p>
    <w:p>
      <w:pPr>
        <w:spacing w:line="400" w:lineRule="exact"/>
        <w:ind w:firstLine="493" w:firstLineChars="235"/>
        <w:jc w:val="left"/>
        <w:rPr>
          <w:rFonts w:ascii="宋体" w:hAnsi="宋体"/>
          <w:bCs/>
        </w:rPr>
      </w:pPr>
    </w:p>
    <w:p>
      <w:pPr>
        <w:spacing w:line="400" w:lineRule="exact"/>
        <w:ind w:firstLine="493" w:firstLineChars="235"/>
        <w:jc w:val="left"/>
        <w:rPr>
          <w:rFonts w:ascii="宋体" w:hAnsi="宋体"/>
          <w:bCs/>
        </w:rPr>
        <w:sectPr>
          <w:headerReference r:id="rId6" w:type="default"/>
          <w:pgSz w:w="11906" w:h="16838"/>
          <w:pgMar w:top="1418" w:right="1134" w:bottom="1418" w:left="1418" w:header="851" w:footer="851" w:gutter="0"/>
          <w:cols w:space="720" w:num="1"/>
        </w:sectPr>
      </w:pPr>
    </w:p>
    <w:p>
      <w:pPr>
        <w:pStyle w:val="5"/>
        <w:spacing w:before="120" w:beforeLines="50" w:after="120" w:afterLines="50"/>
        <w:rPr>
          <w:b w:val="0"/>
        </w:rPr>
      </w:pPr>
      <w:bookmarkStart w:id="300" w:name="_Toc8444"/>
      <w:bookmarkStart w:id="301" w:name="_Toc13727"/>
      <w:bookmarkStart w:id="302" w:name="_Toc1873"/>
      <w:bookmarkStart w:id="303" w:name="_Toc12492"/>
      <w:r>
        <w:rPr>
          <w:rFonts w:hint="eastAsia"/>
          <w:b w:val="0"/>
        </w:rPr>
        <w:t>附件</w:t>
      </w:r>
      <w:r>
        <w:rPr>
          <w:b w:val="0"/>
        </w:rPr>
        <w:t xml:space="preserve">1-1 </w:t>
      </w:r>
      <w:r>
        <w:rPr>
          <w:rFonts w:hint="eastAsia"/>
          <w:b w:val="0"/>
        </w:rPr>
        <w:t>开标一览表</w:t>
      </w:r>
      <w:bookmarkEnd w:id="300"/>
      <w:bookmarkEnd w:id="301"/>
      <w:bookmarkEnd w:id="302"/>
      <w:bookmarkEnd w:id="303"/>
    </w:p>
    <w:p>
      <w:pPr>
        <w:spacing w:before="120" w:beforeLines="50" w:after="120" w:afterLines="50" w:line="560" w:lineRule="exact"/>
        <w:ind w:firstLine="720" w:firstLineChars="200"/>
        <w:jc w:val="center"/>
        <w:rPr>
          <w:rFonts w:ascii="黑体" w:hAnsi="黑体" w:eastAsia="黑体" w:cs="黑体"/>
          <w:bCs/>
          <w:sz w:val="36"/>
          <w:szCs w:val="36"/>
        </w:rPr>
      </w:pPr>
      <w:r>
        <w:rPr>
          <w:rFonts w:hint="eastAsia" w:ascii="黑体" w:hAnsi="黑体" w:eastAsia="黑体" w:cs="黑体"/>
          <w:bCs/>
          <w:sz w:val="36"/>
          <w:szCs w:val="36"/>
        </w:rPr>
        <w:t>开标一览表</w:t>
      </w:r>
    </w:p>
    <w:p>
      <w:pPr>
        <w:rPr>
          <w:bCs/>
          <w:sz w:val="28"/>
          <w:szCs w:val="28"/>
        </w:rPr>
      </w:pPr>
      <w:r>
        <w:rPr>
          <w:rFonts w:hint="eastAsia"/>
          <w:bCs/>
          <w:sz w:val="28"/>
          <w:szCs w:val="28"/>
        </w:rPr>
        <w:t>项目名称：</w:t>
      </w:r>
      <w:r>
        <w:rPr>
          <w:bCs/>
          <w:sz w:val="28"/>
          <w:szCs w:val="28"/>
          <w:u w:val="single"/>
        </w:rPr>
        <w:t xml:space="preserve">                  </w:t>
      </w:r>
      <w:r>
        <w:rPr>
          <w:bCs/>
          <w:sz w:val="28"/>
          <w:szCs w:val="28"/>
        </w:rPr>
        <w:t xml:space="preserve">     </w:t>
      </w:r>
      <w:r>
        <w:rPr>
          <w:rFonts w:hint="eastAsia"/>
          <w:bCs/>
          <w:sz w:val="28"/>
          <w:szCs w:val="28"/>
        </w:rPr>
        <w:t>项目编号：</w:t>
      </w:r>
      <w:r>
        <w:rPr>
          <w:bCs/>
          <w:sz w:val="28"/>
          <w:szCs w:val="28"/>
          <w:u w:val="single"/>
        </w:rPr>
        <w:t xml:space="preserve">               </w:t>
      </w:r>
      <w:r>
        <w:rPr>
          <w:bCs/>
          <w:sz w:val="28"/>
          <w:szCs w:val="28"/>
        </w:rPr>
        <w:t xml:space="preserve">         </w:t>
      </w:r>
      <w:r>
        <w:rPr>
          <w:rFonts w:hint="eastAsia"/>
          <w:bCs/>
          <w:sz w:val="28"/>
          <w:szCs w:val="28"/>
        </w:rPr>
        <w:t>金额单位：元</w:t>
      </w:r>
    </w:p>
    <w:tbl>
      <w:tblPr>
        <w:tblStyle w:val="42"/>
        <w:tblW w:w="14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960"/>
        <w:gridCol w:w="1341"/>
        <w:gridCol w:w="1619"/>
        <w:gridCol w:w="1232"/>
        <w:gridCol w:w="1112"/>
        <w:gridCol w:w="1245"/>
        <w:gridCol w:w="1179"/>
        <w:gridCol w:w="985"/>
        <w:gridCol w:w="1382"/>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序号</w:t>
            </w:r>
          </w:p>
        </w:tc>
        <w:tc>
          <w:tcPr>
            <w:tcW w:w="1960"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lang w:val="en-US" w:eastAsia="zh-CN"/>
              </w:rPr>
              <w:t>项目</w:t>
            </w:r>
            <w:r>
              <w:rPr>
                <w:rFonts w:hint="eastAsia"/>
                <w:bCs/>
                <w:sz w:val="24"/>
              </w:rPr>
              <w:t>名称</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品牌</w:t>
            </w:r>
          </w:p>
        </w:tc>
        <w:tc>
          <w:tcPr>
            <w:tcW w:w="1619"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规格型号</w:t>
            </w:r>
          </w:p>
        </w:tc>
        <w:tc>
          <w:tcPr>
            <w:tcW w:w="1232"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计量</w:t>
            </w:r>
          </w:p>
          <w:p>
            <w:pPr>
              <w:jc w:val="center"/>
              <w:rPr>
                <w:bCs/>
                <w:sz w:val="24"/>
              </w:rPr>
            </w:pPr>
            <w:r>
              <w:rPr>
                <w:rFonts w:hint="eastAsia"/>
                <w:bCs/>
                <w:sz w:val="24"/>
              </w:rPr>
              <w:t>单位</w:t>
            </w:r>
          </w:p>
        </w:tc>
        <w:tc>
          <w:tcPr>
            <w:tcW w:w="1112"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数量</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单价</w:t>
            </w:r>
          </w:p>
          <w:p>
            <w:pPr>
              <w:jc w:val="center"/>
              <w:rPr>
                <w:bCs/>
                <w:sz w:val="24"/>
              </w:rPr>
            </w:pPr>
            <w:r>
              <w:rPr>
                <w:rFonts w:hint="eastAsia"/>
                <w:bCs/>
                <w:sz w:val="24"/>
              </w:rPr>
              <w:t>（含税）</w:t>
            </w:r>
          </w:p>
        </w:tc>
        <w:tc>
          <w:tcPr>
            <w:tcW w:w="1179"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金额</w:t>
            </w:r>
          </w:p>
          <w:p>
            <w:pPr>
              <w:jc w:val="center"/>
              <w:rPr>
                <w:bCs/>
                <w:spacing w:val="-4"/>
                <w:sz w:val="24"/>
              </w:rPr>
            </w:pPr>
            <w:r>
              <w:rPr>
                <w:rFonts w:hint="eastAsia"/>
                <w:bCs/>
                <w:sz w:val="24"/>
              </w:rPr>
              <w:t>（含税）</w:t>
            </w:r>
          </w:p>
        </w:tc>
        <w:tc>
          <w:tcPr>
            <w:tcW w:w="985"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交货</w:t>
            </w:r>
          </w:p>
          <w:p>
            <w:pPr>
              <w:jc w:val="center"/>
              <w:rPr>
                <w:bCs/>
                <w:sz w:val="24"/>
              </w:rPr>
            </w:pPr>
            <w:r>
              <w:rPr>
                <w:rFonts w:hint="eastAsia"/>
                <w:bCs/>
                <w:sz w:val="24"/>
              </w:rPr>
              <w:t>时间</w:t>
            </w:r>
          </w:p>
        </w:tc>
        <w:tc>
          <w:tcPr>
            <w:tcW w:w="1382"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交货地点</w:t>
            </w:r>
          </w:p>
        </w:tc>
        <w:tc>
          <w:tcPr>
            <w:tcW w:w="1274"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2"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rPr>
                <w:rFonts w:hint="eastAsia" w:eastAsia="宋体"/>
                <w:bCs/>
                <w:sz w:val="24"/>
                <w:lang w:val="en-US" w:eastAsia="zh-CN"/>
              </w:rPr>
            </w:pPr>
          </w:p>
        </w:tc>
        <w:tc>
          <w:tcPr>
            <w:tcW w:w="1960"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341" w:type="dxa"/>
            <w:tcBorders>
              <w:top w:val="single" w:color="auto" w:sz="4" w:space="0"/>
              <w:left w:val="single" w:color="auto" w:sz="4" w:space="0"/>
              <w:bottom w:val="single" w:color="auto" w:sz="4" w:space="0"/>
              <w:right w:val="single" w:color="auto" w:sz="4" w:space="0"/>
            </w:tcBorders>
            <w:vAlign w:val="center"/>
          </w:tcPr>
          <w:p>
            <w:pPr>
              <w:rPr>
                <w:rFonts w:hint="eastAsia" w:eastAsia="宋体"/>
                <w:bCs/>
                <w:sz w:val="24"/>
                <w:lang w:val="en-US" w:eastAsia="zh-CN"/>
              </w:rPr>
            </w:pPr>
          </w:p>
        </w:tc>
        <w:tc>
          <w:tcPr>
            <w:tcW w:w="1619" w:type="dxa"/>
            <w:tcBorders>
              <w:top w:val="single" w:color="auto" w:sz="4" w:space="0"/>
              <w:left w:val="single" w:color="auto" w:sz="4" w:space="0"/>
              <w:bottom w:val="single" w:color="auto" w:sz="4" w:space="0"/>
              <w:right w:val="single" w:color="auto" w:sz="4" w:space="0"/>
            </w:tcBorders>
            <w:vAlign w:val="center"/>
          </w:tcPr>
          <w:p>
            <w:pPr>
              <w:rPr>
                <w:rFonts w:hint="eastAsia" w:eastAsia="宋体"/>
                <w:bCs/>
                <w:sz w:val="24"/>
                <w:lang w:val="en-US" w:eastAsia="zh-CN"/>
              </w:rPr>
            </w:pPr>
          </w:p>
        </w:tc>
        <w:tc>
          <w:tcPr>
            <w:tcW w:w="1232" w:type="dxa"/>
            <w:tcBorders>
              <w:top w:val="single" w:color="auto" w:sz="4" w:space="0"/>
              <w:left w:val="single" w:color="auto" w:sz="4" w:space="0"/>
              <w:bottom w:val="single" w:color="auto" w:sz="4" w:space="0"/>
              <w:right w:val="single" w:color="auto" w:sz="4" w:space="0"/>
            </w:tcBorders>
            <w:vAlign w:val="center"/>
          </w:tcPr>
          <w:p>
            <w:pPr>
              <w:rPr>
                <w:rFonts w:hint="default" w:eastAsia="宋体"/>
                <w:bCs/>
                <w:sz w:val="24"/>
                <w:lang w:val="en-US" w:eastAsia="zh-CN"/>
              </w:rPr>
            </w:pPr>
          </w:p>
        </w:tc>
        <w:tc>
          <w:tcPr>
            <w:tcW w:w="1112" w:type="dxa"/>
            <w:tcBorders>
              <w:top w:val="single" w:color="auto" w:sz="4" w:space="0"/>
              <w:left w:val="single" w:color="auto" w:sz="4" w:space="0"/>
              <w:bottom w:val="single" w:color="auto" w:sz="4" w:space="0"/>
              <w:right w:val="single" w:color="auto" w:sz="4" w:space="0"/>
            </w:tcBorders>
            <w:vAlign w:val="center"/>
          </w:tcPr>
          <w:p>
            <w:pPr>
              <w:rPr>
                <w:rFonts w:hint="eastAsia" w:eastAsia="宋体"/>
                <w:bCs/>
                <w:sz w:val="24"/>
                <w:lang w:val="en-US" w:eastAsia="zh-CN"/>
              </w:rPr>
            </w:pPr>
          </w:p>
        </w:tc>
        <w:tc>
          <w:tcPr>
            <w:tcW w:w="1245"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179"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985"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274" w:type="dxa"/>
            <w:tcBorders>
              <w:top w:val="single" w:color="auto" w:sz="4" w:space="0"/>
              <w:left w:val="single" w:color="auto" w:sz="4" w:space="0"/>
              <w:bottom w:val="single" w:color="auto" w:sz="4" w:space="0"/>
              <w:right w:val="single" w:color="auto" w:sz="4" w:space="0"/>
            </w:tcBorders>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77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pacing w:val="-4"/>
                <w:sz w:val="24"/>
              </w:rPr>
              <w:t>合  计</w:t>
            </w:r>
          </w:p>
        </w:tc>
        <w:tc>
          <w:tcPr>
            <w:tcW w:w="134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61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2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1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24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17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98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2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4140" w:type="dxa"/>
            <w:gridSpan w:val="11"/>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r>
              <w:rPr>
                <w:rFonts w:hint="eastAsia" w:ascii="宋体" w:hAnsi="宋体" w:cs="宋体"/>
                <w:bCs/>
                <w:spacing w:val="-4"/>
                <w:sz w:val="24"/>
              </w:rPr>
              <w:t>投标总价（人民币大写）：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4140" w:type="dxa"/>
            <w:gridSpan w:val="11"/>
            <w:tcBorders>
              <w:top w:val="single" w:color="auto" w:sz="4" w:space="0"/>
              <w:left w:val="single" w:color="auto" w:sz="4" w:space="0"/>
              <w:bottom w:val="single" w:color="auto" w:sz="4" w:space="0"/>
              <w:right w:val="single" w:color="auto" w:sz="4" w:space="0"/>
            </w:tcBorders>
            <w:vAlign w:val="center"/>
          </w:tcPr>
          <w:p>
            <w:pPr>
              <w:spacing w:before="120" w:beforeLines="50"/>
              <w:rPr>
                <w:rFonts w:ascii="宋体" w:hAnsi="宋体" w:cs="宋体"/>
                <w:b/>
                <w:bCs/>
                <w:sz w:val="28"/>
                <w:szCs w:val="28"/>
              </w:rPr>
            </w:pPr>
            <w:r>
              <w:rPr>
                <w:rFonts w:hint="eastAsia" w:ascii="宋体" w:hAnsi="宋体" w:cs="宋体"/>
                <w:bCs/>
                <w:spacing w:val="-4"/>
                <w:sz w:val="24"/>
              </w:rPr>
              <w:t>说明：金额=单价×数量，投标总价=金额之和。</w:t>
            </w:r>
          </w:p>
        </w:tc>
      </w:tr>
    </w:tbl>
    <w:p>
      <w:pPr>
        <w:ind w:firstLine="560" w:firstLineChars="200"/>
        <w:rPr>
          <w:rFonts w:ascii="宋体" w:hAnsi="宋体" w:cs="宋体"/>
          <w:bCs/>
          <w:sz w:val="28"/>
          <w:szCs w:val="28"/>
        </w:rPr>
      </w:pPr>
    </w:p>
    <w:p>
      <w:pPr>
        <w:rPr>
          <w:bCs/>
          <w:sz w:val="28"/>
          <w:szCs w:val="28"/>
        </w:rPr>
      </w:pPr>
      <w:r>
        <w:rPr>
          <w:rFonts w:hint="eastAsia"/>
          <w:bCs/>
          <w:sz w:val="28"/>
          <w:szCs w:val="28"/>
        </w:rPr>
        <w:t>投标供应商全称：（盖章）</w:t>
      </w:r>
      <w:r>
        <w:rPr>
          <w:bCs/>
          <w:sz w:val="28"/>
          <w:szCs w:val="28"/>
        </w:rPr>
        <w:t xml:space="preserve">                               </w:t>
      </w:r>
      <w:r>
        <w:rPr>
          <w:rFonts w:hint="eastAsia"/>
          <w:bCs/>
          <w:sz w:val="28"/>
          <w:szCs w:val="28"/>
        </w:rPr>
        <w:t>法定代表人（或授权代表）：（签字）</w:t>
      </w:r>
    </w:p>
    <w:p>
      <w:pPr>
        <w:rPr>
          <w:bCs/>
          <w:sz w:val="32"/>
          <w:szCs w:val="32"/>
        </w:rPr>
      </w:pPr>
    </w:p>
    <w:p>
      <w:pPr>
        <w:ind w:firstLine="640" w:firstLineChars="200"/>
        <w:jc w:val="center"/>
        <w:rPr>
          <w:bCs/>
          <w:sz w:val="28"/>
          <w:szCs w:val="28"/>
        </w:rPr>
      </w:pPr>
      <w:r>
        <w:rPr>
          <w:bCs/>
          <w:sz w:val="32"/>
          <w:szCs w:val="32"/>
        </w:rPr>
        <w:t xml:space="preserve">                                                 </w:t>
      </w: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pStyle w:val="16"/>
      </w:pPr>
    </w:p>
    <w:p>
      <w:r>
        <w:br w:type="page"/>
      </w:r>
    </w:p>
    <w:p>
      <w:pPr>
        <w:pStyle w:val="5"/>
        <w:spacing w:before="120" w:beforeLines="50" w:after="120" w:afterLines="50"/>
        <w:rPr>
          <w:b w:val="0"/>
        </w:rPr>
      </w:pPr>
      <w:r>
        <w:rPr>
          <w:rFonts w:hint="eastAsia"/>
          <w:b w:val="0"/>
        </w:rPr>
        <w:t>附件</w:t>
      </w:r>
      <w:r>
        <w:rPr>
          <w:b w:val="0"/>
        </w:rPr>
        <w:t xml:space="preserve">1-2 </w:t>
      </w:r>
      <w:r>
        <w:rPr>
          <w:rFonts w:hint="eastAsia"/>
          <w:b w:val="0"/>
        </w:rPr>
        <w:t>分项报价表</w:t>
      </w:r>
    </w:p>
    <w:p/>
    <w:p>
      <w:pPr>
        <w:spacing w:after="240" w:afterLines="100"/>
        <w:jc w:val="center"/>
        <w:rPr>
          <w:rFonts w:eastAsia="方正小标宋简体"/>
          <w:sz w:val="44"/>
          <w:szCs w:val="44"/>
        </w:rPr>
      </w:pPr>
      <w:r>
        <w:rPr>
          <w:rFonts w:hint="eastAsia" w:ascii="黑体" w:hAnsi="黑体" w:eastAsia="黑体" w:cs="黑体"/>
          <w:bCs/>
          <w:sz w:val="36"/>
          <w:szCs w:val="36"/>
        </w:rPr>
        <w:t>分项报价表</w:t>
      </w:r>
    </w:p>
    <w:p>
      <w:pPr>
        <w:rPr>
          <w:rFonts w:hint="eastAsia"/>
          <w:lang w:eastAsia="zh-CN"/>
        </w:rPr>
      </w:pPr>
      <w:r>
        <w:rPr>
          <w:rFonts w:hint="eastAsia"/>
          <w:bCs/>
          <w:sz w:val="28"/>
          <w:szCs w:val="28"/>
        </w:rPr>
        <w:t>项目名称：</w:t>
      </w:r>
      <w:r>
        <w:rPr>
          <w:bCs/>
          <w:sz w:val="28"/>
          <w:szCs w:val="28"/>
          <w:u w:val="single"/>
        </w:rPr>
        <w:t xml:space="preserve">                  </w:t>
      </w:r>
      <w:r>
        <w:rPr>
          <w:bCs/>
          <w:sz w:val="28"/>
          <w:szCs w:val="28"/>
        </w:rPr>
        <w:t xml:space="preserve">     </w:t>
      </w:r>
      <w:r>
        <w:rPr>
          <w:rFonts w:hint="eastAsia"/>
          <w:bCs/>
          <w:sz w:val="28"/>
          <w:szCs w:val="28"/>
        </w:rPr>
        <w:t>项目编号：</w:t>
      </w:r>
      <w:r>
        <w:rPr>
          <w:bCs/>
          <w:sz w:val="28"/>
          <w:szCs w:val="28"/>
          <w:u w:val="single"/>
        </w:rPr>
        <w:t xml:space="preserve">               </w:t>
      </w:r>
      <w:r>
        <w:rPr>
          <w:bCs/>
          <w:sz w:val="28"/>
          <w:szCs w:val="28"/>
        </w:rPr>
        <w:t xml:space="preserve">         </w:t>
      </w:r>
      <w:r>
        <w:rPr>
          <w:rFonts w:hint="eastAsia"/>
          <w:bCs/>
          <w:sz w:val="28"/>
          <w:szCs w:val="28"/>
        </w:rPr>
        <w:t>金额单位：元</w:t>
      </w:r>
    </w:p>
    <w:tbl>
      <w:tblPr>
        <w:tblStyle w:val="42"/>
        <w:tblW w:w="14490" w:type="dxa"/>
        <w:tblInd w:w="108" w:type="dxa"/>
        <w:tblLayout w:type="fixed"/>
        <w:tblCellMar>
          <w:top w:w="0" w:type="dxa"/>
          <w:left w:w="108" w:type="dxa"/>
          <w:bottom w:w="0" w:type="dxa"/>
          <w:right w:w="108" w:type="dxa"/>
        </w:tblCellMar>
      </w:tblPr>
      <w:tblGrid>
        <w:gridCol w:w="823"/>
        <w:gridCol w:w="3339"/>
        <w:gridCol w:w="2133"/>
        <w:gridCol w:w="1880"/>
        <w:gridCol w:w="1160"/>
        <w:gridCol w:w="1133"/>
        <w:gridCol w:w="1134"/>
        <w:gridCol w:w="1666"/>
        <w:gridCol w:w="1222"/>
      </w:tblGrid>
      <w:tr>
        <w:trPr>
          <w:cantSplit/>
          <w:trHeight w:val="340" w:hRule="atLeast"/>
        </w:trPr>
        <w:tc>
          <w:tcPr>
            <w:tcW w:w="823" w:type="dxa"/>
            <w:vMerge w:val="restart"/>
            <w:tcBorders>
              <w:top w:val="single" w:color="auto" w:sz="4" w:space="0"/>
              <w:left w:val="single" w:color="auto" w:sz="8" w:space="0"/>
              <w:bottom w:val="single" w:color="auto" w:sz="4" w:space="0"/>
              <w:right w:val="single" w:color="auto" w:sz="4" w:space="0"/>
            </w:tcBorders>
            <w:vAlign w:val="center"/>
          </w:tcPr>
          <w:p>
            <w:pPr>
              <w:pStyle w:val="158"/>
              <w:jc w:val="center"/>
              <w:rPr>
                <w:rFonts w:hint="eastAsia" w:ascii="Times New Roman" w:hAnsi="Times New Roman" w:eastAsia="宋体" w:cs="Times New Roman"/>
                <w:bCs/>
                <w:kern w:val="2"/>
                <w:sz w:val="24"/>
                <w:szCs w:val="24"/>
                <w:lang w:val="en-US" w:eastAsia="zh-CN" w:bidi="ar-SA"/>
              </w:rPr>
            </w:pPr>
            <w:r>
              <w:rPr>
                <w:rFonts w:hint="eastAsia" w:ascii="Times New Roman" w:hAnsi="Times New Roman" w:eastAsia="宋体" w:cs="Times New Roman"/>
                <w:bCs/>
                <w:kern w:val="2"/>
                <w:sz w:val="24"/>
                <w:szCs w:val="24"/>
                <w:lang w:val="en-US" w:eastAsia="zh-CN" w:bidi="ar-SA"/>
              </w:rPr>
              <w:t>序号</w:t>
            </w:r>
          </w:p>
        </w:tc>
        <w:tc>
          <w:tcPr>
            <w:tcW w:w="3339" w:type="dxa"/>
            <w:vMerge w:val="restart"/>
            <w:tcBorders>
              <w:top w:val="single" w:color="auto" w:sz="4" w:space="0"/>
              <w:left w:val="single" w:color="auto" w:sz="4" w:space="0"/>
              <w:bottom w:val="single" w:color="auto" w:sz="4" w:space="0"/>
              <w:right w:val="single" w:color="auto" w:sz="4" w:space="0"/>
            </w:tcBorders>
            <w:noWrap/>
            <w:vAlign w:val="center"/>
          </w:tcPr>
          <w:p>
            <w:pPr>
              <w:pStyle w:val="158"/>
              <w:jc w:val="center"/>
              <w:rPr>
                <w:rFonts w:hint="eastAsia" w:ascii="Times New Roman" w:hAnsi="Times New Roman" w:eastAsia="宋体" w:cs="Times New Roman"/>
                <w:bCs/>
                <w:kern w:val="2"/>
                <w:sz w:val="24"/>
                <w:szCs w:val="24"/>
                <w:lang w:val="en-US" w:eastAsia="zh-CN" w:bidi="ar-SA"/>
              </w:rPr>
            </w:pPr>
            <w:r>
              <w:rPr>
                <w:rFonts w:hint="eastAsia" w:ascii="Times New Roman" w:hAnsi="Times New Roman" w:eastAsia="宋体" w:cs="Times New Roman"/>
                <w:bCs/>
                <w:kern w:val="2"/>
                <w:sz w:val="24"/>
                <w:szCs w:val="24"/>
                <w:lang w:val="en-US" w:eastAsia="zh-CN" w:bidi="ar-SA"/>
              </w:rPr>
              <w:t>物资名称</w:t>
            </w:r>
          </w:p>
        </w:tc>
        <w:tc>
          <w:tcPr>
            <w:tcW w:w="2133" w:type="dxa"/>
            <w:vMerge w:val="restart"/>
            <w:tcBorders>
              <w:top w:val="single" w:color="auto" w:sz="4" w:space="0"/>
              <w:left w:val="single" w:color="auto" w:sz="4" w:space="0"/>
              <w:bottom w:val="single" w:color="auto" w:sz="4" w:space="0"/>
              <w:right w:val="single" w:color="auto" w:sz="4" w:space="0"/>
            </w:tcBorders>
            <w:vAlign w:val="center"/>
          </w:tcPr>
          <w:p>
            <w:pPr>
              <w:pStyle w:val="158"/>
              <w:jc w:val="center"/>
              <w:rPr>
                <w:rFonts w:hint="eastAsia" w:ascii="Times New Roman" w:hAnsi="Times New Roman" w:eastAsia="宋体" w:cs="Times New Roman"/>
                <w:bCs/>
                <w:kern w:val="2"/>
                <w:sz w:val="24"/>
                <w:szCs w:val="24"/>
                <w:lang w:val="en-US" w:eastAsia="zh-CN" w:bidi="ar-SA"/>
              </w:rPr>
            </w:pPr>
            <w:r>
              <w:rPr>
                <w:rFonts w:hint="eastAsia" w:ascii="Times New Roman" w:hAnsi="Times New Roman" w:eastAsia="宋体" w:cs="Times New Roman"/>
                <w:bCs/>
                <w:kern w:val="2"/>
                <w:sz w:val="24"/>
                <w:szCs w:val="24"/>
                <w:lang w:val="en-US" w:eastAsia="zh-CN" w:bidi="ar-SA"/>
              </w:rPr>
              <w:t>品牌</w:t>
            </w:r>
          </w:p>
        </w:tc>
        <w:tc>
          <w:tcPr>
            <w:tcW w:w="1880" w:type="dxa"/>
            <w:vMerge w:val="restart"/>
            <w:tcBorders>
              <w:top w:val="single" w:color="auto" w:sz="4" w:space="0"/>
              <w:left w:val="single" w:color="auto" w:sz="4" w:space="0"/>
              <w:bottom w:val="single" w:color="000000" w:sz="4" w:space="0"/>
              <w:right w:val="single" w:color="auto" w:sz="4" w:space="0"/>
            </w:tcBorders>
            <w:vAlign w:val="center"/>
          </w:tcPr>
          <w:p>
            <w:pPr>
              <w:pStyle w:val="158"/>
              <w:jc w:val="center"/>
              <w:rPr>
                <w:rFonts w:hint="eastAsia" w:ascii="Times New Roman" w:hAnsi="Times New Roman" w:eastAsia="宋体" w:cs="Times New Roman"/>
                <w:bCs/>
                <w:kern w:val="2"/>
                <w:sz w:val="24"/>
                <w:szCs w:val="24"/>
                <w:lang w:val="en-US" w:eastAsia="zh-CN" w:bidi="ar-SA"/>
              </w:rPr>
            </w:pPr>
            <w:r>
              <w:rPr>
                <w:rFonts w:hint="eastAsia" w:ascii="Times New Roman" w:hAnsi="Times New Roman" w:eastAsia="宋体" w:cs="Times New Roman"/>
                <w:bCs/>
                <w:kern w:val="2"/>
                <w:sz w:val="24"/>
                <w:szCs w:val="24"/>
                <w:lang w:val="en-US" w:eastAsia="zh-CN" w:bidi="ar-SA"/>
              </w:rPr>
              <w:t>规格型号</w:t>
            </w:r>
          </w:p>
        </w:tc>
        <w:tc>
          <w:tcPr>
            <w:tcW w:w="1160" w:type="dxa"/>
            <w:vMerge w:val="restart"/>
            <w:tcBorders>
              <w:top w:val="single" w:color="auto" w:sz="4" w:space="0"/>
              <w:left w:val="single" w:color="auto" w:sz="4" w:space="0"/>
              <w:bottom w:val="single" w:color="auto" w:sz="4" w:space="0"/>
              <w:right w:val="single" w:color="auto" w:sz="4" w:space="0"/>
            </w:tcBorders>
            <w:noWrap/>
            <w:vAlign w:val="center"/>
          </w:tcPr>
          <w:p>
            <w:pPr>
              <w:pStyle w:val="158"/>
              <w:jc w:val="center"/>
              <w:rPr>
                <w:rFonts w:hint="eastAsia" w:ascii="Times New Roman" w:hAnsi="Times New Roman" w:eastAsia="宋体" w:cs="Times New Roman"/>
                <w:bCs/>
                <w:kern w:val="2"/>
                <w:sz w:val="24"/>
                <w:szCs w:val="24"/>
                <w:lang w:val="en-US" w:eastAsia="zh-CN" w:bidi="ar-SA"/>
              </w:rPr>
            </w:pPr>
            <w:r>
              <w:rPr>
                <w:rFonts w:hint="eastAsia" w:ascii="Times New Roman" w:hAnsi="Times New Roman" w:eastAsia="宋体" w:cs="Times New Roman"/>
                <w:bCs/>
                <w:kern w:val="2"/>
                <w:sz w:val="24"/>
                <w:szCs w:val="24"/>
                <w:lang w:val="en-US" w:eastAsia="zh-CN" w:bidi="ar-SA"/>
              </w:rPr>
              <w:t>数量</w:t>
            </w:r>
          </w:p>
        </w:tc>
        <w:tc>
          <w:tcPr>
            <w:tcW w:w="1133" w:type="dxa"/>
            <w:vMerge w:val="restart"/>
            <w:tcBorders>
              <w:top w:val="single" w:color="auto" w:sz="4" w:space="0"/>
              <w:left w:val="single" w:color="auto" w:sz="4" w:space="0"/>
              <w:bottom w:val="single" w:color="auto" w:sz="4" w:space="0"/>
              <w:right w:val="single" w:color="auto" w:sz="4" w:space="0"/>
            </w:tcBorders>
            <w:noWrap/>
            <w:vAlign w:val="center"/>
          </w:tcPr>
          <w:p>
            <w:pPr>
              <w:pStyle w:val="158"/>
              <w:jc w:val="center"/>
              <w:rPr>
                <w:rFonts w:hint="eastAsia" w:ascii="Times New Roman" w:hAnsi="Times New Roman" w:eastAsia="宋体" w:cs="Times New Roman"/>
                <w:bCs/>
                <w:kern w:val="2"/>
                <w:sz w:val="24"/>
                <w:szCs w:val="24"/>
                <w:lang w:val="en-US" w:eastAsia="zh-CN" w:bidi="ar-SA"/>
              </w:rPr>
            </w:pPr>
            <w:r>
              <w:rPr>
                <w:rFonts w:hint="eastAsia" w:ascii="Times New Roman" w:hAnsi="Times New Roman" w:eastAsia="宋体" w:cs="Times New Roman"/>
                <w:bCs/>
                <w:kern w:val="2"/>
                <w:sz w:val="24"/>
                <w:szCs w:val="24"/>
                <w:lang w:val="en-US" w:eastAsia="zh-CN" w:bidi="ar-SA"/>
              </w:rPr>
              <w:t>单位</w:t>
            </w:r>
          </w:p>
        </w:tc>
        <w:tc>
          <w:tcPr>
            <w:tcW w:w="1134" w:type="dxa"/>
            <w:vMerge w:val="restart"/>
            <w:tcBorders>
              <w:top w:val="single" w:color="auto" w:sz="4" w:space="0"/>
              <w:left w:val="single" w:color="auto" w:sz="4" w:space="0"/>
              <w:bottom w:val="single" w:color="auto" w:sz="4" w:space="0"/>
              <w:right w:val="single" w:color="auto" w:sz="4" w:space="0"/>
            </w:tcBorders>
            <w:noWrap/>
            <w:vAlign w:val="center"/>
          </w:tcPr>
          <w:p>
            <w:pPr>
              <w:pStyle w:val="158"/>
              <w:jc w:val="center"/>
              <w:rPr>
                <w:rFonts w:hint="eastAsia" w:ascii="Times New Roman" w:hAnsi="Times New Roman" w:eastAsia="宋体" w:cs="Times New Roman"/>
                <w:bCs/>
                <w:kern w:val="2"/>
                <w:sz w:val="24"/>
                <w:szCs w:val="24"/>
                <w:lang w:val="en-US" w:eastAsia="zh-CN" w:bidi="ar-SA"/>
              </w:rPr>
            </w:pPr>
            <w:r>
              <w:rPr>
                <w:rFonts w:hint="eastAsia" w:ascii="Times New Roman" w:hAnsi="Times New Roman" w:eastAsia="宋体" w:cs="Times New Roman"/>
                <w:bCs/>
                <w:kern w:val="2"/>
                <w:sz w:val="24"/>
                <w:szCs w:val="24"/>
                <w:lang w:val="en-US" w:eastAsia="zh-CN" w:bidi="ar-SA"/>
              </w:rPr>
              <w:t>总价</w:t>
            </w:r>
          </w:p>
        </w:tc>
        <w:tc>
          <w:tcPr>
            <w:tcW w:w="1666" w:type="dxa"/>
            <w:vMerge w:val="restart"/>
            <w:tcBorders>
              <w:top w:val="single" w:color="auto" w:sz="4" w:space="0"/>
              <w:left w:val="single" w:color="auto" w:sz="4" w:space="0"/>
              <w:bottom w:val="single" w:color="auto" w:sz="4" w:space="0"/>
              <w:right w:val="single" w:color="auto" w:sz="4" w:space="0"/>
            </w:tcBorders>
            <w:noWrap/>
            <w:vAlign w:val="center"/>
          </w:tcPr>
          <w:p>
            <w:pPr>
              <w:pStyle w:val="158"/>
              <w:jc w:val="center"/>
              <w:rPr>
                <w:rFonts w:hint="eastAsia" w:ascii="Times New Roman" w:hAnsi="Times New Roman" w:eastAsia="宋体" w:cs="Times New Roman"/>
                <w:bCs/>
                <w:kern w:val="2"/>
                <w:sz w:val="24"/>
                <w:szCs w:val="24"/>
                <w:lang w:val="en-US" w:eastAsia="zh-CN" w:bidi="ar-SA"/>
              </w:rPr>
            </w:pPr>
            <w:r>
              <w:rPr>
                <w:rFonts w:hint="eastAsia" w:ascii="Times New Roman" w:hAnsi="Times New Roman" w:eastAsia="宋体" w:cs="Times New Roman"/>
                <w:bCs/>
                <w:kern w:val="2"/>
                <w:sz w:val="24"/>
                <w:szCs w:val="24"/>
                <w:lang w:val="en-US" w:eastAsia="zh-CN" w:bidi="ar-SA"/>
              </w:rPr>
              <w:t>原产地</w:t>
            </w:r>
          </w:p>
        </w:tc>
        <w:tc>
          <w:tcPr>
            <w:tcW w:w="1222" w:type="dxa"/>
            <w:vMerge w:val="restart"/>
            <w:tcBorders>
              <w:top w:val="single" w:color="auto" w:sz="4" w:space="0"/>
              <w:left w:val="single" w:color="auto" w:sz="4" w:space="0"/>
              <w:bottom w:val="single" w:color="000000" w:sz="4" w:space="0"/>
              <w:right w:val="single" w:color="auto" w:sz="8" w:space="0"/>
            </w:tcBorders>
            <w:vAlign w:val="center"/>
          </w:tcPr>
          <w:p>
            <w:pPr>
              <w:pStyle w:val="158"/>
              <w:jc w:val="center"/>
              <w:rPr>
                <w:rFonts w:hint="eastAsia" w:ascii="Times New Roman" w:hAnsi="Times New Roman" w:eastAsia="宋体" w:cs="Times New Roman"/>
                <w:bCs/>
                <w:kern w:val="2"/>
                <w:sz w:val="24"/>
                <w:szCs w:val="24"/>
                <w:lang w:val="en-US" w:eastAsia="zh-CN" w:bidi="ar-SA"/>
              </w:rPr>
            </w:pPr>
            <w:r>
              <w:rPr>
                <w:rFonts w:hint="eastAsia" w:ascii="Times New Roman" w:hAnsi="Times New Roman" w:eastAsia="宋体" w:cs="Times New Roman"/>
                <w:bCs/>
                <w:kern w:val="2"/>
                <w:sz w:val="24"/>
                <w:szCs w:val="24"/>
                <w:lang w:val="en-US" w:eastAsia="zh-CN" w:bidi="ar-SA"/>
              </w:rPr>
              <w:t>其他</w:t>
            </w:r>
          </w:p>
        </w:tc>
      </w:tr>
      <w:tr>
        <w:tblPrEx>
          <w:tblCellMar>
            <w:top w:w="0" w:type="dxa"/>
            <w:left w:w="108" w:type="dxa"/>
            <w:bottom w:w="0" w:type="dxa"/>
            <w:right w:w="108" w:type="dxa"/>
          </w:tblCellMar>
        </w:tblPrEx>
        <w:trPr>
          <w:cantSplit/>
          <w:trHeight w:val="340" w:hRule="atLeast"/>
        </w:trPr>
        <w:tc>
          <w:tcPr>
            <w:tcW w:w="823" w:type="dxa"/>
            <w:vMerge w:val="continue"/>
            <w:tcBorders>
              <w:top w:val="single" w:color="auto" w:sz="4" w:space="0"/>
              <w:left w:val="single" w:color="auto" w:sz="8" w:space="0"/>
              <w:bottom w:val="single" w:color="auto" w:sz="4" w:space="0"/>
              <w:right w:val="single" w:color="auto" w:sz="4" w:space="0"/>
            </w:tcBorders>
            <w:vAlign w:val="center"/>
          </w:tcPr>
          <w:p>
            <w:pPr>
              <w:pStyle w:val="158"/>
              <w:rPr>
                <w:rFonts w:hint="eastAsia" w:ascii="Times New Roman" w:hAnsi="Times New Roman" w:eastAsia="宋体" w:cs="Times New Roman"/>
                <w:bCs/>
                <w:kern w:val="2"/>
                <w:sz w:val="24"/>
                <w:szCs w:val="24"/>
                <w:lang w:val="en-US" w:eastAsia="zh-CN" w:bidi="ar-SA"/>
              </w:rPr>
            </w:pPr>
          </w:p>
        </w:tc>
        <w:tc>
          <w:tcPr>
            <w:tcW w:w="3339" w:type="dxa"/>
            <w:vMerge w:val="continue"/>
            <w:tcBorders>
              <w:top w:val="single" w:color="auto" w:sz="4" w:space="0"/>
              <w:left w:val="single" w:color="auto" w:sz="4" w:space="0"/>
              <w:bottom w:val="single" w:color="auto" w:sz="4" w:space="0"/>
              <w:right w:val="single" w:color="auto" w:sz="4" w:space="0"/>
            </w:tcBorders>
            <w:vAlign w:val="center"/>
          </w:tcPr>
          <w:p>
            <w:pPr>
              <w:pStyle w:val="158"/>
              <w:rPr>
                <w:rFonts w:hint="eastAsia" w:ascii="Times New Roman" w:hAnsi="Times New Roman" w:eastAsia="宋体" w:cs="Times New Roman"/>
                <w:bCs/>
                <w:kern w:val="2"/>
                <w:sz w:val="24"/>
                <w:szCs w:val="24"/>
                <w:lang w:val="en-US" w:eastAsia="zh-CN" w:bidi="ar-SA"/>
              </w:rPr>
            </w:pPr>
          </w:p>
        </w:tc>
        <w:tc>
          <w:tcPr>
            <w:tcW w:w="2133" w:type="dxa"/>
            <w:vMerge w:val="continue"/>
            <w:tcBorders>
              <w:top w:val="single" w:color="auto" w:sz="4" w:space="0"/>
              <w:left w:val="single" w:color="auto" w:sz="4" w:space="0"/>
              <w:bottom w:val="single" w:color="auto" w:sz="4" w:space="0"/>
              <w:right w:val="single" w:color="auto" w:sz="4" w:space="0"/>
            </w:tcBorders>
            <w:vAlign w:val="center"/>
          </w:tcPr>
          <w:p>
            <w:pPr>
              <w:pStyle w:val="158"/>
              <w:rPr>
                <w:rFonts w:hint="eastAsia" w:ascii="Times New Roman" w:hAnsi="Times New Roman" w:eastAsia="宋体" w:cs="Times New Roman"/>
                <w:bCs/>
                <w:kern w:val="2"/>
                <w:sz w:val="24"/>
                <w:szCs w:val="24"/>
                <w:lang w:val="en-US" w:eastAsia="zh-CN" w:bidi="ar-SA"/>
              </w:rPr>
            </w:pPr>
          </w:p>
        </w:tc>
        <w:tc>
          <w:tcPr>
            <w:tcW w:w="1880" w:type="dxa"/>
            <w:vMerge w:val="continue"/>
            <w:tcBorders>
              <w:top w:val="single" w:color="auto" w:sz="4" w:space="0"/>
              <w:left w:val="single" w:color="auto" w:sz="4" w:space="0"/>
              <w:bottom w:val="single" w:color="000000" w:sz="4" w:space="0"/>
              <w:right w:val="single" w:color="auto" w:sz="4" w:space="0"/>
            </w:tcBorders>
            <w:vAlign w:val="center"/>
          </w:tcPr>
          <w:p>
            <w:pPr>
              <w:pStyle w:val="158"/>
              <w:rPr>
                <w:rFonts w:hint="eastAsia" w:ascii="Times New Roman" w:hAnsi="Times New Roman" w:eastAsia="宋体" w:cs="Times New Roman"/>
                <w:bCs/>
                <w:kern w:val="2"/>
                <w:sz w:val="24"/>
                <w:szCs w:val="24"/>
                <w:lang w:val="en-US" w:eastAsia="zh-CN" w:bidi="ar-SA"/>
              </w:rPr>
            </w:pPr>
          </w:p>
        </w:tc>
        <w:tc>
          <w:tcPr>
            <w:tcW w:w="1160" w:type="dxa"/>
            <w:vMerge w:val="continue"/>
            <w:tcBorders>
              <w:top w:val="single" w:color="auto" w:sz="4" w:space="0"/>
              <w:left w:val="single" w:color="auto" w:sz="4" w:space="0"/>
              <w:bottom w:val="single" w:color="auto" w:sz="4" w:space="0"/>
              <w:right w:val="single" w:color="auto" w:sz="4" w:space="0"/>
            </w:tcBorders>
            <w:vAlign w:val="center"/>
          </w:tcPr>
          <w:p>
            <w:pPr>
              <w:pStyle w:val="158"/>
              <w:rPr>
                <w:rFonts w:hint="eastAsia" w:ascii="Times New Roman" w:hAnsi="Times New Roman" w:eastAsia="宋体" w:cs="Times New Roman"/>
                <w:bCs/>
                <w:kern w:val="2"/>
                <w:sz w:val="24"/>
                <w:szCs w:val="24"/>
                <w:lang w:val="en-US" w:eastAsia="zh-CN" w:bidi="ar-SA"/>
              </w:rPr>
            </w:pPr>
          </w:p>
        </w:tc>
        <w:tc>
          <w:tcPr>
            <w:tcW w:w="1133" w:type="dxa"/>
            <w:vMerge w:val="continue"/>
            <w:tcBorders>
              <w:top w:val="single" w:color="auto" w:sz="4" w:space="0"/>
              <w:left w:val="single" w:color="auto" w:sz="4" w:space="0"/>
              <w:bottom w:val="single" w:color="auto" w:sz="4" w:space="0"/>
              <w:right w:val="single" w:color="auto" w:sz="4" w:space="0"/>
            </w:tcBorders>
            <w:vAlign w:val="center"/>
          </w:tcPr>
          <w:p>
            <w:pPr>
              <w:pStyle w:val="158"/>
              <w:rPr>
                <w:rFonts w:hint="eastAsia" w:ascii="Times New Roman" w:hAnsi="Times New Roman" w:eastAsia="宋体" w:cs="Times New Roman"/>
                <w:bCs/>
                <w:kern w:val="2"/>
                <w:sz w:val="24"/>
                <w:szCs w:val="24"/>
                <w:lang w:val="en-US" w:eastAsia="zh-CN" w:bidi="ar-SA"/>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pStyle w:val="158"/>
              <w:rPr>
                <w:rFonts w:hint="eastAsia" w:ascii="Times New Roman" w:hAnsi="Times New Roman" w:eastAsia="宋体" w:cs="Times New Roman"/>
                <w:bCs/>
                <w:kern w:val="2"/>
                <w:sz w:val="24"/>
                <w:szCs w:val="24"/>
                <w:lang w:val="en-US" w:eastAsia="zh-CN" w:bidi="ar-SA"/>
              </w:rPr>
            </w:pPr>
          </w:p>
        </w:tc>
        <w:tc>
          <w:tcPr>
            <w:tcW w:w="1666" w:type="dxa"/>
            <w:vMerge w:val="continue"/>
            <w:tcBorders>
              <w:top w:val="single" w:color="auto" w:sz="4" w:space="0"/>
              <w:left w:val="single" w:color="auto" w:sz="4" w:space="0"/>
              <w:bottom w:val="single" w:color="auto" w:sz="4" w:space="0"/>
              <w:right w:val="single" w:color="auto" w:sz="4" w:space="0"/>
            </w:tcBorders>
            <w:vAlign w:val="center"/>
          </w:tcPr>
          <w:p>
            <w:pPr>
              <w:pStyle w:val="158"/>
              <w:rPr>
                <w:rFonts w:hint="eastAsia" w:ascii="Times New Roman" w:hAnsi="Times New Roman" w:eastAsia="宋体" w:cs="Times New Roman"/>
                <w:bCs/>
                <w:kern w:val="2"/>
                <w:sz w:val="24"/>
                <w:szCs w:val="24"/>
                <w:lang w:val="en-US" w:eastAsia="zh-CN" w:bidi="ar-SA"/>
              </w:rPr>
            </w:pPr>
          </w:p>
        </w:tc>
        <w:tc>
          <w:tcPr>
            <w:tcW w:w="1222" w:type="dxa"/>
            <w:vMerge w:val="continue"/>
            <w:tcBorders>
              <w:top w:val="single" w:color="auto" w:sz="4" w:space="0"/>
              <w:left w:val="single" w:color="auto" w:sz="4" w:space="0"/>
              <w:bottom w:val="single" w:color="000000" w:sz="4" w:space="0"/>
              <w:right w:val="single" w:color="auto" w:sz="8" w:space="0"/>
            </w:tcBorders>
            <w:vAlign w:val="center"/>
          </w:tcPr>
          <w:p>
            <w:pPr>
              <w:pStyle w:val="158"/>
              <w:rPr>
                <w:rFonts w:hint="eastAsia" w:ascii="Times New Roman" w:hAnsi="Times New Roman" w:eastAsia="宋体" w:cs="Times New Roman"/>
                <w:bCs/>
                <w:kern w:val="2"/>
                <w:sz w:val="24"/>
                <w:szCs w:val="24"/>
                <w:lang w:val="en-US" w:eastAsia="zh-CN" w:bidi="ar-SA"/>
              </w:rPr>
            </w:pPr>
          </w:p>
        </w:tc>
      </w:tr>
      <w:tr>
        <w:tblPrEx>
          <w:tblCellMar>
            <w:top w:w="0" w:type="dxa"/>
            <w:left w:w="108" w:type="dxa"/>
            <w:bottom w:w="0" w:type="dxa"/>
            <w:right w:w="108" w:type="dxa"/>
          </w:tblCellMar>
        </w:tblPrEx>
        <w:trPr>
          <w:trHeight w:val="590" w:hRule="atLeast"/>
        </w:trPr>
        <w:tc>
          <w:tcPr>
            <w:tcW w:w="823" w:type="dxa"/>
            <w:tcBorders>
              <w:top w:val="nil"/>
              <w:left w:val="single" w:color="auto" w:sz="8" w:space="0"/>
              <w:bottom w:val="single" w:color="auto" w:sz="2"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3339" w:type="dxa"/>
            <w:tcBorders>
              <w:top w:val="nil"/>
              <w:left w:val="nil"/>
              <w:bottom w:val="single" w:color="auto" w:sz="2"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2133" w:type="dxa"/>
            <w:tcBorders>
              <w:top w:val="nil"/>
              <w:left w:val="nil"/>
              <w:bottom w:val="single" w:color="auto" w:sz="2"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1880" w:type="dxa"/>
            <w:tcBorders>
              <w:top w:val="nil"/>
              <w:left w:val="nil"/>
              <w:bottom w:val="single" w:color="auto" w:sz="2"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1160" w:type="dxa"/>
            <w:tcBorders>
              <w:top w:val="nil"/>
              <w:left w:val="nil"/>
              <w:bottom w:val="single" w:color="auto" w:sz="2"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1133" w:type="dxa"/>
            <w:tcBorders>
              <w:top w:val="nil"/>
              <w:left w:val="nil"/>
              <w:bottom w:val="single" w:color="auto" w:sz="2"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1134" w:type="dxa"/>
            <w:tcBorders>
              <w:top w:val="nil"/>
              <w:left w:val="nil"/>
              <w:bottom w:val="single" w:color="auto" w:sz="2"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1666" w:type="dxa"/>
            <w:tcBorders>
              <w:top w:val="nil"/>
              <w:left w:val="nil"/>
              <w:bottom w:val="single" w:color="auto" w:sz="2"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1222" w:type="dxa"/>
            <w:tcBorders>
              <w:top w:val="nil"/>
              <w:left w:val="nil"/>
              <w:bottom w:val="single" w:color="auto" w:sz="2" w:space="0"/>
              <w:right w:val="single" w:color="auto" w:sz="8"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r>
      <w:tr>
        <w:tblPrEx>
          <w:tblCellMar>
            <w:top w:w="0" w:type="dxa"/>
            <w:left w:w="108" w:type="dxa"/>
            <w:bottom w:w="0" w:type="dxa"/>
            <w:right w:w="108" w:type="dxa"/>
          </w:tblCellMar>
        </w:tblPrEx>
        <w:trPr>
          <w:trHeight w:val="590" w:hRule="atLeast"/>
        </w:trPr>
        <w:tc>
          <w:tcPr>
            <w:tcW w:w="823" w:type="dxa"/>
            <w:tcBorders>
              <w:top w:val="single" w:color="auto" w:sz="2" w:space="0"/>
              <w:left w:val="single" w:color="auto" w:sz="8" w:space="0"/>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3339" w:type="dxa"/>
            <w:tcBorders>
              <w:top w:val="single" w:color="auto" w:sz="2" w:space="0"/>
              <w:left w:val="nil"/>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2133" w:type="dxa"/>
            <w:tcBorders>
              <w:top w:val="single" w:color="auto" w:sz="2" w:space="0"/>
              <w:left w:val="nil"/>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1880" w:type="dxa"/>
            <w:tcBorders>
              <w:top w:val="single" w:color="auto" w:sz="2" w:space="0"/>
              <w:left w:val="nil"/>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1160" w:type="dxa"/>
            <w:tcBorders>
              <w:top w:val="single" w:color="auto" w:sz="2" w:space="0"/>
              <w:left w:val="nil"/>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1133" w:type="dxa"/>
            <w:tcBorders>
              <w:top w:val="single" w:color="auto" w:sz="2" w:space="0"/>
              <w:left w:val="nil"/>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1134" w:type="dxa"/>
            <w:tcBorders>
              <w:top w:val="single" w:color="auto" w:sz="2" w:space="0"/>
              <w:left w:val="nil"/>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1666" w:type="dxa"/>
            <w:tcBorders>
              <w:top w:val="single" w:color="auto" w:sz="2" w:space="0"/>
              <w:left w:val="nil"/>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1222" w:type="dxa"/>
            <w:tcBorders>
              <w:top w:val="single" w:color="auto" w:sz="2" w:space="0"/>
              <w:left w:val="nil"/>
              <w:bottom w:val="single" w:color="auto" w:sz="4" w:space="0"/>
              <w:right w:val="single" w:color="auto" w:sz="8"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r>
      <w:tr>
        <w:tblPrEx>
          <w:tblCellMar>
            <w:top w:w="0" w:type="dxa"/>
            <w:left w:w="108" w:type="dxa"/>
            <w:bottom w:w="0" w:type="dxa"/>
            <w:right w:w="108" w:type="dxa"/>
          </w:tblCellMar>
        </w:tblPrEx>
        <w:trPr>
          <w:trHeight w:val="590" w:hRule="atLeast"/>
        </w:trPr>
        <w:tc>
          <w:tcPr>
            <w:tcW w:w="823" w:type="dxa"/>
            <w:tcBorders>
              <w:top w:val="nil"/>
              <w:left w:val="single" w:color="auto" w:sz="8" w:space="0"/>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3339" w:type="dxa"/>
            <w:tcBorders>
              <w:top w:val="nil"/>
              <w:left w:val="nil"/>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2133" w:type="dxa"/>
            <w:tcBorders>
              <w:top w:val="nil"/>
              <w:left w:val="nil"/>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1880" w:type="dxa"/>
            <w:tcBorders>
              <w:top w:val="nil"/>
              <w:left w:val="nil"/>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1160" w:type="dxa"/>
            <w:tcBorders>
              <w:top w:val="nil"/>
              <w:left w:val="nil"/>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1133" w:type="dxa"/>
            <w:tcBorders>
              <w:top w:val="nil"/>
              <w:left w:val="nil"/>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1134" w:type="dxa"/>
            <w:tcBorders>
              <w:top w:val="nil"/>
              <w:left w:val="nil"/>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1666" w:type="dxa"/>
            <w:tcBorders>
              <w:top w:val="nil"/>
              <w:left w:val="nil"/>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1222" w:type="dxa"/>
            <w:tcBorders>
              <w:top w:val="nil"/>
              <w:left w:val="nil"/>
              <w:bottom w:val="single" w:color="auto" w:sz="4" w:space="0"/>
              <w:right w:val="single" w:color="auto" w:sz="8"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r>
      <w:tr>
        <w:tblPrEx>
          <w:tblCellMar>
            <w:top w:w="0" w:type="dxa"/>
            <w:left w:w="108" w:type="dxa"/>
            <w:bottom w:w="0" w:type="dxa"/>
            <w:right w:w="108" w:type="dxa"/>
          </w:tblCellMar>
        </w:tblPrEx>
        <w:trPr>
          <w:trHeight w:val="590" w:hRule="atLeast"/>
        </w:trPr>
        <w:tc>
          <w:tcPr>
            <w:tcW w:w="823" w:type="dxa"/>
            <w:tcBorders>
              <w:top w:val="nil"/>
              <w:left w:val="single" w:color="auto" w:sz="8" w:space="0"/>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3339" w:type="dxa"/>
            <w:tcBorders>
              <w:top w:val="nil"/>
              <w:left w:val="nil"/>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2133" w:type="dxa"/>
            <w:tcBorders>
              <w:top w:val="nil"/>
              <w:left w:val="nil"/>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1880" w:type="dxa"/>
            <w:tcBorders>
              <w:top w:val="nil"/>
              <w:left w:val="nil"/>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1160" w:type="dxa"/>
            <w:tcBorders>
              <w:top w:val="nil"/>
              <w:left w:val="nil"/>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1133" w:type="dxa"/>
            <w:tcBorders>
              <w:top w:val="nil"/>
              <w:left w:val="nil"/>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1134" w:type="dxa"/>
            <w:tcBorders>
              <w:top w:val="nil"/>
              <w:left w:val="nil"/>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1666" w:type="dxa"/>
            <w:tcBorders>
              <w:top w:val="nil"/>
              <w:left w:val="nil"/>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1222" w:type="dxa"/>
            <w:tcBorders>
              <w:top w:val="nil"/>
              <w:left w:val="nil"/>
              <w:bottom w:val="single" w:color="auto" w:sz="4" w:space="0"/>
              <w:right w:val="single" w:color="auto" w:sz="8"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r>
      <w:tr>
        <w:tblPrEx>
          <w:tblCellMar>
            <w:top w:w="0" w:type="dxa"/>
            <w:left w:w="108" w:type="dxa"/>
            <w:bottom w:w="0" w:type="dxa"/>
            <w:right w:w="108" w:type="dxa"/>
          </w:tblCellMar>
        </w:tblPrEx>
        <w:trPr>
          <w:trHeight w:val="590" w:hRule="atLeast"/>
        </w:trPr>
        <w:tc>
          <w:tcPr>
            <w:tcW w:w="823" w:type="dxa"/>
            <w:tcBorders>
              <w:top w:val="nil"/>
              <w:left w:val="single" w:color="auto" w:sz="8" w:space="0"/>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3339" w:type="dxa"/>
            <w:tcBorders>
              <w:top w:val="nil"/>
              <w:left w:val="nil"/>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2133" w:type="dxa"/>
            <w:tcBorders>
              <w:top w:val="nil"/>
              <w:left w:val="nil"/>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1880" w:type="dxa"/>
            <w:tcBorders>
              <w:top w:val="nil"/>
              <w:left w:val="nil"/>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1160" w:type="dxa"/>
            <w:tcBorders>
              <w:top w:val="nil"/>
              <w:left w:val="nil"/>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1133" w:type="dxa"/>
            <w:tcBorders>
              <w:top w:val="nil"/>
              <w:left w:val="nil"/>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1134" w:type="dxa"/>
            <w:tcBorders>
              <w:top w:val="nil"/>
              <w:left w:val="nil"/>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1666" w:type="dxa"/>
            <w:tcBorders>
              <w:top w:val="nil"/>
              <w:left w:val="nil"/>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1222" w:type="dxa"/>
            <w:tcBorders>
              <w:top w:val="nil"/>
              <w:left w:val="nil"/>
              <w:bottom w:val="single" w:color="auto" w:sz="4" w:space="0"/>
              <w:right w:val="single" w:color="auto" w:sz="8"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r>
      <w:tr>
        <w:tblPrEx>
          <w:tblCellMar>
            <w:top w:w="0" w:type="dxa"/>
            <w:left w:w="108" w:type="dxa"/>
            <w:bottom w:w="0" w:type="dxa"/>
            <w:right w:w="108" w:type="dxa"/>
          </w:tblCellMar>
        </w:tblPrEx>
        <w:trPr>
          <w:trHeight w:val="590" w:hRule="atLeast"/>
        </w:trPr>
        <w:tc>
          <w:tcPr>
            <w:tcW w:w="4162" w:type="dxa"/>
            <w:gridSpan w:val="2"/>
            <w:tcBorders>
              <w:top w:val="nil"/>
              <w:left w:val="single" w:color="auto" w:sz="8" w:space="0"/>
              <w:bottom w:val="single" w:color="auto" w:sz="4" w:space="0"/>
              <w:right w:val="single" w:color="auto" w:sz="4" w:space="0"/>
            </w:tcBorders>
            <w:noWrap/>
            <w:vAlign w:val="center"/>
          </w:tcPr>
          <w:p>
            <w:pPr>
              <w:jc w:val="left"/>
              <w:rPr>
                <w:rFonts w:hint="eastAsia" w:ascii="Times New Roman" w:hAnsi="Times New Roman" w:eastAsia="宋体" w:cs="Times New Roman"/>
                <w:bCs/>
                <w:kern w:val="2"/>
                <w:sz w:val="24"/>
                <w:szCs w:val="24"/>
                <w:lang w:val="en-US" w:eastAsia="zh-CN" w:bidi="ar-SA"/>
              </w:rPr>
            </w:pPr>
            <w:r>
              <w:rPr>
                <w:rFonts w:hint="eastAsia" w:ascii="Times New Roman" w:hAnsi="Times New Roman" w:eastAsia="宋体" w:cs="Times New Roman"/>
                <w:bCs/>
                <w:kern w:val="2"/>
                <w:sz w:val="24"/>
                <w:szCs w:val="24"/>
                <w:lang w:val="en-US" w:eastAsia="zh-CN" w:bidi="ar-SA"/>
              </w:rPr>
              <w:t>合计</w:t>
            </w:r>
          </w:p>
        </w:tc>
        <w:tc>
          <w:tcPr>
            <w:tcW w:w="10328" w:type="dxa"/>
            <w:gridSpan w:val="7"/>
            <w:tcBorders>
              <w:top w:val="nil"/>
              <w:left w:val="nil"/>
              <w:bottom w:val="single" w:color="auto" w:sz="4" w:space="0"/>
              <w:right w:val="single" w:color="auto" w:sz="8" w:space="0"/>
            </w:tcBorders>
            <w:vAlign w:val="center"/>
          </w:tcPr>
          <w:p>
            <w:pPr>
              <w:jc w:val="left"/>
              <w:rPr>
                <w:rFonts w:hint="eastAsia" w:ascii="Times New Roman" w:hAnsi="Times New Roman" w:eastAsia="宋体" w:cs="Times New Roman"/>
                <w:bCs/>
                <w:kern w:val="2"/>
                <w:sz w:val="24"/>
                <w:szCs w:val="24"/>
                <w:lang w:val="en-US" w:eastAsia="zh-CN" w:bidi="ar-SA"/>
              </w:rPr>
            </w:pPr>
            <w:r>
              <w:rPr>
                <w:rFonts w:hint="eastAsia" w:ascii="Times New Roman" w:hAnsi="Times New Roman" w:eastAsia="宋体" w:cs="Times New Roman"/>
                <w:bCs/>
                <w:kern w:val="2"/>
                <w:sz w:val="24"/>
                <w:szCs w:val="24"/>
                <w:lang w:val="en-US" w:eastAsia="zh-CN" w:bidi="ar-SA"/>
              </w:rPr>
              <w:t>报价总价（人民币大写）：            （小写）¥：</w:t>
            </w:r>
          </w:p>
        </w:tc>
      </w:tr>
    </w:tbl>
    <w:p>
      <w:pPr>
        <w:spacing w:line="560" w:lineRule="exact"/>
        <w:rPr>
          <w:bCs/>
          <w:sz w:val="28"/>
          <w:szCs w:val="28"/>
        </w:rPr>
      </w:pPr>
      <w:r>
        <w:rPr>
          <w:rFonts w:hint="eastAsia"/>
          <w:bCs/>
          <w:sz w:val="28"/>
          <w:szCs w:val="28"/>
        </w:rPr>
        <w:t>投标供应商全称：（盖章）</w:t>
      </w:r>
      <w:r>
        <w:rPr>
          <w:bCs/>
          <w:sz w:val="28"/>
          <w:szCs w:val="28"/>
        </w:rPr>
        <w:t xml:space="preserve">                              </w:t>
      </w:r>
      <w:r>
        <w:rPr>
          <w:rFonts w:hint="eastAsia"/>
          <w:bCs/>
          <w:sz w:val="28"/>
          <w:szCs w:val="28"/>
        </w:rPr>
        <w:t>法定代表人（或授权代表）：（签字）</w:t>
      </w:r>
    </w:p>
    <w:p>
      <w:pPr>
        <w:ind w:firstLine="560" w:firstLineChars="200"/>
        <w:rPr>
          <w:bCs/>
          <w:sz w:val="28"/>
          <w:szCs w:val="28"/>
        </w:rPr>
      </w:pPr>
    </w:p>
    <w:p>
      <w:pPr>
        <w:ind w:firstLine="640" w:firstLineChars="200"/>
        <w:jc w:val="center"/>
        <w:rPr>
          <w:rFonts w:hint="eastAsia"/>
          <w:lang w:eastAsia="zh-CN"/>
        </w:rPr>
        <w:sectPr>
          <w:pgSz w:w="16838" w:h="11906" w:orient="landscape"/>
          <w:pgMar w:top="1418" w:right="1134" w:bottom="1418" w:left="1418" w:header="851" w:footer="851" w:gutter="0"/>
          <w:cols w:space="720" w:num="1"/>
        </w:sectPr>
      </w:pPr>
      <w:r>
        <w:rPr>
          <w:bCs/>
          <w:sz w:val="32"/>
          <w:szCs w:val="32"/>
        </w:rPr>
        <w:t xml:space="preserve">                                                </w:t>
      </w: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pStyle w:val="5"/>
        <w:spacing w:before="120" w:beforeLines="50" w:after="120" w:afterLines="50"/>
        <w:rPr>
          <w:b w:val="0"/>
        </w:rPr>
      </w:pPr>
      <w:bookmarkStart w:id="304" w:name="_Toc16009"/>
      <w:bookmarkStart w:id="305" w:name="_Toc29536"/>
      <w:bookmarkStart w:id="306" w:name="_Toc8637"/>
      <w:bookmarkStart w:id="307" w:name="_Toc13502"/>
      <w:r>
        <w:rPr>
          <w:rFonts w:hint="eastAsia"/>
          <w:b w:val="0"/>
        </w:rPr>
        <w:t>附件</w:t>
      </w:r>
      <w:r>
        <w:rPr>
          <w:b w:val="0"/>
        </w:rPr>
        <w:t>1-</w:t>
      </w:r>
      <w:r>
        <w:rPr>
          <w:rFonts w:hint="eastAsia"/>
          <w:b w:val="0"/>
          <w:lang w:val="en-US" w:eastAsia="zh-CN"/>
        </w:rPr>
        <w:t>3</w:t>
      </w:r>
      <w:r>
        <w:rPr>
          <w:b w:val="0"/>
        </w:rPr>
        <w:t xml:space="preserve"> </w:t>
      </w:r>
      <w:r>
        <w:rPr>
          <w:rFonts w:hint="eastAsia"/>
          <w:b w:val="0"/>
        </w:rPr>
        <w:t>价格构成表</w:t>
      </w:r>
      <w:bookmarkEnd w:id="304"/>
      <w:bookmarkEnd w:id="305"/>
      <w:bookmarkEnd w:id="306"/>
      <w:bookmarkEnd w:id="307"/>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价格构成表</w:t>
      </w:r>
    </w:p>
    <w:p>
      <w:pPr>
        <w:rPr>
          <w:bCs/>
          <w:sz w:val="28"/>
          <w:szCs w:val="28"/>
        </w:rPr>
      </w:pPr>
      <w:r>
        <w:rPr>
          <w:rFonts w:hint="eastAsia"/>
          <w:bCs/>
          <w:sz w:val="28"/>
          <w:szCs w:val="28"/>
        </w:rPr>
        <w:t>项目名称：</w:t>
      </w:r>
      <w:r>
        <w:rPr>
          <w:bCs/>
          <w:sz w:val="28"/>
          <w:szCs w:val="28"/>
          <w:u w:val="single"/>
        </w:rPr>
        <w:t xml:space="preserve">                  </w:t>
      </w:r>
      <w:r>
        <w:rPr>
          <w:bCs/>
          <w:sz w:val="28"/>
          <w:szCs w:val="28"/>
        </w:rPr>
        <w:t xml:space="preserve">     </w:t>
      </w:r>
      <w:r>
        <w:rPr>
          <w:rFonts w:hint="eastAsia"/>
          <w:bCs/>
          <w:sz w:val="28"/>
          <w:szCs w:val="28"/>
        </w:rPr>
        <w:t>项目编号：</w:t>
      </w:r>
      <w:r>
        <w:rPr>
          <w:bCs/>
          <w:sz w:val="28"/>
          <w:szCs w:val="28"/>
          <w:u w:val="single"/>
        </w:rPr>
        <w:t xml:space="preserve">               </w:t>
      </w:r>
      <w:r>
        <w:rPr>
          <w:bCs/>
          <w:sz w:val="28"/>
          <w:szCs w:val="28"/>
        </w:rPr>
        <w:t xml:space="preserve">         </w:t>
      </w:r>
      <w:r>
        <w:rPr>
          <w:rFonts w:hint="eastAsia"/>
          <w:bCs/>
          <w:sz w:val="28"/>
          <w:szCs w:val="28"/>
        </w:rPr>
        <w:t>金额单位：元</w:t>
      </w:r>
    </w:p>
    <w:tbl>
      <w:tblPr>
        <w:tblStyle w:val="42"/>
        <w:tblpPr w:leftFromText="180" w:rightFromText="180" w:vertAnchor="text" w:horzAnchor="margin" w:tblpX="108" w:tblpY="153"/>
        <w:tblW w:w="145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1040"/>
        <w:gridCol w:w="840"/>
        <w:gridCol w:w="841"/>
        <w:gridCol w:w="734"/>
        <w:gridCol w:w="743"/>
        <w:gridCol w:w="867"/>
        <w:gridCol w:w="743"/>
        <w:gridCol w:w="743"/>
        <w:gridCol w:w="743"/>
        <w:gridCol w:w="867"/>
        <w:gridCol w:w="743"/>
        <w:gridCol w:w="743"/>
        <w:gridCol w:w="743"/>
        <w:gridCol w:w="867"/>
        <w:gridCol w:w="867"/>
        <w:gridCol w:w="743"/>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014" w:type="dxa"/>
            <w:vMerge w:val="restart"/>
            <w:vAlign w:val="center"/>
          </w:tcPr>
          <w:p>
            <w:pPr>
              <w:jc w:val="center"/>
              <w:rPr>
                <w:bCs/>
                <w:sz w:val="24"/>
              </w:rPr>
            </w:pPr>
            <w:r>
              <w:rPr>
                <w:rFonts w:hint="eastAsia"/>
                <w:bCs/>
                <w:sz w:val="24"/>
              </w:rPr>
              <w:t>物资</w:t>
            </w:r>
          </w:p>
          <w:p>
            <w:pPr>
              <w:jc w:val="center"/>
              <w:rPr>
                <w:bCs/>
                <w:sz w:val="24"/>
              </w:rPr>
            </w:pPr>
            <w:r>
              <w:rPr>
                <w:rFonts w:hint="eastAsia"/>
                <w:bCs/>
                <w:sz w:val="24"/>
              </w:rPr>
              <w:t>名称</w:t>
            </w:r>
          </w:p>
        </w:tc>
        <w:tc>
          <w:tcPr>
            <w:tcW w:w="1040" w:type="dxa"/>
            <w:vMerge w:val="restart"/>
            <w:vAlign w:val="center"/>
          </w:tcPr>
          <w:p>
            <w:pPr>
              <w:jc w:val="center"/>
              <w:rPr>
                <w:bCs/>
                <w:sz w:val="24"/>
              </w:rPr>
            </w:pPr>
            <w:r>
              <w:rPr>
                <w:rFonts w:hint="eastAsia"/>
                <w:bCs/>
                <w:sz w:val="24"/>
              </w:rPr>
              <w:t>规格</w:t>
            </w:r>
          </w:p>
          <w:p>
            <w:pPr>
              <w:jc w:val="center"/>
              <w:rPr>
                <w:bCs/>
                <w:sz w:val="24"/>
              </w:rPr>
            </w:pPr>
            <w:r>
              <w:rPr>
                <w:rFonts w:hint="eastAsia"/>
                <w:bCs/>
                <w:sz w:val="24"/>
              </w:rPr>
              <w:t>型号</w:t>
            </w:r>
          </w:p>
        </w:tc>
        <w:tc>
          <w:tcPr>
            <w:tcW w:w="840" w:type="dxa"/>
            <w:vMerge w:val="restart"/>
            <w:vAlign w:val="center"/>
          </w:tcPr>
          <w:p>
            <w:pPr>
              <w:jc w:val="center"/>
              <w:rPr>
                <w:bCs/>
                <w:sz w:val="24"/>
              </w:rPr>
            </w:pPr>
            <w:r>
              <w:rPr>
                <w:rFonts w:hint="eastAsia"/>
                <w:bCs/>
                <w:sz w:val="24"/>
              </w:rPr>
              <w:t>计量</w:t>
            </w:r>
          </w:p>
          <w:p>
            <w:pPr>
              <w:jc w:val="center"/>
              <w:rPr>
                <w:bCs/>
                <w:sz w:val="24"/>
              </w:rPr>
            </w:pPr>
            <w:r>
              <w:rPr>
                <w:rFonts w:hint="eastAsia"/>
                <w:bCs/>
                <w:sz w:val="24"/>
              </w:rPr>
              <w:t>单位</w:t>
            </w:r>
          </w:p>
        </w:tc>
        <w:tc>
          <w:tcPr>
            <w:tcW w:w="841" w:type="dxa"/>
            <w:vMerge w:val="restart"/>
            <w:vAlign w:val="center"/>
          </w:tcPr>
          <w:p>
            <w:pPr>
              <w:jc w:val="center"/>
              <w:rPr>
                <w:bCs/>
                <w:sz w:val="24"/>
              </w:rPr>
            </w:pPr>
            <w:r>
              <w:rPr>
                <w:rFonts w:hint="eastAsia"/>
                <w:bCs/>
                <w:sz w:val="24"/>
              </w:rPr>
              <w:t>数量</w:t>
            </w:r>
          </w:p>
        </w:tc>
        <w:tc>
          <w:tcPr>
            <w:tcW w:w="734" w:type="dxa"/>
            <w:vMerge w:val="restart"/>
            <w:vAlign w:val="center"/>
          </w:tcPr>
          <w:p>
            <w:pPr>
              <w:jc w:val="center"/>
              <w:rPr>
                <w:bCs/>
                <w:sz w:val="24"/>
              </w:rPr>
            </w:pPr>
            <w:r>
              <w:rPr>
                <w:rFonts w:hint="eastAsia"/>
                <w:bCs/>
                <w:sz w:val="24"/>
              </w:rPr>
              <w:t>总价</w:t>
            </w:r>
          </w:p>
        </w:tc>
        <w:tc>
          <w:tcPr>
            <w:tcW w:w="10033" w:type="dxa"/>
            <w:gridSpan w:val="13"/>
            <w:vAlign w:val="center"/>
          </w:tcPr>
          <w:p>
            <w:pPr>
              <w:jc w:val="center"/>
              <w:rPr>
                <w:bCs/>
                <w:sz w:val="24"/>
              </w:rPr>
            </w:pPr>
            <w:r>
              <w:rPr>
                <w:rFonts w:hint="eastAsia"/>
                <w:bCs/>
                <w:sz w:val="24"/>
              </w:rPr>
              <w:t>价</w:t>
            </w:r>
            <w:r>
              <w:rPr>
                <w:bCs/>
                <w:sz w:val="24"/>
              </w:rPr>
              <w:t xml:space="preserve">  </w:t>
            </w:r>
            <w:r>
              <w:rPr>
                <w:rFonts w:hint="eastAsia"/>
                <w:bCs/>
                <w:sz w:val="24"/>
              </w:rPr>
              <w:t>格</w:t>
            </w:r>
            <w:r>
              <w:rPr>
                <w:bCs/>
                <w:sz w:val="24"/>
              </w:rPr>
              <w:t xml:space="preserve">  </w:t>
            </w:r>
            <w:r>
              <w:rPr>
                <w:rFonts w:hint="eastAsia"/>
                <w:bCs/>
                <w:sz w:val="24"/>
              </w:rPr>
              <w:t>组</w:t>
            </w:r>
            <w:r>
              <w:rPr>
                <w:bCs/>
                <w:sz w:val="24"/>
              </w:rPr>
              <w:t xml:space="preserve">  </w:t>
            </w:r>
            <w:r>
              <w:rPr>
                <w:rFonts w:hint="eastAsia"/>
                <w:bCs/>
                <w:sz w:val="24"/>
              </w:rPr>
              <w:t>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014" w:type="dxa"/>
            <w:vMerge w:val="continue"/>
            <w:vAlign w:val="center"/>
          </w:tcPr>
          <w:p>
            <w:pPr>
              <w:jc w:val="center"/>
              <w:rPr>
                <w:bCs/>
                <w:sz w:val="24"/>
              </w:rPr>
            </w:pPr>
          </w:p>
        </w:tc>
        <w:tc>
          <w:tcPr>
            <w:tcW w:w="1040" w:type="dxa"/>
            <w:vMerge w:val="continue"/>
            <w:vAlign w:val="center"/>
          </w:tcPr>
          <w:p>
            <w:pPr>
              <w:jc w:val="center"/>
              <w:rPr>
                <w:bCs/>
                <w:sz w:val="24"/>
              </w:rPr>
            </w:pPr>
          </w:p>
        </w:tc>
        <w:tc>
          <w:tcPr>
            <w:tcW w:w="840" w:type="dxa"/>
            <w:vMerge w:val="continue"/>
            <w:vAlign w:val="center"/>
          </w:tcPr>
          <w:p>
            <w:pPr>
              <w:jc w:val="center"/>
              <w:rPr>
                <w:bCs/>
                <w:sz w:val="24"/>
              </w:rPr>
            </w:pPr>
          </w:p>
        </w:tc>
        <w:tc>
          <w:tcPr>
            <w:tcW w:w="841" w:type="dxa"/>
            <w:vMerge w:val="continue"/>
            <w:vAlign w:val="center"/>
          </w:tcPr>
          <w:p>
            <w:pPr>
              <w:jc w:val="center"/>
              <w:rPr>
                <w:bCs/>
                <w:sz w:val="24"/>
              </w:rPr>
            </w:pPr>
          </w:p>
        </w:tc>
        <w:tc>
          <w:tcPr>
            <w:tcW w:w="734" w:type="dxa"/>
            <w:vMerge w:val="continue"/>
            <w:vAlign w:val="center"/>
          </w:tcPr>
          <w:p>
            <w:pPr>
              <w:jc w:val="center"/>
              <w:rPr>
                <w:bCs/>
                <w:sz w:val="24"/>
              </w:rPr>
            </w:pPr>
          </w:p>
        </w:tc>
        <w:tc>
          <w:tcPr>
            <w:tcW w:w="743" w:type="dxa"/>
            <w:vAlign w:val="center"/>
          </w:tcPr>
          <w:p>
            <w:pPr>
              <w:jc w:val="center"/>
              <w:rPr>
                <w:bCs/>
                <w:sz w:val="24"/>
              </w:rPr>
            </w:pPr>
            <w:r>
              <w:rPr>
                <w:rFonts w:hint="eastAsia"/>
                <w:bCs/>
                <w:sz w:val="24"/>
              </w:rPr>
              <w:t>单价</w:t>
            </w:r>
          </w:p>
        </w:tc>
        <w:tc>
          <w:tcPr>
            <w:tcW w:w="867" w:type="dxa"/>
            <w:vAlign w:val="center"/>
          </w:tcPr>
          <w:p>
            <w:pPr>
              <w:jc w:val="center"/>
              <w:rPr>
                <w:bCs/>
                <w:sz w:val="24"/>
              </w:rPr>
            </w:pPr>
            <w:r>
              <w:rPr>
                <w:rFonts w:hint="eastAsia"/>
                <w:bCs/>
                <w:sz w:val="24"/>
              </w:rPr>
              <w:t>直接材料费</w:t>
            </w:r>
          </w:p>
        </w:tc>
        <w:tc>
          <w:tcPr>
            <w:tcW w:w="743" w:type="dxa"/>
            <w:vAlign w:val="center"/>
          </w:tcPr>
          <w:p>
            <w:pPr>
              <w:jc w:val="center"/>
              <w:rPr>
                <w:bCs/>
                <w:sz w:val="24"/>
              </w:rPr>
            </w:pPr>
            <w:r>
              <w:rPr>
                <w:rFonts w:hint="eastAsia"/>
                <w:bCs/>
                <w:sz w:val="24"/>
              </w:rPr>
              <w:t>外购成件费</w:t>
            </w:r>
          </w:p>
        </w:tc>
        <w:tc>
          <w:tcPr>
            <w:tcW w:w="743" w:type="dxa"/>
            <w:vAlign w:val="center"/>
          </w:tcPr>
          <w:p>
            <w:pPr>
              <w:jc w:val="center"/>
              <w:rPr>
                <w:bCs/>
                <w:sz w:val="24"/>
              </w:rPr>
            </w:pPr>
            <w:r>
              <w:rPr>
                <w:rFonts w:hint="eastAsia"/>
                <w:bCs/>
                <w:sz w:val="24"/>
              </w:rPr>
              <w:t>燃料及动力费</w:t>
            </w:r>
          </w:p>
        </w:tc>
        <w:tc>
          <w:tcPr>
            <w:tcW w:w="743" w:type="dxa"/>
            <w:vAlign w:val="center"/>
          </w:tcPr>
          <w:p>
            <w:pPr>
              <w:jc w:val="center"/>
              <w:rPr>
                <w:bCs/>
                <w:sz w:val="24"/>
              </w:rPr>
            </w:pPr>
            <w:r>
              <w:rPr>
                <w:rFonts w:hint="eastAsia"/>
                <w:bCs/>
                <w:sz w:val="24"/>
              </w:rPr>
              <w:t>直接人工费</w:t>
            </w:r>
          </w:p>
        </w:tc>
        <w:tc>
          <w:tcPr>
            <w:tcW w:w="867" w:type="dxa"/>
            <w:vAlign w:val="center"/>
          </w:tcPr>
          <w:p>
            <w:pPr>
              <w:jc w:val="center"/>
              <w:rPr>
                <w:bCs/>
                <w:sz w:val="24"/>
              </w:rPr>
            </w:pPr>
            <w:r>
              <w:rPr>
                <w:rFonts w:hint="eastAsia"/>
                <w:bCs/>
                <w:sz w:val="24"/>
              </w:rPr>
              <w:t>废品损失费</w:t>
            </w:r>
          </w:p>
        </w:tc>
        <w:tc>
          <w:tcPr>
            <w:tcW w:w="743" w:type="dxa"/>
            <w:vAlign w:val="center"/>
          </w:tcPr>
          <w:p>
            <w:pPr>
              <w:jc w:val="center"/>
              <w:rPr>
                <w:bCs/>
                <w:sz w:val="24"/>
              </w:rPr>
            </w:pPr>
            <w:r>
              <w:rPr>
                <w:rFonts w:hint="eastAsia"/>
                <w:bCs/>
                <w:sz w:val="24"/>
              </w:rPr>
              <w:t>管理费用</w:t>
            </w:r>
          </w:p>
        </w:tc>
        <w:tc>
          <w:tcPr>
            <w:tcW w:w="743" w:type="dxa"/>
            <w:vAlign w:val="center"/>
          </w:tcPr>
          <w:p>
            <w:pPr>
              <w:jc w:val="center"/>
              <w:rPr>
                <w:bCs/>
                <w:sz w:val="24"/>
              </w:rPr>
            </w:pPr>
            <w:r>
              <w:rPr>
                <w:rFonts w:hint="eastAsia"/>
                <w:bCs/>
                <w:sz w:val="24"/>
              </w:rPr>
              <w:t>利润</w:t>
            </w:r>
          </w:p>
        </w:tc>
        <w:tc>
          <w:tcPr>
            <w:tcW w:w="743" w:type="dxa"/>
            <w:vAlign w:val="center"/>
          </w:tcPr>
          <w:p>
            <w:pPr>
              <w:jc w:val="center"/>
              <w:rPr>
                <w:bCs/>
                <w:sz w:val="24"/>
              </w:rPr>
            </w:pPr>
            <w:r>
              <w:rPr>
                <w:rFonts w:hint="eastAsia"/>
                <w:bCs/>
                <w:sz w:val="24"/>
              </w:rPr>
              <w:t>税金</w:t>
            </w:r>
          </w:p>
        </w:tc>
        <w:tc>
          <w:tcPr>
            <w:tcW w:w="867" w:type="dxa"/>
            <w:vAlign w:val="center"/>
          </w:tcPr>
          <w:p>
            <w:pPr>
              <w:jc w:val="center"/>
              <w:rPr>
                <w:bCs/>
                <w:sz w:val="24"/>
              </w:rPr>
            </w:pPr>
            <w:r>
              <w:rPr>
                <w:rFonts w:hint="eastAsia"/>
                <w:bCs/>
                <w:sz w:val="24"/>
              </w:rPr>
              <w:t>备件工具费</w:t>
            </w:r>
          </w:p>
        </w:tc>
        <w:tc>
          <w:tcPr>
            <w:tcW w:w="867" w:type="dxa"/>
            <w:vAlign w:val="center"/>
          </w:tcPr>
          <w:p>
            <w:pPr>
              <w:jc w:val="center"/>
              <w:rPr>
                <w:bCs/>
                <w:sz w:val="24"/>
              </w:rPr>
            </w:pPr>
            <w:r>
              <w:rPr>
                <w:rFonts w:hint="eastAsia"/>
                <w:bCs/>
                <w:sz w:val="24"/>
              </w:rPr>
              <w:t>安装调试费</w:t>
            </w:r>
          </w:p>
        </w:tc>
        <w:tc>
          <w:tcPr>
            <w:tcW w:w="743" w:type="dxa"/>
            <w:vAlign w:val="center"/>
          </w:tcPr>
          <w:p>
            <w:pPr>
              <w:jc w:val="center"/>
              <w:rPr>
                <w:bCs/>
                <w:sz w:val="24"/>
              </w:rPr>
            </w:pPr>
            <w:r>
              <w:rPr>
                <w:rFonts w:hint="eastAsia"/>
                <w:bCs/>
                <w:sz w:val="24"/>
              </w:rPr>
              <w:t>技术服务费</w:t>
            </w:r>
          </w:p>
        </w:tc>
        <w:tc>
          <w:tcPr>
            <w:tcW w:w="621" w:type="dxa"/>
            <w:vAlign w:val="center"/>
          </w:tcPr>
          <w:p>
            <w:pPr>
              <w:jc w:val="center"/>
              <w:rPr>
                <w:bCs/>
                <w:sz w:val="24"/>
              </w:rPr>
            </w:pPr>
            <w:r>
              <w:rPr>
                <w:rFonts w:hint="eastAsia"/>
                <w:bCs/>
                <w:sz w:val="24"/>
              </w:rPr>
              <w:t>运杂费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14" w:type="dxa"/>
            <w:vAlign w:val="center"/>
          </w:tcPr>
          <w:p>
            <w:pPr>
              <w:jc w:val="center"/>
              <w:rPr>
                <w:bCs/>
                <w:sz w:val="24"/>
              </w:rPr>
            </w:pPr>
            <w:r>
              <w:rPr>
                <w:bCs/>
                <w:sz w:val="24"/>
              </w:rPr>
              <w:t>1</w:t>
            </w:r>
          </w:p>
        </w:tc>
        <w:tc>
          <w:tcPr>
            <w:tcW w:w="1040" w:type="dxa"/>
            <w:vAlign w:val="center"/>
          </w:tcPr>
          <w:p>
            <w:pPr>
              <w:jc w:val="center"/>
              <w:rPr>
                <w:bCs/>
                <w:sz w:val="24"/>
              </w:rPr>
            </w:pPr>
            <w:r>
              <w:rPr>
                <w:bCs/>
                <w:sz w:val="24"/>
              </w:rPr>
              <w:t>2</w:t>
            </w:r>
          </w:p>
        </w:tc>
        <w:tc>
          <w:tcPr>
            <w:tcW w:w="840" w:type="dxa"/>
            <w:vAlign w:val="center"/>
          </w:tcPr>
          <w:p>
            <w:pPr>
              <w:jc w:val="center"/>
              <w:rPr>
                <w:bCs/>
                <w:sz w:val="24"/>
              </w:rPr>
            </w:pPr>
            <w:r>
              <w:rPr>
                <w:bCs/>
                <w:sz w:val="24"/>
              </w:rPr>
              <w:t>3</w:t>
            </w:r>
          </w:p>
        </w:tc>
        <w:tc>
          <w:tcPr>
            <w:tcW w:w="841" w:type="dxa"/>
            <w:vAlign w:val="center"/>
          </w:tcPr>
          <w:p>
            <w:pPr>
              <w:jc w:val="center"/>
              <w:rPr>
                <w:bCs/>
                <w:sz w:val="24"/>
              </w:rPr>
            </w:pPr>
            <w:r>
              <w:rPr>
                <w:bCs/>
                <w:sz w:val="24"/>
              </w:rPr>
              <w:t>4</w:t>
            </w:r>
          </w:p>
        </w:tc>
        <w:tc>
          <w:tcPr>
            <w:tcW w:w="734" w:type="dxa"/>
            <w:vAlign w:val="center"/>
          </w:tcPr>
          <w:p>
            <w:pPr>
              <w:jc w:val="center"/>
              <w:rPr>
                <w:bCs/>
                <w:sz w:val="24"/>
              </w:rPr>
            </w:pPr>
            <w:r>
              <w:rPr>
                <w:bCs/>
                <w:sz w:val="24"/>
              </w:rPr>
              <w:t>5</w:t>
            </w:r>
          </w:p>
        </w:tc>
        <w:tc>
          <w:tcPr>
            <w:tcW w:w="743" w:type="dxa"/>
            <w:vAlign w:val="center"/>
          </w:tcPr>
          <w:p>
            <w:pPr>
              <w:jc w:val="center"/>
              <w:rPr>
                <w:bCs/>
                <w:sz w:val="24"/>
              </w:rPr>
            </w:pPr>
            <w:r>
              <w:rPr>
                <w:bCs/>
                <w:sz w:val="24"/>
              </w:rPr>
              <w:t>6</w:t>
            </w:r>
          </w:p>
        </w:tc>
        <w:tc>
          <w:tcPr>
            <w:tcW w:w="867" w:type="dxa"/>
            <w:vAlign w:val="center"/>
          </w:tcPr>
          <w:p>
            <w:pPr>
              <w:jc w:val="center"/>
              <w:rPr>
                <w:bCs/>
                <w:sz w:val="24"/>
              </w:rPr>
            </w:pPr>
            <w:r>
              <w:rPr>
                <w:bCs/>
                <w:sz w:val="24"/>
              </w:rPr>
              <w:t>7</w:t>
            </w:r>
          </w:p>
        </w:tc>
        <w:tc>
          <w:tcPr>
            <w:tcW w:w="743" w:type="dxa"/>
            <w:vAlign w:val="center"/>
          </w:tcPr>
          <w:p>
            <w:pPr>
              <w:jc w:val="center"/>
              <w:rPr>
                <w:bCs/>
                <w:sz w:val="24"/>
              </w:rPr>
            </w:pPr>
            <w:r>
              <w:rPr>
                <w:bCs/>
                <w:sz w:val="24"/>
              </w:rPr>
              <w:t>8</w:t>
            </w:r>
          </w:p>
        </w:tc>
        <w:tc>
          <w:tcPr>
            <w:tcW w:w="743" w:type="dxa"/>
            <w:vAlign w:val="center"/>
          </w:tcPr>
          <w:p>
            <w:pPr>
              <w:jc w:val="center"/>
              <w:rPr>
                <w:bCs/>
                <w:sz w:val="24"/>
              </w:rPr>
            </w:pPr>
            <w:r>
              <w:rPr>
                <w:bCs/>
                <w:sz w:val="24"/>
              </w:rPr>
              <w:t>9</w:t>
            </w:r>
          </w:p>
        </w:tc>
        <w:tc>
          <w:tcPr>
            <w:tcW w:w="743" w:type="dxa"/>
            <w:vAlign w:val="center"/>
          </w:tcPr>
          <w:p>
            <w:pPr>
              <w:jc w:val="center"/>
              <w:rPr>
                <w:bCs/>
                <w:sz w:val="24"/>
              </w:rPr>
            </w:pPr>
            <w:r>
              <w:rPr>
                <w:bCs/>
                <w:sz w:val="24"/>
              </w:rPr>
              <w:t>10</w:t>
            </w:r>
          </w:p>
        </w:tc>
        <w:tc>
          <w:tcPr>
            <w:tcW w:w="867" w:type="dxa"/>
            <w:vAlign w:val="center"/>
          </w:tcPr>
          <w:p>
            <w:pPr>
              <w:jc w:val="center"/>
              <w:rPr>
                <w:bCs/>
                <w:sz w:val="24"/>
              </w:rPr>
            </w:pPr>
            <w:r>
              <w:rPr>
                <w:bCs/>
                <w:sz w:val="24"/>
              </w:rPr>
              <w:t>11</w:t>
            </w:r>
          </w:p>
        </w:tc>
        <w:tc>
          <w:tcPr>
            <w:tcW w:w="743" w:type="dxa"/>
            <w:vAlign w:val="center"/>
          </w:tcPr>
          <w:p>
            <w:pPr>
              <w:jc w:val="center"/>
              <w:rPr>
                <w:bCs/>
                <w:sz w:val="24"/>
              </w:rPr>
            </w:pPr>
            <w:r>
              <w:rPr>
                <w:bCs/>
                <w:sz w:val="24"/>
              </w:rPr>
              <w:t>12</w:t>
            </w:r>
          </w:p>
        </w:tc>
        <w:tc>
          <w:tcPr>
            <w:tcW w:w="743" w:type="dxa"/>
            <w:vAlign w:val="center"/>
          </w:tcPr>
          <w:p>
            <w:pPr>
              <w:jc w:val="center"/>
              <w:rPr>
                <w:bCs/>
                <w:sz w:val="24"/>
              </w:rPr>
            </w:pPr>
            <w:r>
              <w:rPr>
                <w:bCs/>
                <w:sz w:val="24"/>
              </w:rPr>
              <w:t>13</w:t>
            </w:r>
          </w:p>
        </w:tc>
        <w:tc>
          <w:tcPr>
            <w:tcW w:w="743" w:type="dxa"/>
            <w:vAlign w:val="center"/>
          </w:tcPr>
          <w:p>
            <w:pPr>
              <w:jc w:val="center"/>
              <w:rPr>
                <w:bCs/>
                <w:sz w:val="24"/>
              </w:rPr>
            </w:pPr>
            <w:r>
              <w:rPr>
                <w:bCs/>
                <w:sz w:val="24"/>
              </w:rPr>
              <w:t>14</w:t>
            </w:r>
          </w:p>
        </w:tc>
        <w:tc>
          <w:tcPr>
            <w:tcW w:w="867" w:type="dxa"/>
            <w:vAlign w:val="center"/>
          </w:tcPr>
          <w:p>
            <w:pPr>
              <w:jc w:val="center"/>
              <w:rPr>
                <w:bCs/>
                <w:sz w:val="24"/>
              </w:rPr>
            </w:pPr>
            <w:r>
              <w:rPr>
                <w:bCs/>
                <w:sz w:val="24"/>
              </w:rPr>
              <w:t>15</w:t>
            </w:r>
          </w:p>
        </w:tc>
        <w:tc>
          <w:tcPr>
            <w:tcW w:w="867" w:type="dxa"/>
            <w:vAlign w:val="center"/>
          </w:tcPr>
          <w:p>
            <w:pPr>
              <w:jc w:val="center"/>
              <w:rPr>
                <w:bCs/>
                <w:sz w:val="24"/>
              </w:rPr>
            </w:pPr>
            <w:r>
              <w:rPr>
                <w:bCs/>
                <w:sz w:val="24"/>
              </w:rPr>
              <w:t>16</w:t>
            </w:r>
          </w:p>
        </w:tc>
        <w:tc>
          <w:tcPr>
            <w:tcW w:w="743" w:type="dxa"/>
            <w:vAlign w:val="center"/>
          </w:tcPr>
          <w:p>
            <w:pPr>
              <w:jc w:val="center"/>
              <w:rPr>
                <w:bCs/>
                <w:sz w:val="24"/>
              </w:rPr>
            </w:pPr>
            <w:r>
              <w:rPr>
                <w:bCs/>
                <w:sz w:val="24"/>
              </w:rPr>
              <w:t>17</w:t>
            </w:r>
          </w:p>
        </w:tc>
        <w:tc>
          <w:tcPr>
            <w:tcW w:w="621" w:type="dxa"/>
            <w:vAlign w:val="center"/>
          </w:tcPr>
          <w:p>
            <w:pPr>
              <w:jc w:val="center"/>
              <w:rPr>
                <w:bCs/>
                <w:sz w:val="24"/>
              </w:rPr>
            </w:pPr>
            <w:r>
              <w:rPr>
                <w:bCs/>
                <w:sz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014" w:type="dxa"/>
            <w:vAlign w:val="center"/>
          </w:tcPr>
          <w:p>
            <w:pPr>
              <w:rPr>
                <w:bCs/>
                <w:sz w:val="24"/>
              </w:rPr>
            </w:pPr>
          </w:p>
        </w:tc>
        <w:tc>
          <w:tcPr>
            <w:tcW w:w="1040" w:type="dxa"/>
            <w:vAlign w:val="center"/>
          </w:tcPr>
          <w:p>
            <w:pPr>
              <w:rPr>
                <w:bCs/>
                <w:sz w:val="24"/>
              </w:rPr>
            </w:pPr>
          </w:p>
        </w:tc>
        <w:tc>
          <w:tcPr>
            <w:tcW w:w="840" w:type="dxa"/>
            <w:vAlign w:val="center"/>
          </w:tcPr>
          <w:p>
            <w:pPr>
              <w:rPr>
                <w:bCs/>
                <w:sz w:val="24"/>
              </w:rPr>
            </w:pPr>
          </w:p>
        </w:tc>
        <w:tc>
          <w:tcPr>
            <w:tcW w:w="841" w:type="dxa"/>
            <w:vAlign w:val="center"/>
          </w:tcPr>
          <w:p>
            <w:pPr>
              <w:rPr>
                <w:bCs/>
                <w:sz w:val="24"/>
              </w:rPr>
            </w:pPr>
          </w:p>
        </w:tc>
        <w:tc>
          <w:tcPr>
            <w:tcW w:w="734" w:type="dxa"/>
            <w:vAlign w:val="center"/>
          </w:tcPr>
          <w:p>
            <w:pPr>
              <w:rPr>
                <w:bCs/>
                <w:sz w:val="24"/>
              </w:rPr>
            </w:pPr>
          </w:p>
        </w:tc>
        <w:tc>
          <w:tcPr>
            <w:tcW w:w="743" w:type="dxa"/>
            <w:vAlign w:val="center"/>
          </w:tcPr>
          <w:p>
            <w:pPr>
              <w:rPr>
                <w:bCs/>
                <w:sz w:val="24"/>
              </w:rPr>
            </w:pPr>
          </w:p>
        </w:tc>
        <w:tc>
          <w:tcPr>
            <w:tcW w:w="867" w:type="dxa"/>
            <w:vAlign w:val="center"/>
          </w:tcPr>
          <w:p>
            <w:pPr>
              <w:rPr>
                <w:bCs/>
                <w:sz w:val="24"/>
              </w:rPr>
            </w:pPr>
          </w:p>
        </w:tc>
        <w:tc>
          <w:tcPr>
            <w:tcW w:w="743" w:type="dxa"/>
            <w:vAlign w:val="center"/>
          </w:tcPr>
          <w:p>
            <w:pPr>
              <w:rPr>
                <w:bCs/>
                <w:sz w:val="24"/>
              </w:rPr>
            </w:pPr>
          </w:p>
        </w:tc>
        <w:tc>
          <w:tcPr>
            <w:tcW w:w="743" w:type="dxa"/>
            <w:vAlign w:val="center"/>
          </w:tcPr>
          <w:p>
            <w:pPr>
              <w:rPr>
                <w:bCs/>
                <w:sz w:val="24"/>
              </w:rPr>
            </w:pPr>
          </w:p>
        </w:tc>
        <w:tc>
          <w:tcPr>
            <w:tcW w:w="743" w:type="dxa"/>
            <w:vAlign w:val="center"/>
          </w:tcPr>
          <w:p>
            <w:pPr>
              <w:rPr>
                <w:bCs/>
                <w:sz w:val="24"/>
              </w:rPr>
            </w:pPr>
          </w:p>
        </w:tc>
        <w:tc>
          <w:tcPr>
            <w:tcW w:w="867" w:type="dxa"/>
            <w:vAlign w:val="center"/>
          </w:tcPr>
          <w:p>
            <w:pPr>
              <w:rPr>
                <w:bCs/>
                <w:sz w:val="24"/>
              </w:rPr>
            </w:pPr>
          </w:p>
        </w:tc>
        <w:tc>
          <w:tcPr>
            <w:tcW w:w="743" w:type="dxa"/>
            <w:vAlign w:val="center"/>
          </w:tcPr>
          <w:p>
            <w:pPr>
              <w:rPr>
                <w:bCs/>
                <w:sz w:val="24"/>
              </w:rPr>
            </w:pPr>
          </w:p>
        </w:tc>
        <w:tc>
          <w:tcPr>
            <w:tcW w:w="743" w:type="dxa"/>
            <w:vAlign w:val="center"/>
          </w:tcPr>
          <w:p>
            <w:pPr>
              <w:rPr>
                <w:bCs/>
                <w:sz w:val="24"/>
              </w:rPr>
            </w:pPr>
          </w:p>
        </w:tc>
        <w:tc>
          <w:tcPr>
            <w:tcW w:w="743" w:type="dxa"/>
            <w:vAlign w:val="center"/>
          </w:tcPr>
          <w:p>
            <w:pPr>
              <w:rPr>
                <w:bCs/>
                <w:sz w:val="24"/>
              </w:rPr>
            </w:pPr>
          </w:p>
        </w:tc>
        <w:tc>
          <w:tcPr>
            <w:tcW w:w="867" w:type="dxa"/>
            <w:vAlign w:val="center"/>
          </w:tcPr>
          <w:p>
            <w:pPr>
              <w:rPr>
                <w:bCs/>
                <w:sz w:val="24"/>
              </w:rPr>
            </w:pPr>
          </w:p>
        </w:tc>
        <w:tc>
          <w:tcPr>
            <w:tcW w:w="867" w:type="dxa"/>
            <w:vAlign w:val="center"/>
          </w:tcPr>
          <w:p>
            <w:pPr>
              <w:rPr>
                <w:bCs/>
                <w:sz w:val="24"/>
              </w:rPr>
            </w:pPr>
          </w:p>
        </w:tc>
        <w:tc>
          <w:tcPr>
            <w:tcW w:w="743" w:type="dxa"/>
            <w:vAlign w:val="center"/>
          </w:tcPr>
          <w:p>
            <w:pPr>
              <w:rPr>
                <w:bCs/>
                <w:sz w:val="24"/>
              </w:rPr>
            </w:pPr>
          </w:p>
        </w:tc>
        <w:tc>
          <w:tcPr>
            <w:tcW w:w="621" w:type="dxa"/>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014" w:type="dxa"/>
            <w:vAlign w:val="center"/>
          </w:tcPr>
          <w:p>
            <w:pPr>
              <w:rPr>
                <w:bCs/>
                <w:sz w:val="24"/>
              </w:rPr>
            </w:pPr>
          </w:p>
        </w:tc>
        <w:tc>
          <w:tcPr>
            <w:tcW w:w="1040" w:type="dxa"/>
            <w:vAlign w:val="center"/>
          </w:tcPr>
          <w:p>
            <w:pPr>
              <w:rPr>
                <w:bCs/>
                <w:sz w:val="24"/>
              </w:rPr>
            </w:pPr>
          </w:p>
        </w:tc>
        <w:tc>
          <w:tcPr>
            <w:tcW w:w="840" w:type="dxa"/>
            <w:vAlign w:val="center"/>
          </w:tcPr>
          <w:p>
            <w:pPr>
              <w:rPr>
                <w:bCs/>
                <w:sz w:val="24"/>
              </w:rPr>
            </w:pPr>
          </w:p>
        </w:tc>
        <w:tc>
          <w:tcPr>
            <w:tcW w:w="841" w:type="dxa"/>
            <w:vAlign w:val="center"/>
          </w:tcPr>
          <w:p>
            <w:pPr>
              <w:rPr>
                <w:bCs/>
                <w:sz w:val="24"/>
              </w:rPr>
            </w:pPr>
          </w:p>
        </w:tc>
        <w:tc>
          <w:tcPr>
            <w:tcW w:w="734" w:type="dxa"/>
            <w:vAlign w:val="center"/>
          </w:tcPr>
          <w:p>
            <w:pPr>
              <w:rPr>
                <w:bCs/>
                <w:sz w:val="24"/>
              </w:rPr>
            </w:pPr>
          </w:p>
        </w:tc>
        <w:tc>
          <w:tcPr>
            <w:tcW w:w="743" w:type="dxa"/>
            <w:vAlign w:val="center"/>
          </w:tcPr>
          <w:p>
            <w:pPr>
              <w:rPr>
                <w:bCs/>
                <w:sz w:val="24"/>
              </w:rPr>
            </w:pPr>
          </w:p>
        </w:tc>
        <w:tc>
          <w:tcPr>
            <w:tcW w:w="867" w:type="dxa"/>
            <w:vAlign w:val="center"/>
          </w:tcPr>
          <w:p>
            <w:pPr>
              <w:rPr>
                <w:bCs/>
                <w:sz w:val="24"/>
              </w:rPr>
            </w:pPr>
          </w:p>
        </w:tc>
        <w:tc>
          <w:tcPr>
            <w:tcW w:w="743" w:type="dxa"/>
            <w:vAlign w:val="center"/>
          </w:tcPr>
          <w:p>
            <w:pPr>
              <w:rPr>
                <w:bCs/>
                <w:sz w:val="24"/>
              </w:rPr>
            </w:pPr>
          </w:p>
        </w:tc>
        <w:tc>
          <w:tcPr>
            <w:tcW w:w="743" w:type="dxa"/>
            <w:vAlign w:val="center"/>
          </w:tcPr>
          <w:p>
            <w:pPr>
              <w:rPr>
                <w:bCs/>
                <w:sz w:val="24"/>
              </w:rPr>
            </w:pPr>
          </w:p>
        </w:tc>
        <w:tc>
          <w:tcPr>
            <w:tcW w:w="743" w:type="dxa"/>
            <w:vAlign w:val="center"/>
          </w:tcPr>
          <w:p>
            <w:pPr>
              <w:rPr>
                <w:bCs/>
                <w:sz w:val="24"/>
              </w:rPr>
            </w:pPr>
          </w:p>
        </w:tc>
        <w:tc>
          <w:tcPr>
            <w:tcW w:w="867" w:type="dxa"/>
            <w:vAlign w:val="center"/>
          </w:tcPr>
          <w:p>
            <w:pPr>
              <w:rPr>
                <w:bCs/>
                <w:sz w:val="24"/>
              </w:rPr>
            </w:pPr>
          </w:p>
        </w:tc>
        <w:tc>
          <w:tcPr>
            <w:tcW w:w="743" w:type="dxa"/>
            <w:vAlign w:val="center"/>
          </w:tcPr>
          <w:p>
            <w:pPr>
              <w:rPr>
                <w:bCs/>
                <w:sz w:val="24"/>
              </w:rPr>
            </w:pPr>
          </w:p>
        </w:tc>
        <w:tc>
          <w:tcPr>
            <w:tcW w:w="743" w:type="dxa"/>
            <w:vAlign w:val="center"/>
          </w:tcPr>
          <w:p>
            <w:pPr>
              <w:rPr>
                <w:bCs/>
                <w:sz w:val="24"/>
              </w:rPr>
            </w:pPr>
          </w:p>
        </w:tc>
        <w:tc>
          <w:tcPr>
            <w:tcW w:w="743" w:type="dxa"/>
            <w:vAlign w:val="center"/>
          </w:tcPr>
          <w:p>
            <w:pPr>
              <w:rPr>
                <w:bCs/>
                <w:sz w:val="24"/>
              </w:rPr>
            </w:pPr>
          </w:p>
        </w:tc>
        <w:tc>
          <w:tcPr>
            <w:tcW w:w="867" w:type="dxa"/>
            <w:vAlign w:val="center"/>
          </w:tcPr>
          <w:p>
            <w:pPr>
              <w:rPr>
                <w:bCs/>
                <w:sz w:val="24"/>
              </w:rPr>
            </w:pPr>
          </w:p>
        </w:tc>
        <w:tc>
          <w:tcPr>
            <w:tcW w:w="867" w:type="dxa"/>
            <w:vAlign w:val="center"/>
          </w:tcPr>
          <w:p>
            <w:pPr>
              <w:rPr>
                <w:bCs/>
                <w:sz w:val="24"/>
              </w:rPr>
            </w:pPr>
          </w:p>
        </w:tc>
        <w:tc>
          <w:tcPr>
            <w:tcW w:w="743" w:type="dxa"/>
            <w:vAlign w:val="center"/>
          </w:tcPr>
          <w:p>
            <w:pPr>
              <w:rPr>
                <w:bCs/>
                <w:sz w:val="24"/>
              </w:rPr>
            </w:pPr>
          </w:p>
        </w:tc>
        <w:tc>
          <w:tcPr>
            <w:tcW w:w="621" w:type="dxa"/>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014" w:type="dxa"/>
            <w:vAlign w:val="center"/>
          </w:tcPr>
          <w:p>
            <w:pPr>
              <w:rPr>
                <w:bCs/>
                <w:sz w:val="24"/>
              </w:rPr>
            </w:pPr>
          </w:p>
        </w:tc>
        <w:tc>
          <w:tcPr>
            <w:tcW w:w="1040" w:type="dxa"/>
            <w:vAlign w:val="center"/>
          </w:tcPr>
          <w:p>
            <w:pPr>
              <w:rPr>
                <w:bCs/>
                <w:sz w:val="24"/>
              </w:rPr>
            </w:pPr>
          </w:p>
        </w:tc>
        <w:tc>
          <w:tcPr>
            <w:tcW w:w="840" w:type="dxa"/>
            <w:vAlign w:val="center"/>
          </w:tcPr>
          <w:p>
            <w:pPr>
              <w:rPr>
                <w:bCs/>
                <w:sz w:val="24"/>
              </w:rPr>
            </w:pPr>
          </w:p>
        </w:tc>
        <w:tc>
          <w:tcPr>
            <w:tcW w:w="841" w:type="dxa"/>
            <w:vAlign w:val="center"/>
          </w:tcPr>
          <w:p>
            <w:pPr>
              <w:rPr>
                <w:bCs/>
                <w:sz w:val="24"/>
              </w:rPr>
            </w:pPr>
          </w:p>
        </w:tc>
        <w:tc>
          <w:tcPr>
            <w:tcW w:w="734" w:type="dxa"/>
            <w:vAlign w:val="center"/>
          </w:tcPr>
          <w:p>
            <w:pPr>
              <w:rPr>
                <w:bCs/>
                <w:sz w:val="24"/>
              </w:rPr>
            </w:pPr>
          </w:p>
        </w:tc>
        <w:tc>
          <w:tcPr>
            <w:tcW w:w="743" w:type="dxa"/>
            <w:vAlign w:val="center"/>
          </w:tcPr>
          <w:p>
            <w:pPr>
              <w:rPr>
                <w:bCs/>
                <w:sz w:val="24"/>
              </w:rPr>
            </w:pPr>
          </w:p>
        </w:tc>
        <w:tc>
          <w:tcPr>
            <w:tcW w:w="867" w:type="dxa"/>
            <w:vAlign w:val="center"/>
          </w:tcPr>
          <w:p>
            <w:pPr>
              <w:rPr>
                <w:bCs/>
                <w:sz w:val="24"/>
              </w:rPr>
            </w:pPr>
          </w:p>
        </w:tc>
        <w:tc>
          <w:tcPr>
            <w:tcW w:w="743" w:type="dxa"/>
            <w:vAlign w:val="center"/>
          </w:tcPr>
          <w:p>
            <w:pPr>
              <w:rPr>
                <w:bCs/>
                <w:sz w:val="24"/>
              </w:rPr>
            </w:pPr>
          </w:p>
        </w:tc>
        <w:tc>
          <w:tcPr>
            <w:tcW w:w="743" w:type="dxa"/>
            <w:vAlign w:val="center"/>
          </w:tcPr>
          <w:p>
            <w:pPr>
              <w:rPr>
                <w:bCs/>
                <w:sz w:val="24"/>
              </w:rPr>
            </w:pPr>
          </w:p>
        </w:tc>
        <w:tc>
          <w:tcPr>
            <w:tcW w:w="743" w:type="dxa"/>
            <w:vAlign w:val="center"/>
          </w:tcPr>
          <w:p>
            <w:pPr>
              <w:rPr>
                <w:bCs/>
                <w:sz w:val="24"/>
              </w:rPr>
            </w:pPr>
          </w:p>
        </w:tc>
        <w:tc>
          <w:tcPr>
            <w:tcW w:w="867" w:type="dxa"/>
            <w:vAlign w:val="center"/>
          </w:tcPr>
          <w:p>
            <w:pPr>
              <w:rPr>
                <w:bCs/>
                <w:sz w:val="24"/>
              </w:rPr>
            </w:pPr>
          </w:p>
        </w:tc>
        <w:tc>
          <w:tcPr>
            <w:tcW w:w="743" w:type="dxa"/>
            <w:vAlign w:val="center"/>
          </w:tcPr>
          <w:p>
            <w:pPr>
              <w:rPr>
                <w:bCs/>
                <w:sz w:val="24"/>
              </w:rPr>
            </w:pPr>
          </w:p>
        </w:tc>
        <w:tc>
          <w:tcPr>
            <w:tcW w:w="743" w:type="dxa"/>
            <w:vAlign w:val="center"/>
          </w:tcPr>
          <w:p>
            <w:pPr>
              <w:rPr>
                <w:bCs/>
                <w:sz w:val="24"/>
              </w:rPr>
            </w:pPr>
          </w:p>
        </w:tc>
        <w:tc>
          <w:tcPr>
            <w:tcW w:w="743" w:type="dxa"/>
            <w:vAlign w:val="center"/>
          </w:tcPr>
          <w:p>
            <w:pPr>
              <w:rPr>
                <w:bCs/>
                <w:sz w:val="24"/>
              </w:rPr>
            </w:pPr>
          </w:p>
        </w:tc>
        <w:tc>
          <w:tcPr>
            <w:tcW w:w="867" w:type="dxa"/>
            <w:vAlign w:val="center"/>
          </w:tcPr>
          <w:p>
            <w:pPr>
              <w:rPr>
                <w:bCs/>
                <w:sz w:val="24"/>
              </w:rPr>
            </w:pPr>
          </w:p>
        </w:tc>
        <w:tc>
          <w:tcPr>
            <w:tcW w:w="867" w:type="dxa"/>
            <w:vAlign w:val="center"/>
          </w:tcPr>
          <w:p>
            <w:pPr>
              <w:rPr>
                <w:bCs/>
                <w:sz w:val="24"/>
              </w:rPr>
            </w:pPr>
          </w:p>
        </w:tc>
        <w:tc>
          <w:tcPr>
            <w:tcW w:w="743" w:type="dxa"/>
            <w:vAlign w:val="center"/>
          </w:tcPr>
          <w:p>
            <w:pPr>
              <w:rPr>
                <w:bCs/>
                <w:sz w:val="24"/>
              </w:rPr>
            </w:pPr>
          </w:p>
        </w:tc>
        <w:tc>
          <w:tcPr>
            <w:tcW w:w="621" w:type="dxa"/>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4502" w:type="dxa"/>
            <w:gridSpan w:val="18"/>
            <w:vAlign w:val="center"/>
          </w:tcPr>
          <w:p>
            <w:pPr>
              <w:rPr>
                <w:bCs/>
                <w:sz w:val="24"/>
              </w:rPr>
            </w:pPr>
            <w:r>
              <w:rPr>
                <w:rFonts w:hint="eastAsia"/>
                <w:bCs/>
                <w:sz w:val="24"/>
              </w:rPr>
              <w:t xml:space="preserve">物资总金额（大写人民币）：                                                （小写）¥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4502" w:type="dxa"/>
            <w:gridSpan w:val="18"/>
            <w:vAlign w:val="center"/>
          </w:tcPr>
          <w:p>
            <w:pPr>
              <w:spacing w:line="276" w:lineRule="auto"/>
              <w:rPr>
                <w:rFonts w:ascii="宋体" w:hAnsi="宋体" w:cs="宋体"/>
                <w:bCs/>
                <w:spacing w:val="-4"/>
                <w:sz w:val="24"/>
              </w:rPr>
            </w:pPr>
            <w:r>
              <w:rPr>
                <w:rFonts w:ascii="宋体" w:hAnsi="宋体" w:cs="宋体"/>
                <w:bCs/>
                <w:spacing w:val="-4"/>
                <w:sz w:val="24"/>
              </w:rPr>
              <w:t>说明</w:t>
            </w:r>
            <w:r>
              <w:rPr>
                <w:rFonts w:hint="eastAsia" w:ascii="宋体" w:hAnsi="宋体" w:cs="宋体"/>
                <w:bCs/>
                <w:spacing w:val="-4"/>
                <w:sz w:val="24"/>
              </w:rPr>
              <w:t>：</w:t>
            </w:r>
            <w:r>
              <w:rPr>
                <w:rFonts w:ascii="宋体" w:hAnsi="宋体" w:cs="宋体"/>
                <w:bCs/>
                <w:spacing w:val="-4"/>
                <w:sz w:val="24"/>
              </w:rPr>
              <w:t>1.项5=项6×项4</w:t>
            </w:r>
          </w:p>
          <w:p>
            <w:pPr>
              <w:spacing w:line="276" w:lineRule="auto"/>
              <w:rPr>
                <w:bCs/>
                <w:sz w:val="28"/>
                <w:szCs w:val="28"/>
              </w:rPr>
            </w:pPr>
            <w:r>
              <w:rPr>
                <w:rFonts w:ascii="宋体" w:hAnsi="宋体" w:cs="宋体"/>
                <w:bCs/>
                <w:spacing w:val="-4"/>
                <w:sz w:val="24"/>
              </w:rPr>
              <w:t xml:space="preserve">     2.项6=项7+项8+项9+项10+项11+项12+项13+项14+项15+项16+项17+项18</w:t>
            </w:r>
          </w:p>
        </w:tc>
      </w:tr>
    </w:tbl>
    <w:p>
      <w:pPr>
        <w:spacing w:line="560" w:lineRule="exact"/>
        <w:rPr>
          <w:bCs/>
          <w:sz w:val="28"/>
          <w:szCs w:val="28"/>
        </w:rPr>
      </w:pPr>
      <w:r>
        <w:rPr>
          <w:rFonts w:hint="eastAsia"/>
          <w:bCs/>
          <w:sz w:val="28"/>
          <w:szCs w:val="28"/>
        </w:rPr>
        <w:t>投标供应商全称：（盖章）</w:t>
      </w:r>
      <w:r>
        <w:rPr>
          <w:bCs/>
          <w:sz w:val="28"/>
          <w:szCs w:val="28"/>
        </w:rPr>
        <w:t xml:space="preserve">                              </w:t>
      </w:r>
      <w:r>
        <w:rPr>
          <w:rFonts w:hint="eastAsia"/>
          <w:bCs/>
          <w:sz w:val="28"/>
          <w:szCs w:val="28"/>
        </w:rPr>
        <w:t>法定代表人（或授权代表）：（签字）</w:t>
      </w:r>
    </w:p>
    <w:p>
      <w:pPr>
        <w:ind w:firstLine="560" w:firstLineChars="200"/>
        <w:rPr>
          <w:bCs/>
          <w:sz w:val="28"/>
          <w:szCs w:val="28"/>
        </w:rPr>
      </w:pPr>
    </w:p>
    <w:p>
      <w:pPr>
        <w:ind w:firstLine="640" w:firstLineChars="200"/>
        <w:jc w:val="center"/>
        <w:rPr>
          <w:bCs/>
          <w:sz w:val="28"/>
          <w:szCs w:val="28"/>
        </w:rPr>
        <w:sectPr>
          <w:pgSz w:w="16838" w:h="11906" w:orient="landscape"/>
          <w:pgMar w:top="1418" w:right="1134" w:bottom="1418" w:left="1418" w:header="851" w:footer="851" w:gutter="0"/>
          <w:cols w:space="720" w:num="1"/>
        </w:sectPr>
      </w:pPr>
      <w:r>
        <w:rPr>
          <w:bCs/>
          <w:sz w:val="32"/>
          <w:szCs w:val="32"/>
        </w:rPr>
        <w:t xml:space="preserve">                                                </w:t>
      </w: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pStyle w:val="5"/>
        <w:spacing w:before="120" w:beforeLines="50" w:after="120" w:afterLines="50"/>
        <w:rPr>
          <w:b w:val="0"/>
        </w:rPr>
      </w:pPr>
      <w:bookmarkStart w:id="308" w:name="_Toc9864"/>
      <w:bookmarkStart w:id="309" w:name="_Toc10276"/>
      <w:r>
        <w:rPr>
          <w:rFonts w:hint="eastAsia"/>
          <w:b w:val="0"/>
        </w:rPr>
        <w:t>附件1-</w:t>
      </w:r>
      <w:r>
        <w:rPr>
          <w:rFonts w:hint="eastAsia"/>
          <w:b w:val="0"/>
          <w:lang w:val="en-US" w:eastAsia="zh-CN"/>
        </w:rPr>
        <w:t>4</w:t>
      </w:r>
      <w:r>
        <w:rPr>
          <w:rFonts w:hint="eastAsia"/>
          <w:b w:val="0"/>
        </w:rPr>
        <w:t xml:space="preserve"> 物资材料、部件、工具价格明细表</w:t>
      </w:r>
      <w:bookmarkEnd w:id="308"/>
      <w:bookmarkEnd w:id="309"/>
    </w:p>
    <w:p>
      <w:pPr>
        <w:spacing w:before="120" w:beforeLines="50" w:after="120"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物资材料、部件、工具价格明细表</w:t>
      </w:r>
    </w:p>
    <w:p>
      <w:pPr>
        <w:rPr>
          <w:bCs/>
          <w:sz w:val="28"/>
          <w:szCs w:val="28"/>
          <w:u w:val="single"/>
        </w:rPr>
      </w:pPr>
      <w:r>
        <w:rPr>
          <w:rFonts w:hint="eastAsia"/>
          <w:bCs/>
          <w:sz w:val="28"/>
          <w:szCs w:val="28"/>
        </w:rPr>
        <w:t>项目名称：</w:t>
      </w:r>
      <w:r>
        <w:rPr>
          <w:bCs/>
          <w:sz w:val="28"/>
          <w:szCs w:val="28"/>
          <w:u w:val="single"/>
        </w:rPr>
        <w:t xml:space="preserve">             </w:t>
      </w:r>
      <w:r>
        <w:rPr>
          <w:bCs/>
          <w:sz w:val="28"/>
          <w:szCs w:val="28"/>
        </w:rPr>
        <w:t xml:space="preserve">  </w:t>
      </w:r>
      <w:r>
        <w:rPr>
          <w:rFonts w:hint="eastAsia"/>
          <w:bCs/>
          <w:sz w:val="28"/>
          <w:szCs w:val="28"/>
        </w:rPr>
        <w:t>项目编号：</w:t>
      </w:r>
      <w:r>
        <w:rPr>
          <w:bCs/>
          <w:sz w:val="28"/>
          <w:szCs w:val="28"/>
          <w:u w:val="single"/>
        </w:rPr>
        <w:t xml:space="preserve">           </w:t>
      </w:r>
      <w:r>
        <w:rPr>
          <w:bCs/>
          <w:sz w:val="28"/>
          <w:szCs w:val="28"/>
        </w:rPr>
        <w:t xml:space="preserve">  </w:t>
      </w:r>
    </w:p>
    <w:tbl>
      <w:tblPr>
        <w:tblStyle w:val="42"/>
        <w:tblW w:w="9360" w:type="dxa"/>
        <w:tblInd w:w="108" w:type="dxa"/>
        <w:tblLayout w:type="fixed"/>
        <w:tblCellMar>
          <w:top w:w="0" w:type="dxa"/>
          <w:left w:w="108" w:type="dxa"/>
          <w:bottom w:w="0" w:type="dxa"/>
          <w:right w:w="108" w:type="dxa"/>
        </w:tblCellMar>
      </w:tblPr>
      <w:tblGrid>
        <w:gridCol w:w="851"/>
        <w:gridCol w:w="1296"/>
        <w:gridCol w:w="986"/>
        <w:gridCol w:w="1132"/>
        <w:gridCol w:w="795"/>
        <w:gridCol w:w="1080"/>
        <w:gridCol w:w="747"/>
        <w:gridCol w:w="1120"/>
        <w:gridCol w:w="1353"/>
      </w:tblGrid>
      <w:tr>
        <w:tblPrEx>
          <w:tblCellMar>
            <w:top w:w="0" w:type="dxa"/>
            <w:left w:w="108" w:type="dxa"/>
            <w:bottom w:w="0" w:type="dxa"/>
            <w:right w:w="108" w:type="dxa"/>
          </w:tblCellMar>
        </w:tblPrEx>
        <w:trPr>
          <w:cantSplit/>
          <w:trHeight w:val="616" w:hRule="atLeast"/>
        </w:trPr>
        <w:tc>
          <w:tcPr>
            <w:tcW w:w="851" w:type="dxa"/>
            <w:vMerge w:val="restart"/>
            <w:tcBorders>
              <w:top w:val="single" w:color="auto" w:sz="4" w:space="0"/>
              <w:left w:val="single" w:color="auto" w:sz="8" w:space="0"/>
              <w:bottom w:val="single" w:color="auto" w:sz="4" w:space="0"/>
              <w:right w:val="single" w:color="auto" w:sz="4" w:space="0"/>
            </w:tcBorders>
            <w:vAlign w:val="center"/>
          </w:tcPr>
          <w:p>
            <w:pPr>
              <w:jc w:val="center"/>
              <w:rPr>
                <w:bCs/>
                <w:sz w:val="24"/>
              </w:rPr>
            </w:pPr>
            <w:r>
              <w:rPr>
                <w:rFonts w:hint="eastAsia"/>
                <w:bCs/>
                <w:sz w:val="24"/>
              </w:rPr>
              <w:t>序号</w:t>
            </w:r>
          </w:p>
        </w:tc>
        <w:tc>
          <w:tcPr>
            <w:tcW w:w="1296" w:type="dxa"/>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项目</w:t>
            </w:r>
          </w:p>
        </w:tc>
        <w:tc>
          <w:tcPr>
            <w:tcW w:w="986" w:type="dxa"/>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规格</w:t>
            </w:r>
          </w:p>
          <w:p>
            <w:pPr>
              <w:jc w:val="center"/>
              <w:rPr>
                <w:bCs/>
                <w:sz w:val="24"/>
              </w:rPr>
            </w:pPr>
            <w:r>
              <w:rPr>
                <w:rFonts w:hint="eastAsia"/>
                <w:bCs/>
                <w:sz w:val="24"/>
              </w:rPr>
              <w:t>型号</w:t>
            </w:r>
          </w:p>
        </w:tc>
        <w:tc>
          <w:tcPr>
            <w:tcW w:w="1132" w:type="dxa"/>
            <w:vMerge w:val="restart"/>
            <w:tcBorders>
              <w:top w:val="single" w:color="auto" w:sz="4" w:space="0"/>
              <w:left w:val="single" w:color="auto" w:sz="4" w:space="0"/>
              <w:bottom w:val="single" w:color="000000" w:sz="4" w:space="0"/>
              <w:right w:val="single" w:color="auto" w:sz="4" w:space="0"/>
            </w:tcBorders>
            <w:vAlign w:val="center"/>
          </w:tcPr>
          <w:p>
            <w:pPr>
              <w:jc w:val="center"/>
              <w:rPr>
                <w:bCs/>
                <w:sz w:val="24"/>
              </w:rPr>
            </w:pPr>
            <w:r>
              <w:rPr>
                <w:rFonts w:hint="eastAsia"/>
                <w:bCs/>
                <w:sz w:val="24"/>
              </w:rPr>
              <w:t>执行</w:t>
            </w:r>
          </w:p>
          <w:p>
            <w:pPr>
              <w:jc w:val="center"/>
              <w:rPr>
                <w:bCs/>
                <w:sz w:val="24"/>
              </w:rPr>
            </w:pPr>
            <w:r>
              <w:rPr>
                <w:rFonts w:hint="eastAsia"/>
                <w:bCs/>
                <w:sz w:val="24"/>
              </w:rPr>
              <w:t>标准</w:t>
            </w:r>
          </w:p>
        </w:tc>
        <w:tc>
          <w:tcPr>
            <w:tcW w:w="795" w:type="dxa"/>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计量单位</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定额</w:t>
            </w:r>
            <w:r>
              <w:rPr>
                <w:bCs/>
                <w:sz w:val="24"/>
              </w:rPr>
              <w:t>/</w:t>
            </w:r>
            <w:r>
              <w:rPr>
                <w:rFonts w:hint="eastAsia"/>
                <w:bCs/>
                <w:sz w:val="24"/>
              </w:rPr>
              <w:t>消耗数量</w:t>
            </w:r>
          </w:p>
        </w:tc>
        <w:tc>
          <w:tcPr>
            <w:tcW w:w="747" w:type="dxa"/>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单价</w:t>
            </w:r>
          </w:p>
          <w:p>
            <w:pPr>
              <w:jc w:val="center"/>
              <w:rPr>
                <w:bCs/>
                <w:sz w:val="24"/>
              </w:rPr>
            </w:pPr>
            <w:r>
              <w:rPr>
                <w:bCs/>
                <w:sz w:val="24"/>
              </w:rPr>
              <w:t>(</w:t>
            </w:r>
            <w:r>
              <w:rPr>
                <w:rFonts w:hint="eastAsia"/>
                <w:bCs/>
                <w:sz w:val="24"/>
              </w:rPr>
              <w:t>元</w:t>
            </w:r>
            <w:r>
              <w:rPr>
                <w:bCs/>
                <w:sz w:val="24"/>
              </w:rPr>
              <w:t>)</w:t>
            </w:r>
          </w:p>
        </w:tc>
        <w:tc>
          <w:tcPr>
            <w:tcW w:w="1120" w:type="dxa"/>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金额</w:t>
            </w:r>
          </w:p>
          <w:p>
            <w:pPr>
              <w:jc w:val="center"/>
              <w:rPr>
                <w:bCs/>
                <w:sz w:val="24"/>
              </w:rPr>
            </w:pPr>
            <w:r>
              <w:rPr>
                <w:bCs/>
                <w:sz w:val="24"/>
              </w:rPr>
              <w:t>(</w:t>
            </w:r>
            <w:r>
              <w:rPr>
                <w:rFonts w:hint="eastAsia"/>
                <w:bCs/>
                <w:sz w:val="24"/>
              </w:rPr>
              <w:t>元</w:t>
            </w:r>
            <w:r>
              <w:rPr>
                <w:bCs/>
                <w:sz w:val="24"/>
              </w:rPr>
              <w:t>)</w:t>
            </w:r>
          </w:p>
        </w:tc>
        <w:tc>
          <w:tcPr>
            <w:tcW w:w="1353" w:type="dxa"/>
            <w:vMerge w:val="restart"/>
            <w:tcBorders>
              <w:top w:val="single" w:color="auto" w:sz="4" w:space="0"/>
              <w:left w:val="single" w:color="auto" w:sz="4" w:space="0"/>
              <w:bottom w:val="single" w:color="000000" w:sz="4" w:space="0"/>
              <w:right w:val="single" w:color="auto" w:sz="8" w:space="0"/>
            </w:tcBorders>
            <w:vAlign w:val="center"/>
          </w:tcPr>
          <w:p>
            <w:pPr>
              <w:jc w:val="center"/>
              <w:rPr>
                <w:bCs/>
                <w:sz w:val="24"/>
              </w:rPr>
            </w:pPr>
            <w:r>
              <w:rPr>
                <w:rFonts w:hint="eastAsia"/>
                <w:bCs/>
                <w:sz w:val="24"/>
              </w:rPr>
              <w:t>产地或生产企业</w:t>
            </w:r>
          </w:p>
        </w:tc>
      </w:tr>
      <w:tr>
        <w:tblPrEx>
          <w:tblCellMar>
            <w:top w:w="0" w:type="dxa"/>
            <w:left w:w="108" w:type="dxa"/>
            <w:bottom w:w="0" w:type="dxa"/>
            <w:right w:w="108" w:type="dxa"/>
          </w:tblCellMar>
        </w:tblPrEx>
        <w:trPr>
          <w:cantSplit/>
          <w:trHeight w:val="388" w:hRule="atLeast"/>
        </w:trPr>
        <w:tc>
          <w:tcPr>
            <w:tcW w:w="851" w:type="dxa"/>
            <w:vMerge w:val="continue"/>
            <w:tcBorders>
              <w:top w:val="single" w:color="auto" w:sz="4" w:space="0"/>
              <w:left w:val="single" w:color="auto" w:sz="8" w:space="0"/>
              <w:bottom w:val="single" w:color="auto" w:sz="4" w:space="0"/>
              <w:right w:val="single" w:color="auto" w:sz="4" w:space="0"/>
            </w:tcBorders>
            <w:vAlign w:val="center"/>
          </w:tcPr>
          <w:p>
            <w:pPr>
              <w:rPr>
                <w:bCs/>
                <w:sz w:val="24"/>
              </w:rPr>
            </w:pPr>
          </w:p>
        </w:tc>
        <w:tc>
          <w:tcPr>
            <w:tcW w:w="1296" w:type="dxa"/>
            <w:vMerge w:val="continue"/>
            <w:tcBorders>
              <w:top w:val="single" w:color="auto" w:sz="4" w:space="0"/>
              <w:left w:val="single" w:color="auto" w:sz="4" w:space="0"/>
              <w:bottom w:val="single" w:color="auto" w:sz="4" w:space="0"/>
              <w:right w:val="single" w:color="auto" w:sz="4" w:space="0"/>
            </w:tcBorders>
            <w:vAlign w:val="center"/>
          </w:tcPr>
          <w:p>
            <w:pPr>
              <w:rPr>
                <w:bCs/>
                <w:sz w:val="24"/>
              </w:rPr>
            </w:pPr>
          </w:p>
        </w:tc>
        <w:tc>
          <w:tcPr>
            <w:tcW w:w="986" w:type="dxa"/>
            <w:vMerge w:val="continue"/>
            <w:tcBorders>
              <w:top w:val="single" w:color="auto" w:sz="4" w:space="0"/>
              <w:left w:val="single" w:color="auto" w:sz="4" w:space="0"/>
              <w:bottom w:val="single" w:color="auto" w:sz="4" w:space="0"/>
              <w:right w:val="single" w:color="auto" w:sz="4" w:space="0"/>
            </w:tcBorders>
            <w:vAlign w:val="center"/>
          </w:tcPr>
          <w:p>
            <w:pPr>
              <w:rPr>
                <w:bCs/>
                <w:sz w:val="24"/>
              </w:rPr>
            </w:pPr>
          </w:p>
        </w:tc>
        <w:tc>
          <w:tcPr>
            <w:tcW w:w="1132" w:type="dxa"/>
            <w:vMerge w:val="continue"/>
            <w:tcBorders>
              <w:top w:val="single" w:color="auto" w:sz="4" w:space="0"/>
              <w:left w:val="single" w:color="auto" w:sz="4" w:space="0"/>
              <w:bottom w:val="single" w:color="000000" w:sz="4" w:space="0"/>
              <w:right w:val="single" w:color="auto" w:sz="4" w:space="0"/>
            </w:tcBorders>
            <w:vAlign w:val="center"/>
          </w:tcPr>
          <w:p>
            <w:pPr>
              <w:rPr>
                <w:bCs/>
                <w:sz w:val="24"/>
              </w:rPr>
            </w:pPr>
          </w:p>
        </w:tc>
        <w:tc>
          <w:tcPr>
            <w:tcW w:w="795" w:type="dxa"/>
            <w:vMerge w:val="continue"/>
            <w:tcBorders>
              <w:top w:val="single" w:color="auto" w:sz="4" w:space="0"/>
              <w:left w:val="single" w:color="auto" w:sz="4" w:space="0"/>
              <w:bottom w:val="single" w:color="auto" w:sz="4" w:space="0"/>
              <w:right w:val="single" w:color="auto" w:sz="4" w:space="0"/>
            </w:tcBorders>
            <w:vAlign w:val="center"/>
          </w:tcPr>
          <w:p>
            <w:pPr>
              <w:rPr>
                <w:bCs/>
                <w:sz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rPr>
                <w:bCs/>
                <w:sz w:val="24"/>
              </w:rPr>
            </w:pPr>
          </w:p>
        </w:tc>
        <w:tc>
          <w:tcPr>
            <w:tcW w:w="747" w:type="dxa"/>
            <w:vMerge w:val="continue"/>
            <w:tcBorders>
              <w:top w:val="single" w:color="auto" w:sz="4" w:space="0"/>
              <w:left w:val="single" w:color="auto" w:sz="4" w:space="0"/>
              <w:bottom w:val="single" w:color="auto" w:sz="4" w:space="0"/>
              <w:right w:val="single" w:color="auto" w:sz="4" w:space="0"/>
            </w:tcBorders>
            <w:vAlign w:val="center"/>
          </w:tcPr>
          <w:p>
            <w:pPr>
              <w:rPr>
                <w:bCs/>
                <w:sz w:val="24"/>
              </w:rPr>
            </w:pPr>
          </w:p>
        </w:tc>
        <w:tc>
          <w:tcPr>
            <w:tcW w:w="1120" w:type="dxa"/>
            <w:vMerge w:val="continue"/>
            <w:tcBorders>
              <w:top w:val="single" w:color="auto" w:sz="4" w:space="0"/>
              <w:left w:val="single" w:color="auto" w:sz="4" w:space="0"/>
              <w:bottom w:val="single" w:color="auto" w:sz="4" w:space="0"/>
              <w:right w:val="single" w:color="auto" w:sz="4" w:space="0"/>
            </w:tcBorders>
            <w:vAlign w:val="center"/>
          </w:tcPr>
          <w:p>
            <w:pPr>
              <w:rPr>
                <w:bCs/>
                <w:sz w:val="24"/>
              </w:rPr>
            </w:pPr>
          </w:p>
        </w:tc>
        <w:tc>
          <w:tcPr>
            <w:tcW w:w="1353" w:type="dxa"/>
            <w:vMerge w:val="continue"/>
            <w:tcBorders>
              <w:top w:val="single" w:color="auto" w:sz="4" w:space="0"/>
              <w:left w:val="single" w:color="auto" w:sz="4" w:space="0"/>
              <w:bottom w:val="single" w:color="000000"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851" w:type="dxa"/>
            <w:tcBorders>
              <w:top w:val="nil"/>
              <w:left w:val="single" w:color="auto" w:sz="8" w:space="0"/>
              <w:bottom w:val="single" w:color="auto" w:sz="2" w:space="0"/>
              <w:right w:val="single" w:color="auto" w:sz="4" w:space="0"/>
            </w:tcBorders>
            <w:vAlign w:val="center"/>
          </w:tcPr>
          <w:p>
            <w:pPr>
              <w:jc w:val="center"/>
              <w:rPr>
                <w:bCs/>
                <w:sz w:val="24"/>
              </w:rPr>
            </w:pPr>
            <w:r>
              <w:rPr>
                <w:rFonts w:hint="eastAsia"/>
                <w:bCs/>
                <w:sz w:val="24"/>
              </w:rPr>
              <w:t>一</w:t>
            </w:r>
          </w:p>
        </w:tc>
        <w:tc>
          <w:tcPr>
            <w:tcW w:w="1296" w:type="dxa"/>
            <w:tcBorders>
              <w:top w:val="nil"/>
              <w:left w:val="nil"/>
              <w:bottom w:val="single" w:color="auto" w:sz="2" w:space="0"/>
              <w:right w:val="single" w:color="auto" w:sz="4" w:space="0"/>
            </w:tcBorders>
            <w:vAlign w:val="center"/>
          </w:tcPr>
          <w:p>
            <w:pPr>
              <w:rPr>
                <w:bCs/>
                <w:sz w:val="24"/>
              </w:rPr>
            </w:pPr>
            <w:r>
              <w:rPr>
                <w:rFonts w:hint="eastAsia"/>
                <w:bCs/>
                <w:sz w:val="24"/>
              </w:rPr>
              <w:t>直接材料费</w:t>
            </w:r>
          </w:p>
        </w:tc>
        <w:tc>
          <w:tcPr>
            <w:tcW w:w="986" w:type="dxa"/>
            <w:tcBorders>
              <w:top w:val="nil"/>
              <w:left w:val="nil"/>
              <w:bottom w:val="single" w:color="auto" w:sz="2" w:space="0"/>
              <w:right w:val="single" w:color="auto" w:sz="4" w:space="0"/>
            </w:tcBorders>
            <w:vAlign w:val="center"/>
          </w:tcPr>
          <w:p>
            <w:pPr>
              <w:rPr>
                <w:bCs/>
                <w:sz w:val="24"/>
              </w:rPr>
            </w:pPr>
          </w:p>
        </w:tc>
        <w:tc>
          <w:tcPr>
            <w:tcW w:w="1132" w:type="dxa"/>
            <w:tcBorders>
              <w:top w:val="nil"/>
              <w:left w:val="nil"/>
              <w:bottom w:val="single" w:color="auto" w:sz="2" w:space="0"/>
              <w:right w:val="single" w:color="auto" w:sz="4" w:space="0"/>
            </w:tcBorders>
            <w:vAlign w:val="center"/>
          </w:tcPr>
          <w:p>
            <w:pPr>
              <w:rPr>
                <w:bCs/>
                <w:sz w:val="24"/>
              </w:rPr>
            </w:pPr>
          </w:p>
        </w:tc>
        <w:tc>
          <w:tcPr>
            <w:tcW w:w="795" w:type="dxa"/>
            <w:tcBorders>
              <w:top w:val="nil"/>
              <w:left w:val="nil"/>
              <w:bottom w:val="single" w:color="auto" w:sz="2" w:space="0"/>
              <w:right w:val="single" w:color="auto" w:sz="4" w:space="0"/>
            </w:tcBorders>
            <w:vAlign w:val="center"/>
          </w:tcPr>
          <w:p>
            <w:pPr>
              <w:rPr>
                <w:bCs/>
                <w:sz w:val="24"/>
              </w:rPr>
            </w:pPr>
          </w:p>
        </w:tc>
        <w:tc>
          <w:tcPr>
            <w:tcW w:w="1080" w:type="dxa"/>
            <w:tcBorders>
              <w:top w:val="nil"/>
              <w:left w:val="nil"/>
              <w:bottom w:val="single" w:color="auto" w:sz="2" w:space="0"/>
              <w:right w:val="single" w:color="auto" w:sz="4" w:space="0"/>
            </w:tcBorders>
            <w:vAlign w:val="center"/>
          </w:tcPr>
          <w:p>
            <w:pPr>
              <w:rPr>
                <w:bCs/>
                <w:sz w:val="24"/>
              </w:rPr>
            </w:pPr>
          </w:p>
        </w:tc>
        <w:tc>
          <w:tcPr>
            <w:tcW w:w="747" w:type="dxa"/>
            <w:tcBorders>
              <w:top w:val="nil"/>
              <w:left w:val="nil"/>
              <w:bottom w:val="single" w:color="auto" w:sz="2" w:space="0"/>
              <w:right w:val="single" w:color="auto" w:sz="4" w:space="0"/>
            </w:tcBorders>
            <w:vAlign w:val="center"/>
          </w:tcPr>
          <w:p>
            <w:pPr>
              <w:rPr>
                <w:bCs/>
                <w:sz w:val="24"/>
              </w:rPr>
            </w:pPr>
          </w:p>
        </w:tc>
        <w:tc>
          <w:tcPr>
            <w:tcW w:w="1120" w:type="dxa"/>
            <w:tcBorders>
              <w:top w:val="nil"/>
              <w:left w:val="nil"/>
              <w:bottom w:val="single" w:color="auto" w:sz="2" w:space="0"/>
              <w:right w:val="single" w:color="auto" w:sz="4" w:space="0"/>
            </w:tcBorders>
            <w:vAlign w:val="center"/>
          </w:tcPr>
          <w:p>
            <w:pPr>
              <w:rPr>
                <w:bCs/>
                <w:sz w:val="24"/>
              </w:rPr>
            </w:pPr>
          </w:p>
        </w:tc>
        <w:tc>
          <w:tcPr>
            <w:tcW w:w="1353" w:type="dxa"/>
            <w:tcBorders>
              <w:top w:val="nil"/>
              <w:left w:val="nil"/>
              <w:bottom w:val="single" w:color="auto" w:sz="2"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851" w:type="dxa"/>
            <w:tcBorders>
              <w:top w:val="single" w:color="auto" w:sz="2" w:space="0"/>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asciiTheme="minorEastAsia" w:hAnsiTheme="minorEastAsia" w:eastAsiaTheme="minorEastAsia"/>
                <w:bCs/>
                <w:sz w:val="24"/>
              </w:rPr>
              <w:t>1</w:t>
            </w:r>
          </w:p>
        </w:tc>
        <w:tc>
          <w:tcPr>
            <w:tcW w:w="1296" w:type="dxa"/>
            <w:tcBorders>
              <w:top w:val="single" w:color="auto" w:sz="2" w:space="0"/>
              <w:left w:val="nil"/>
              <w:bottom w:val="single" w:color="auto" w:sz="4" w:space="0"/>
              <w:right w:val="single" w:color="auto" w:sz="4" w:space="0"/>
            </w:tcBorders>
            <w:vAlign w:val="center"/>
          </w:tcPr>
          <w:p>
            <w:pPr>
              <w:rPr>
                <w:rFonts w:asciiTheme="minorEastAsia" w:hAnsiTheme="minorEastAsia" w:eastAsiaTheme="minorEastAsia"/>
                <w:bCs/>
                <w:sz w:val="24"/>
              </w:rPr>
            </w:pPr>
          </w:p>
        </w:tc>
        <w:tc>
          <w:tcPr>
            <w:tcW w:w="986" w:type="dxa"/>
            <w:tcBorders>
              <w:top w:val="single" w:color="auto" w:sz="2" w:space="0"/>
              <w:left w:val="nil"/>
              <w:bottom w:val="single" w:color="auto" w:sz="4" w:space="0"/>
              <w:right w:val="single" w:color="auto" w:sz="4" w:space="0"/>
            </w:tcBorders>
            <w:vAlign w:val="center"/>
          </w:tcPr>
          <w:p>
            <w:pPr>
              <w:rPr>
                <w:bCs/>
                <w:sz w:val="24"/>
              </w:rPr>
            </w:pPr>
          </w:p>
        </w:tc>
        <w:tc>
          <w:tcPr>
            <w:tcW w:w="1132" w:type="dxa"/>
            <w:tcBorders>
              <w:top w:val="single" w:color="auto" w:sz="2" w:space="0"/>
              <w:left w:val="nil"/>
              <w:bottom w:val="single" w:color="auto" w:sz="4" w:space="0"/>
              <w:right w:val="single" w:color="auto" w:sz="4" w:space="0"/>
            </w:tcBorders>
            <w:vAlign w:val="center"/>
          </w:tcPr>
          <w:p>
            <w:pPr>
              <w:rPr>
                <w:bCs/>
                <w:sz w:val="24"/>
              </w:rPr>
            </w:pPr>
          </w:p>
        </w:tc>
        <w:tc>
          <w:tcPr>
            <w:tcW w:w="795" w:type="dxa"/>
            <w:tcBorders>
              <w:top w:val="single" w:color="auto" w:sz="2" w:space="0"/>
              <w:left w:val="nil"/>
              <w:bottom w:val="single" w:color="auto" w:sz="4" w:space="0"/>
              <w:right w:val="single" w:color="auto" w:sz="4" w:space="0"/>
            </w:tcBorders>
            <w:vAlign w:val="center"/>
          </w:tcPr>
          <w:p>
            <w:pPr>
              <w:rPr>
                <w:bCs/>
                <w:sz w:val="24"/>
              </w:rPr>
            </w:pPr>
          </w:p>
        </w:tc>
        <w:tc>
          <w:tcPr>
            <w:tcW w:w="1080" w:type="dxa"/>
            <w:tcBorders>
              <w:top w:val="single" w:color="auto" w:sz="2" w:space="0"/>
              <w:left w:val="nil"/>
              <w:bottom w:val="single" w:color="auto" w:sz="4" w:space="0"/>
              <w:right w:val="single" w:color="auto" w:sz="4" w:space="0"/>
            </w:tcBorders>
            <w:vAlign w:val="center"/>
          </w:tcPr>
          <w:p>
            <w:pPr>
              <w:rPr>
                <w:bCs/>
                <w:sz w:val="24"/>
              </w:rPr>
            </w:pPr>
          </w:p>
        </w:tc>
        <w:tc>
          <w:tcPr>
            <w:tcW w:w="747" w:type="dxa"/>
            <w:tcBorders>
              <w:top w:val="single" w:color="auto" w:sz="2" w:space="0"/>
              <w:left w:val="nil"/>
              <w:bottom w:val="single" w:color="auto" w:sz="4" w:space="0"/>
              <w:right w:val="single" w:color="auto" w:sz="4" w:space="0"/>
            </w:tcBorders>
            <w:vAlign w:val="center"/>
          </w:tcPr>
          <w:p>
            <w:pPr>
              <w:rPr>
                <w:bCs/>
                <w:sz w:val="24"/>
              </w:rPr>
            </w:pPr>
          </w:p>
        </w:tc>
        <w:tc>
          <w:tcPr>
            <w:tcW w:w="1120" w:type="dxa"/>
            <w:tcBorders>
              <w:top w:val="single" w:color="auto" w:sz="2" w:space="0"/>
              <w:left w:val="nil"/>
              <w:bottom w:val="single" w:color="auto" w:sz="4" w:space="0"/>
              <w:right w:val="single" w:color="auto" w:sz="4" w:space="0"/>
            </w:tcBorders>
            <w:vAlign w:val="center"/>
          </w:tcPr>
          <w:p>
            <w:pPr>
              <w:rPr>
                <w:bCs/>
                <w:sz w:val="24"/>
              </w:rPr>
            </w:pPr>
          </w:p>
        </w:tc>
        <w:tc>
          <w:tcPr>
            <w:tcW w:w="1353" w:type="dxa"/>
            <w:tcBorders>
              <w:top w:val="single" w:color="auto" w:sz="2" w:space="0"/>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851"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asciiTheme="minorEastAsia" w:hAnsiTheme="minorEastAsia" w:eastAsiaTheme="minorEastAsia"/>
                <w:bCs/>
                <w:sz w:val="24"/>
              </w:rPr>
              <w:t>2</w:t>
            </w:r>
          </w:p>
        </w:tc>
        <w:tc>
          <w:tcPr>
            <w:tcW w:w="1296"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851"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p>
        </w:tc>
        <w:tc>
          <w:tcPr>
            <w:tcW w:w="1296"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r>
              <w:rPr>
                <w:rFonts w:asciiTheme="minorEastAsia" w:hAnsiTheme="minorEastAsia" w:eastAsiaTheme="minorEastAsia"/>
                <w:bCs/>
                <w:sz w:val="24"/>
              </w:rPr>
              <w:t>……</w:t>
            </w: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851"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hint="eastAsia" w:asciiTheme="minorEastAsia" w:hAnsiTheme="minorEastAsia" w:eastAsiaTheme="minorEastAsia"/>
                <w:bCs/>
                <w:sz w:val="24"/>
              </w:rPr>
              <w:t>二</w:t>
            </w:r>
          </w:p>
        </w:tc>
        <w:tc>
          <w:tcPr>
            <w:tcW w:w="1296"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r>
              <w:rPr>
                <w:rFonts w:hint="eastAsia" w:asciiTheme="minorEastAsia" w:hAnsiTheme="minorEastAsia" w:eastAsiaTheme="minorEastAsia"/>
                <w:bCs/>
                <w:sz w:val="24"/>
              </w:rPr>
              <w:t>外购成件费</w:t>
            </w: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851"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p>
        </w:tc>
        <w:tc>
          <w:tcPr>
            <w:tcW w:w="1296"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851"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p>
        </w:tc>
        <w:tc>
          <w:tcPr>
            <w:tcW w:w="1296"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851"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p>
        </w:tc>
        <w:tc>
          <w:tcPr>
            <w:tcW w:w="1296"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r>
              <w:rPr>
                <w:rFonts w:asciiTheme="minorEastAsia" w:hAnsiTheme="minorEastAsia" w:eastAsiaTheme="minorEastAsia"/>
                <w:bCs/>
                <w:sz w:val="24"/>
              </w:rPr>
              <w:t>……</w:t>
            </w: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851"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hint="eastAsia" w:asciiTheme="minorEastAsia" w:hAnsiTheme="minorEastAsia" w:eastAsiaTheme="minorEastAsia"/>
                <w:bCs/>
                <w:sz w:val="24"/>
              </w:rPr>
              <w:t>三</w:t>
            </w:r>
          </w:p>
        </w:tc>
        <w:tc>
          <w:tcPr>
            <w:tcW w:w="1296"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r>
              <w:rPr>
                <w:rFonts w:hint="eastAsia" w:asciiTheme="minorEastAsia" w:hAnsiTheme="minorEastAsia" w:eastAsiaTheme="minorEastAsia"/>
                <w:bCs/>
                <w:sz w:val="24"/>
              </w:rPr>
              <w:t>备件工具费</w:t>
            </w: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851"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p>
        </w:tc>
        <w:tc>
          <w:tcPr>
            <w:tcW w:w="1296"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r>
              <w:rPr>
                <w:rFonts w:asciiTheme="minorEastAsia" w:hAnsiTheme="minorEastAsia" w:eastAsiaTheme="minorEastAsia"/>
                <w:bCs/>
                <w:sz w:val="24"/>
              </w:rPr>
              <w:t>……</w:t>
            </w: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2147" w:type="dxa"/>
            <w:gridSpan w:val="2"/>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合计</w:t>
            </w:r>
          </w:p>
        </w:tc>
        <w:tc>
          <w:tcPr>
            <w:tcW w:w="986" w:type="dxa"/>
            <w:tcBorders>
              <w:top w:val="single" w:color="auto" w:sz="4" w:space="0"/>
              <w:left w:val="nil"/>
              <w:bottom w:val="single" w:color="auto" w:sz="4" w:space="0"/>
              <w:right w:val="single" w:color="auto" w:sz="4" w:space="0"/>
            </w:tcBorders>
            <w:vAlign w:val="center"/>
          </w:tcPr>
          <w:p>
            <w:pPr>
              <w:rPr>
                <w:bCs/>
                <w:sz w:val="24"/>
              </w:rPr>
            </w:pPr>
          </w:p>
        </w:tc>
        <w:tc>
          <w:tcPr>
            <w:tcW w:w="1132" w:type="dxa"/>
            <w:tcBorders>
              <w:top w:val="single" w:color="auto" w:sz="4" w:space="0"/>
              <w:left w:val="nil"/>
              <w:bottom w:val="single" w:color="auto" w:sz="4" w:space="0"/>
              <w:right w:val="single" w:color="auto" w:sz="4" w:space="0"/>
            </w:tcBorders>
            <w:vAlign w:val="center"/>
          </w:tcPr>
          <w:p>
            <w:pPr>
              <w:rPr>
                <w:bCs/>
                <w:sz w:val="24"/>
              </w:rPr>
            </w:pPr>
          </w:p>
        </w:tc>
        <w:tc>
          <w:tcPr>
            <w:tcW w:w="795" w:type="dxa"/>
            <w:tcBorders>
              <w:top w:val="single" w:color="auto" w:sz="4" w:space="0"/>
              <w:left w:val="nil"/>
              <w:bottom w:val="single" w:color="auto" w:sz="4" w:space="0"/>
              <w:right w:val="single" w:color="auto" w:sz="4" w:space="0"/>
            </w:tcBorders>
            <w:vAlign w:val="center"/>
          </w:tcPr>
          <w:p>
            <w:pPr>
              <w:rPr>
                <w:bCs/>
                <w:sz w:val="24"/>
              </w:rPr>
            </w:pPr>
          </w:p>
        </w:tc>
        <w:tc>
          <w:tcPr>
            <w:tcW w:w="1080" w:type="dxa"/>
            <w:tcBorders>
              <w:top w:val="single" w:color="auto" w:sz="4" w:space="0"/>
              <w:left w:val="nil"/>
              <w:bottom w:val="single" w:color="auto" w:sz="4" w:space="0"/>
              <w:right w:val="single" w:color="auto" w:sz="4" w:space="0"/>
            </w:tcBorders>
            <w:vAlign w:val="center"/>
          </w:tcPr>
          <w:p>
            <w:pPr>
              <w:rPr>
                <w:bCs/>
                <w:sz w:val="24"/>
              </w:rPr>
            </w:pPr>
          </w:p>
        </w:tc>
        <w:tc>
          <w:tcPr>
            <w:tcW w:w="747" w:type="dxa"/>
            <w:tcBorders>
              <w:top w:val="single" w:color="auto" w:sz="4" w:space="0"/>
              <w:left w:val="nil"/>
              <w:bottom w:val="single" w:color="auto" w:sz="4" w:space="0"/>
              <w:right w:val="single" w:color="auto" w:sz="4" w:space="0"/>
            </w:tcBorders>
            <w:vAlign w:val="center"/>
          </w:tcPr>
          <w:p>
            <w:pPr>
              <w:rPr>
                <w:bCs/>
                <w:sz w:val="24"/>
              </w:rPr>
            </w:pPr>
          </w:p>
        </w:tc>
        <w:tc>
          <w:tcPr>
            <w:tcW w:w="1120" w:type="dxa"/>
            <w:tcBorders>
              <w:top w:val="single" w:color="auto" w:sz="4" w:space="0"/>
              <w:left w:val="nil"/>
              <w:bottom w:val="single" w:color="auto" w:sz="4" w:space="0"/>
              <w:right w:val="single" w:color="auto" w:sz="4" w:space="0"/>
            </w:tcBorders>
            <w:vAlign w:val="center"/>
          </w:tcPr>
          <w:p>
            <w:pPr>
              <w:rPr>
                <w:bCs/>
                <w:sz w:val="24"/>
              </w:rPr>
            </w:pPr>
          </w:p>
        </w:tc>
        <w:tc>
          <w:tcPr>
            <w:tcW w:w="1353" w:type="dxa"/>
            <w:tcBorders>
              <w:top w:val="single" w:color="auto" w:sz="4" w:space="0"/>
              <w:left w:val="nil"/>
              <w:bottom w:val="single" w:color="auto" w:sz="4" w:space="0"/>
              <w:right w:val="single" w:color="auto" w:sz="4"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9360" w:type="dxa"/>
            <w:gridSpan w:val="9"/>
            <w:tcBorders>
              <w:top w:val="single" w:color="auto" w:sz="4" w:space="0"/>
              <w:left w:val="single" w:color="auto" w:sz="4" w:space="0"/>
              <w:bottom w:val="single" w:color="auto" w:sz="4" w:space="0"/>
              <w:right w:val="single" w:color="auto" w:sz="4" w:space="0"/>
            </w:tcBorders>
            <w:vAlign w:val="center"/>
          </w:tcPr>
          <w:p>
            <w:pPr>
              <w:rPr>
                <w:bCs/>
                <w:sz w:val="24"/>
              </w:rPr>
            </w:pPr>
            <w:r>
              <w:rPr>
                <w:rFonts w:hint="eastAsia"/>
                <w:bCs/>
                <w:sz w:val="24"/>
              </w:rPr>
              <w:t>说明：以一套物资的所用材料为基本单位，项目填列直接材料明细。</w:t>
            </w:r>
          </w:p>
        </w:tc>
      </w:tr>
    </w:tbl>
    <w:p>
      <w:pPr>
        <w:rPr>
          <w:bCs/>
          <w:sz w:val="28"/>
          <w:szCs w:val="28"/>
          <w:lang w:val="zh-CN"/>
        </w:rPr>
      </w:pPr>
    </w:p>
    <w:p>
      <w:pPr>
        <w:pStyle w:val="16"/>
        <w:rPr>
          <w:bCs/>
          <w:sz w:val="28"/>
          <w:szCs w:val="28"/>
          <w:lang w:val="zh-CN"/>
        </w:rPr>
      </w:pPr>
    </w:p>
    <w:p>
      <w:pPr>
        <w:rPr>
          <w:bCs/>
          <w:sz w:val="28"/>
          <w:szCs w:val="28"/>
          <w:lang w:val="zh-CN"/>
        </w:rPr>
      </w:pPr>
    </w:p>
    <w:p>
      <w:pPr>
        <w:ind w:firstLine="560" w:firstLineChars="200"/>
        <w:jc w:val="left"/>
        <w:rPr>
          <w:bCs/>
          <w:sz w:val="28"/>
          <w:szCs w:val="28"/>
        </w:rPr>
      </w:pPr>
      <w:r>
        <w:rPr>
          <w:bCs/>
          <w:sz w:val="28"/>
          <w:szCs w:val="28"/>
        </w:rPr>
        <w:br w:type="page"/>
      </w:r>
    </w:p>
    <w:p>
      <w:pPr>
        <w:pStyle w:val="5"/>
        <w:spacing w:before="120" w:beforeLines="50" w:after="120" w:afterLines="50" w:line="560" w:lineRule="exact"/>
        <w:ind w:firstLine="0" w:firstLineChars="0"/>
        <w:rPr>
          <w:rFonts w:hint="eastAsia" w:ascii="Times New Roman" w:hAnsi="Times New Roman" w:cs="Times New Roman"/>
          <w:b w:val="0"/>
          <w:highlight w:val="none"/>
          <w:lang w:eastAsia="zh-CN"/>
        </w:rPr>
      </w:pPr>
      <w:bookmarkStart w:id="310" w:name="_Toc14107"/>
      <w:bookmarkStart w:id="311" w:name="_Toc31442"/>
      <w:bookmarkStart w:id="312" w:name="_Toc10747"/>
      <w:bookmarkStart w:id="313" w:name="_Toc24431"/>
      <w:r>
        <w:rPr>
          <w:rFonts w:hint="eastAsia" w:ascii="Times New Roman" w:hAnsi="Times New Roman" w:cs="Times New Roman"/>
          <w:b w:val="0"/>
          <w:highlight w:val="none"/>
        </w:rPr>
        <w:t>附件1-</w:t>
      </w:r>
      <w:r>
        <w:rPr>
          <w:rFonts w:hint="eastAsia" w:ascii="Times New Roman" w:hAnsi="Times New Roman" w:cs="Times New Roman"/>
          <w:b w:val="0"/>
          <w:highlight w:val="none"/>
          <w:lang w:val="en-US" w:eastAsia="zh-CN"/>
        </w:rPr>
        <w:t>5</w:t>
      </w:r>
      <w:r>
        <w:rPr>
          <w:rFonts w:hint="eastAsia" w:ascii="Times New Roman" w:hAnsi="Times New Roman" w:cs="Times New Roman"/>
          <w:b w:val="0"/>
          <w:highlight w:val="none"/>
        </w:rPr>
        <w:t xml:space="preserve"> </w:t>
      </w:r>
      <w:r>
        <w:rPr>
          <w:rFonts w:hint="eastAsia" w:ascii="Times New Roman" w:hAnsi="Times New Roman" w:cs="Times New Roman"/>
          <w:b w:val="0"/>
          <w:highlight w:val="none"/>
          <w:lang w:eastAsia="zh-CN"/>
        </w:rPr>
        <w:t>报价承诺书</w:t>
      </w:r>
    </w:p>
    <w:p>
      <w:pPr>
        <w:spacing w:before="120" w:beforeLines="50" w:after="120" w:afterLines="50" w:line="560" w:lineRule="exact"/>
        <w:jc w:val="center"/>
        <w:rPr>
          <w:rFonts w:hint="eastAsia" w:ascii="Times New Roman" w:hAnsi="Times New Roman" w:eastAsia="黑体" w:cs="Times New Roman"/>
          <w:bCs/>
          <w:sz w:val="36"/>
          <w:szCs w:val="36"/>
          <w:highlight w:val="none"/>
        </w:rPr>
      </w:pPr>
      <w:r>
        <w:rPr>
          <w:rFonts w:hint="eastAsia" w:ascii="Times New Roman" w:hAnsi="Times New Roman" w:eastAsia="黑体" w:cs="Times New Roman"/>
          <w:bCs/>
          <w:sz w:val="36"/>
          <w:szCs w:val="36"/>
          <w:highlight w:val="none"/>
          <w:lang w:eastAsia="zh-CN"/>
        </w:rPr>
        <w:t>报价</w:t>
      </w:r>
      <w:r>
        <w:rPr>
          <w:rFonts w:hint="eastAsia" w:ascii="Times New Roman" w:hAnsi="Times New Roman" w:eastAsia="黑体" w:cs="Times New Roman"/>
          <w:bCs/>
          <w:sz w:val="36"/>
          <w:szCs w:val="36"/>
          <w:highlight w:val="none"/>
        </w:rPr>
        <w:t>承诺书</w:t>
      </w:r>
    </w:p>
    <w:p>
      <w:pPr>
        <w:adjustRightInd w:val="0"/>
        <w:snapToGrid w:val="0"/>
        <w:spacing w:line="600" w:lineRule="exact"/>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kern w:val="2"/>
          <w:sz w:val="28"/>
          <w:szCs w:val="28"/>
          <w:u w:val="single"/>
          <w:lang w:bidi="ar"/>
          <w14:textFill>
            <w14:solidFill>
              <w14:schemeClr w14:val="tx1"/>
            </w14:solidFill>
          </w14:textFill>
        </w:rPr>
        <w:t xml:space="preserve"> </w:t>
      </w:r>
      <w:r>
        <w:rPr>
          <w:rFonts w:hint="eastAsia" w:ascii="Times New Roman" w:hAnsi="Times New Roman" w:cs="Times New Roman"/>
          <w:color w:val="000000" w:themeColor="text1"/>
          <w:kern w:val="2"/>
          <w:sz w:val="28"/>
          <w:szCs w:val="28"/>
          <w:u w:val="single"/>
          <w:lang w:bidi="ar"/>
          <w14:textFill>
            <w14:solidFill>
              <w14:schemeClr w14:val="tx1"/>
            </w14:solidFill>
          </w14:textFill>
        </w:rPr>
        <w:t>（</w:t>
      </w:r>
      <w:r>
        <w:rPr>
          <w:rFonts w:hint="eastAsia" w:ascii="Times New Roman" w:hAnsi="Times New Roman" w:eastAsia="楷体_GB2312" w:cs="Times New Roman"/>
          <w:color w:val="000000" w:themeColor="text1"/>
          <w:sz w:val="28"/>
          <w:szCs w:val="28"/>
          <w:u w:val="single"/>
          <w14:textFill>
            <w14:solidFill>
              <w14:schemeClr w14:val="tx1"/>
            </w14:solidFill>
          </w14:textFill>
        </w:rPr>
        <w:t>采购机构名称</w:t>
      </w:r>
      <w:r>
        <w:rPr>
          <w:rFonts w:hint="eastAsia" w:ascii="Times New Roman" w:hAnsi="Times New Roman" w:cs="Times New Roman"/>
          <w:color w:val="000000" w:themeColor="text1"/>
          <w:kern w:val="2"/>
          <w:sz w:val="28"/>
          <w:szCs w:val="28"/>
          <w:u w:val="single"/>
          <w:lang w:bidi="ar"/>
          <w14:textFill>
            <w14:solidFill>
              <w14:schemeClr w14:val="tx1"/>
            </w14:solidFill>
          </w14:textFill>
        </w:rPr>
        <w:t>）</w:t>
      </w:r>
      <w:r>
        <w:rPr>
          <w:rFonts w:ascii="Times New Roman" w:hAnsi="Times New Roman" w:cs="Times New Roman"/>
          <w:color w:val="000000" w:themeColor="text1"/>
          <w:kern w:val="2"/>
          <w:sz w:val="28"/>
          <w:szCs w:val="28"/>
          <w:u w:val="single"/>
          <w:lang w:bidi="ar"/>
          <w14:textFill>
            <w14:solidFill>
              <w14:schemeClr w14:val="tx1"/>
            </w14:solidFill>
          </w14:textFill>
        </w:rPr>
        <w:t xml:space="preserve"> </w:t>
      </w:r>
      <w:r>
        <w:rPr>
          <w:rFonts w:hint="eastAsia" w:ascii="Times New Roman" w:hAnsi="Times New Roman" w:cs="Times New Roman"/>
          <w:color w:val="000000" w:themeColor="text1"/>
          <w:kern w:val="2"/>
          <w:sz w:val="28"/>
          <w:szCs w:val="28"/>
          <w:lang w:bidi="ar"/>
          <w14:textFill>
            <w14:solidFill>
              <w14:schemeClr w14:val="tx1"/>
            </w14:solidFill>
          </w14:textFill>
        </w:rPr>
        <w:t>：</w:t>
      </w:r>
    </w:p>
    <w:p>
      <w:pPr>
        <w:adjustRightInd w:val="0"/>
        <w:snapToGrid w:val="0"/>
        <w:spacing w:line="60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kern w:val="2"/>
          <w:sz w:val="28"/>
          <w:szCs w:val="28"/>
          <w:lang w:bidi="ar"/>
          <w14:textFill>
            <w14:solidFill>
              <w14:schemeClr w14:val="tx1"/>
            </w14:solidFill>
          </w14:textFill>
        </w:rPr>
        <w:t>本单位郑重承诺，在本项目的采购过程中，本单位提供的供应商报价为市场公允价格</w:t>
      </w:r>
      <w:r>
        <w:rPr>
          <w:rFonts w:hint="eastAsia" w:ascii="Times New Roman" w:hAnsi="Times New Roman" w:cs="Times New Roman"/>
          <w:kern w:val="2"/>
          <w:sz w:val="28"/>
          <w:szCs w:val="28"/>
          <w:lang w:bidi="ar"/>
        </w:rPr>
        <w:t>，且价格不高于国内同级单位最低中标（成交）价，</w:t>
      </w:r>
      <w:r>
        <w:rPr>
          <w:rFonts w:hint="eastAsia" w:ascii="Times New Roman" w:hAnsi="Times New Roman" w:cs="Times New Roman"/>
          <w:color w:val="000000" w:themeColor="text1"/>
          <w:kern w:val="2"/>
          <w:sz w:val="28"/>
          <w:szCs w:val="28"/>
          <w:lang w:bidi="ar"/>
          <w14:textFill>
            <w14:solidFill>
              <w14:schemeClr w14:val="tx1"/>
            </w14:solidFill>
          </w14:textFill>
        </w:rPr>
        <w:t>不存在任何价格虚高、显失公允或欺诈等不诚信情况。若后续贵单位发现本单位存在上述价格虚高或偏离市场价格、欺诈等不诚信行为的，本单位自愿承担由此带来的一切后果。</w:t>
      </w:r>
    </w:p>
    <w:p>
      <w:pPr>
        <w:adjustRightInd w:val="0"/>
        <w:snapToGrid w:val="0"/>
        <w:spacing w:line="420" w:lineRule="exact"/>
        <w:rPr>
          <w:rFonts w:ascii="Times New Roman" w:hAnsi="Times New Roman" w:cs="Times New Roman"/>
          <w:color w:val="000000" w:themeColor="text1"/>
          <w:kern w:val="2"/>
          <w:sz w:val="28"/>
          <w:szCs w:val="28"/>
          <w:lang w:bidi="ar"/>
          <w14:textFill>
            <w14:solidFill>
              <w14:schemeClr w14:val="tx1"/>
            </w14:solidFill>
          </w14:textFill>
        </w:rPr>
      </w:pPr>
    </w:p>
    <w:p>
      <w:pPr>
        <w:adjustRightInd w:val="0"/>
        <w:snapToGrid w:val="0"/>
        <w:spacing w:line="420" w:lineRule="exact"/>
        <w:rPr>
          <w:rFonts w:ascii="Times New Roman" w:hAnsi="Times New Roman" w:cs="Times New Roman"/>
          <w:color w:val="000000" w:themeColor="text1"/>
          <w:sz w:val="28"/>
          <w:szCs w:val="28"/>
          <w14:textFill>
            <w14:solidFill>
              <w14:schemeClr w14:val="tx1"/>
            </w14:solidFill>
          </w14:textFill>
        </w:rPr>
      </w:pPr>
    </w:p>
    <w:p>
      <w:pPr>
        <w:adjustRightInd w:val="0"/>
        <w:snapToGrid w:val="0"/>
        <w:spacing w:line="640" w:lineRule="exact"/>
        <w:ind w:firstLine="2380" w:firstLineChars="85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kern w:val="2"/>
          <w:sz w:val="28"/>
          <w:szCs w:val="28"/>
          <w:lang w:bidi="ar"/>
          <w14:textFill>
            <w14:solidFill>
              <w14:schemeClr w14:val="tx1"/>
            </w14:solidFill>
          </w14:textFill>
        </w:rPr>
        <w:t>报价方全称：</w:t>
      </w:r>
      <w:r>
        <w:rPr>
          <w:rFonts w:ascii="Times New Roman" w:hAnsi="Times New Roman" w:cs="Times New Roman"/>
          <w:color w:val="000000" w:themeColor="text1"/>
          <w:kern w:val="2"/>
          <w:sz w:val="28"/>
          <w:szCs w:val="28"/>
          <w:u w:val="single"/>
          <w:lang w:bidi="ar"/>
          <w14:textFill>
            <w14:solidFill>
              <w14:schemeClr w14:val="tx1"/>
            </w14:solidFill>
          </w14:textFill>
        </w:rPr>
        <w:t xml:space="preserve">                    </w:t>
      </w:r>
      <w:r>
        <w:rPr>
          <w:rFonts w:hint="eastAsia" w:ascii="Times New Roman" w:hAnsi="Times New Roman" w:cs="Times New Roman"/>
          <w:color w:val="000000" w:themeColor="text1"/>
          <w:kern w:val="2"/>
          <w:sz w:val="28"/>
          <w:szCs w:val="28"/>
          <w:u w:val="single"/>
          <w:lang w:bidi="ar"/>
          <w14:textFill>
            <w14:solidFill>
              <w14:schemeClr w14:val="tx1"/>
            </w14:solidFill>
          </w14:textFill>
        </w:rPr>
        <w:t xml:space="preserve">      </w:t>
      </w:r>
      <w:r>
        <w:rPr>
          <w:rFonts w:ascii="Times New Roman" w:hAnsi="Times New Roman" w:cs="Times New Roman"/>
          <w:color w:val="000000" w:themeColor="text1"/>
          <w:kern w:val="2"/>
          <w:sz w:val="28"/>
          <w:szCs w:val="28"/>
          <w:u w:val="single"/>
          <w:lang w:bidi="ar"/>
          <w14:textFill>
            <w14:solidFill>
              <w14:schemeClr w14:val="tx1"/>
            </w14:solidFill>
          </w14:textFill>
        </w:rPr>
        <w:t xml:space="preserve">     </w:t>
      </w:r>
      <w:r>
        <w:rPr>
          <w:rFonts w:hint="eastAsia" w:ascii="Times New Roman" w:hAnsi="Times New Roman" w:cs="Times New Roman"/>
          <w:color w:val="000000" w:themeColor="text1"/>
          <w:kern w:val="2"/>
          <w:sz w:val="28"/>
          <w:szCs w:val="28"/>
          <w:lang w:bidi="ar"/>
          <w14:textFill>
            <w14:solidFill>
              <w14:schemeClr w14:val="tx1"/>
            </w14:solidFill>
          </w14:textFill>
        </w:rPr>
        <w:t>（盖章）</w:t>
      </w:r>
    </w:p>
    <w:p>
      <w:pPr>
        <w:adjustRightInd w:val="0"/>
        <w:snapToGrid w:val="0"/>
        <w:spacing w:line="640" w:lineRule="exact"/>
        <w:ind w:firstLine="840" w:firstLineChars="3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kern w:val="2"/>
          <w:sz w:val="28"/>
          <w:szCs w:val="28"/>
          <w:lang w:bidi="ar"/>
          <w14:textFill>
            <w14:solidFill>
              <w14:schemeClr w14:val="tx1"/>
            </w14:solidFill>
          </w14:textFill>
        </w:rPr>
        <w:t>法定代表人或单位负责人（或授权代表）：</w:t>
      </w:r>
      <w:r>
        <w:rPr>
          <w:rFonts w:ascii="Times New Roman" w:hAnsi="Times New Roman" w:cs="Times New Roman"/>
          <w:color w:val="000000" w:themeColor="text1"/>
          <w:kern w:val="2"/>
          <w:sz w:val="28"/>
          <w:szCs w:val="28"/>
          <w:u w:val="single"/>
          <w:lang w:bidi="ar"/>
          <w14:textFill>
            <w14:solidFill>
              <w14:schemeClr w14:val="tx1"/>
            </w14:solidFill>
          </w14:textFill>
        </w:rPr>
        <w:t xml:space="preserve">           </w:t>
      </w:r>
      <w:r>
        <w:rPr>
          <w:rFonts w:hint="eastAsia" w:ascii="Times New Roman" w:hAnsi="Times New Roman" w:cs="Times New Roman"/>
          <w:color w:val="000000" w:themeColor="text1"/>
          <w:kern w:val="2"/>
          <w:sz w:val="28"/>
          <w:szCs w:val="28"/>
          <w:lang w:bidi="ar"/>
          <w14:textFill>
            <w14:solidFill>
              <w14:schemeClr w14:val="tx1"/>
            </w14:solidFill>
          </w14:textFill>
        </w:rPr>
        <w:t>（签字或盖章）</w:t>
      </w:r>
    </w:p>
    <w:p>
      <w:pPr>
        <w:adjustRightInd w:val="0"/>
        <w:snapToGrid w:val="0"/>
        <w:spacing w:line="640" w:lineRule="exact"/>
        <w:ind w:firstLine="6020" w:firstLineChars="215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kern w:val="2"/>
          <w:sz w:val="28"/>
          <w:szCs w:val="28"/>
          <w:lang w:bidi="ar"/>
          <w14:textFill>
            <w14:solidFill>
              <w14:schemeClr w14:val="tx1"/>
            </w14:solidFill>
          </w14:textFill>
        </w:rPr>
        <w:t>日期：</w:t>
      </w:r>
      <w:r>
        <w:rPr>
          <w:rFonts w:ascii="Times New Roman" w:hAnsi="Times New Roman" w:cs="Times New Roman"/>
          <w:color w:val="000000" w:themeColor="text1"/>
          <w:kern w:val="2"/>
          <w:sz w:val="28"/>
          <w:szCs w:val="28"/>
          <w:u w:val="single"/>
          <w:lang w:bidi="ar"/>
          <w14:textFill>
            <w14:solidFill>
              <w14:schemeClr w14:val="tx1"/>
            </w14:solidFill>
          </w14:textFill>
        </w:rPr>
        <w:t xml:space="preserve">     </w:t>
      </w:r>
      <w:r>
        <w:rPr>
          <w:rFonts w:hint="eastAsia" w:ascii="Times New Roman" w:hAnsi="Times New Roman" w:cs="Times New Roman"/>
          <w:color w:val="000000" w:themeColor="text1"/>
          <w:kern w:val="2"/>
          <w:sz w:val="28"/>
          <w:szCs w:val="28"/>
          <w:lang w:bidi="ar"/>
          <w14:textFill>
            <w14:solidFill>
              <w14:schemeClr w14:val="tx1"/>
            </w14:solidFill>
          </w14:textFill>
        </w:rPr>
        <w:t>年</w:t>
      </w:r>
      <w:r>
        <w:rPr>
          <w:rFonts w:ascii="Times New Roman" w:hAnsi="Times New Roman" w:cs="Times New Roman"/>
          <w:color w:val="000000" w:themeColor="text1"/>
          <w:kern w:val="2"/>
          <w:sz w:val="28"/>
          <w:szCs w:val="28"/>
          <w:u w:val="single"/>
          <w:lang w:bidi="ar"/>
          <w14:textFill>
            <w14:solidFill>
              <w14:schemeClr w14:val="tx1"/>
            </w14:solidFill>
          </w14:textFill>
        </w:rPr>
        <w:t xml:space="preserve">   </w:t>
      </w:r>
      <w:r>
        <w:rPr>
          <w:rFonts w:hint="eastAsia" w:ascii="Times New Roman" w:hAnsi="Times New Roman" w:cs="Times New Roman"/>
          <w:color w:val="000000" w:themeColor="text1"/>
          <w:kern w:val="2"/>
          <w:sz w:val="28"/>
          <w:szCs w:val="28"/>
          <w:lang w:bidi="ar"/>
          <w14:textFill>
            <w14:solidFill>
              <w14:schemeClr w14:val="tx1"/>
            </w14:solidFill>
          </w14:textFill>
        </w:rPr>
        <w:t>月</w:t>
      </w:r>
      <w:r>
        <w:rPr>
          <w:rFonts w:ascii="Times New Roman" w:hAnsi="Times New Roman" w:cs="Times New Roman"/>
          <w:color w:val="000000" w:themeColor="text1"/>
          <w:kern w:val="2"/>
          <w:sz w:val="28"/>
          <w:szCs w:val="28"/>
          <w:u w:val="single"/>
          <w:lang w:bidi="ar"/>
          <w14:textFill>
            <w14:solidFill>
              <w14:schemeClr w14:val="tx1"/>
            </w14:solidFill>
          </w14:textFill>
        </w:rPr>
        <w:t xml:space="preserve">   </w:t>
      </w:r>
      <w:r>
        <w:rPr>
          <w:rFonts w:hint="eastAsia" w:ascii="Times New Roman" w:hAnsi="Times New Roman" w:cs="Times New Roman"/>
          <w:color w:val="000000" w:themeColor="text1"/>
          <w:kern w:val="2"/>
          <w:sz w:val="28"/>
          <w:szCs w:val="28"/>
          <w:lang w:bidi="ar"/>
          <w14:textFill>
            <w14:solidFill>
              <w14:schemeClr w14:val="tx1"/>
            </w14:solidFill>
          </w14:textFill>
        </w:rPr>
        <w:t>日</w:t>
      </w:r>
    </w:p>
    <w:p>
      <w:pPr>
        <w:spacing w:line="420" w:lineRule="exact"/>
        <w:rPr>
          <w:rFonts w:ascii="Times New Roman" w:hAnsi="Times New Roman" w:cs="Times New Roman"/>
          <w:color w:val="000000" w:themeColor="text1"/>
          <w:kern w:val="2"/>
          <w:sz w:val="21"/>
          <w:szCs w:val="22"/>
          <w:lang w:bidi="ar"/>
          <w14:textFill>
            <w14:solidFill>
              <w14:schemeClr w14:val="tx1"/>
            </w14:solidFill>
          </w14:textFill>
        </w:rPr>
      </w:pPr>
    </w:p>
    <w:p>
      <w:pPr>
        <w:spacing w:line="420" w:lineRule="exact"/>
        <w:ind w:firstLine="422"/>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kern w:val="2"/>
          <w:sz w:val="21"/>
          <w:szCs w:val="22"/>
          <w:lang w:bidi="ar"/>
          <w14:textFill>
            <w14:solidFill>
              <w14:schemeClr w14:val="tx1"/>
            </w14:solidFill>
          </w14:textFill>
        </w:rPr>
        <w:t>注：</w:t>
      </w:r>
    </w:p>
    <w:p>
      <w:pPr>
        <w:spacing w:line="420" w:lineRule="exact"/>
        <w:ind w:firstLine="422"/>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kern w:val="2"/>
          <w:sz w:val="21"/>
          <w:szCs w:val="22"/>
          <w:lang w:bidi="ar"/>
          <w14:textFill>
            <w14:solidFill>
              <w14:schemeClr w14:val="tx1"/>
            </w14:solidFill>
          </w14:textFill>
        </w:rPr>
        <w:t>1.中标通知书发出前，预中标人必须按招标人要求提供报价依据（包括但不限于同类销售合同、发票等）。</w:t>
      </w:r>
    </w:p>
    <w:p>
      <w:pPr>
        <w:spacing w:line="420" w:lineRule="exact"/>
        <w:ind w:firstLine="422"/>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kern w:val="2"/>
          <w:sz w:val="21"/>
          <w:szCs w:val="22"/>
          <w:lang w:bidi="ar"/>
          <w14:textFill>
            <w14:solidFill>
              <w14:schemeClr w14:val="tx1"/>
            </w14:solidFill>
          </w14:textFill>
        </w:rPr>
        <w:t>2.若预中标人未按要求提供报价依据或提供的报价依据不足以证明其报价合理性的，则取消其参与后续采购活动的资格，并按规定进行处罚；若预中标人提供的报价依据相对客观合理，则按程序开展后续采购活动，同时由医院相关部门进行价格复核。</w:t>
      </w:r>
    </w:p>
    <w:p>
      <w:pPr>
        <w:spacing w:line="420" w:lineRule="exact"/>
        <w:ind w:firstLine="422"/>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kern w:val="2"/>
          <w:sz w:val="21"/>
          <w:szCs w:val="22"/>
          <w:lang w:bidi="ar"/>
          <w14:textFill>
            <w14:solidFill>
              <w14:schemeClr w14:val="tx1"/>
            </w14:solidFill>
          </w14:textFill>
        </w:rPr>
        <w:t>3.经医院相关部门价格复核后，如无价格问题的，则继续按程序开展后续采购活动。</w:t>
      </w:r>
    </w:p>
    <w:p>
      <w:pPr>
        <w:spacing w:line="420" w:lineRule="exact"/>
        <w:ind w:firstLine="422"/>
        <w:rPr>
          <w:rFonts w:hint="eastAsia" w:ascii="Times New Roman" w:hAnsi="Times New Roman" w:cs="Times New Roman"/>
          <w:b/>
          <w:color w:val="000000" w:themeColor="text1"/>
          <w:kern w:val="2"/>
          <w:sz w:val="21"/>
          <w:szCs w:val="22"/>
          <w:lang w:bidi="ar"/>
          <w14:textFill>
            <w14:solidFill>
              <w14:schemeClr w14:val="tx1"/>
            </w14:solidFill>
          </w14:textFill>
        </w:rPr>
      </w:pPr>
      <w:r>
        <w:rPr>
          <w:rFonts w:hint="eastAsia" w:ascii="Times New Roman" w:hAnsi="Times New Roman" w:cs="Times New Roman"/>
          <w:b/>
          <w:color w:val="000000" w:themeColor="text1"/>
          <w:kern w:val="2"/>
          <w:sz w:val="21"/>
          <w:szCs w:val="22"/>
          <w:lang w:bidi="ar"/>
          <w14:textFill>
            <w14:solidFill>
              <w14:schemeClr w14:val="tx1"/>
            </w14:solidFill>
          </w14:textFill>
        </w:rPr>
        <w:t>4.经医院相关部门价格复核后，如存在价格虚高或提供虚假材料等不诚信问题，尚未签订正式合同的（包括已签订采购合同草案、公布评审结果等），则取消参与后续采购活动的资格，并按规定进行处罚；已签订正式合同的，中标人应当继续履行合同，退回价格虚高款项，并按规定进行处罚；中标人拒不接受价格复核结果的，招标人有权重新组织采购，同时对其进行处罚。</w:t>
      </w:r>
    </w:p>
    <w:p>
      <w:pPr>
        <w:spacing w:line="420" w:lineRule="exact"/>
        <w:ind w:firstLine="422"/>
        <w:rPr>
          <w:rFonts w:hint="eastAsia" w:ascii="Times New Roman" w:hAnsi="Times New Roman" w:cs="Times New Roman"/>
          <w:b/>
          <w:color w:val="000000" w:themeColor="text1"/>
          <w:kern w:val="2"/>
          <w:sz w:val="21"/>
          <w:szCs w:val="22"/>
          <w:lang w:bidi="ar"/>
          <w14:textFill>
            <w14:solidFill>
              <w14:schemeClr w14:val="tx1"/>
            </w14:solidFill>
          </w14:textFill>
        </w:rPr>
        <w:sectPr>
          <w:pgSz w:w="11906" w:h="16838"/>
          <w:pgMar w:top="1418" w:right="1134" w:bottom="1418" w:left="1418" w:header="851" w:footer="851" w:gutter="0"/>
          <w:pgNumType w:fmt="decimal"/>
          <w:cols w:space="720" w:num="1"/>
          <w:docGrid w:linePitch="388" w:charSpace="-1260"/>
        </w:sectPr>
      </w:pPr>
      <w:r>
        <w:rPr>
          <w:rFonts w:hint="eastAsia" w:ascii="Times New Roman" w:hAnsi="Times New Roman" w:cs="Times New Roman"/>
          <w:b/>
          <w:color w:val="000000" w:themeColor="text1"/>
          <w:kern w:val="2"/>
          <w:sz w:val="21"/>
          <w:szCs w:val="22"/>
          <w:lang w:bidi="ar"/>
          <w14:textFill>
            <w14:solidFill>
              <w14:schemeClr w14:val="tx1"/>
            </w14:solidFill>
          </w14:textFill>
        </w:rPr>
        <w:t>5.以上处罚包括纳入黑名单、网上公示、罚款等。</w:t>
      </w:r>
    </w:p>
    <w:p>
      <w:pPr>
        <w:pStyle w:val="5"/>
        <w:spacing w:before="120" w:beforeLines="50" w:after="120" w:afterLines="50"/>
        <w:rPr>
          <w:b w:val="0"/>
        </w:rPr>
      </w:pPr>
      <w:r>
        <w:rPr>
          <w:rFonts w:hint="eastAsia"/>
          <w:b w:val="0"/>
        </w:rPr>
        <w:t>附件</w:t>
      </w:r>
      <w:r>
        <w:rPr>
          <w:b w:val="0"/>
        </w:rPr>
        <w:t>1-</w:t>
      </w:r>
      <w:r>
        <w:rPr>
          <w:rFonts w:hint="eastAsia"/>
          <w:b w:val="0"/>
          <w:lang w:val="en-US" w:eastAsia="zh-CN"/>
        </w:rPr>
        <w:t>6</w:t>
      </w:r>
      <w:r>
        <w:rPr>
          <w:rFonts w:hint="eastAsia"/>
          <w:b w:val="0"/>
        </w:rPr>
        <w:t xml:space="preserve"> 其他与价格有关的材料、文件</w:t>
      </w:r>
      <w:bookmarkEnd w:id="310"/>
      <w:bookmarkEnd w:id="311"/>
      <w:bookmarkEnd w:id="312"/>
      <w:bookmarkEnd w:id="313"/>
    </w:p>
    <w:p>
      <w:pPr>
        <w:spacing w:before="120" w:beforeLines="50" w:after="120" w:afterLines="50" w:line="560" w:lineRule="exact"/>
        <w:jc w:val="center"/>
        <w:rPr>
          <w:bCs/>
          <w:sz w:val="36"/>
          <w:szCs w:val="36"/>
          <w:lang w:val="zh-CN"/>
        </w:rPr>
      </w:pPr>
      <w:r>
        <w:rPr>
          <w:rFonts w:hint="eastAsia" w:ascii="黑体" w:hAnsi="黑体" w:eastAsia="黑体" w:cs="黑体"/>
          <w:bCs/>
          <w:sz w:val="36"/>
          <w:szCs w:val="36"/>
        </w:rPr>
        <w:t>其他与价格有关的材料、文件</w:t>
      </w:r>
    </w:p>
    <w:p>
      <w:pPr>
        <w:spacing w:line="360" w:lineRule="auto"/>
        <w:ind w:left="-2" w:leftChars="-1" w:firstLine="1"/>
        <w:jc w:val="center"/>
        <w:rPr>
          <w:rFonts w:hint="eastAsia"/>
          <w:bCs/>
          <w:sz w:val="28"/>
          <w:szCs w:val="28"/>
          <w:lang w:val="zh-CN"/>
        </w:rPr>
      </w:pPr>
      <w:r>
        <w:rPr>
          <w:rFonts w:hint="eastAsia"/>
          <w:bCs/>
          <w:sz w:val="28"/>
          <w:szCs w:val="28"/>
          <w:lang w:val="zh-CN"/>
        </w:rPr>
        <w:t>（由投标供应商根据项目需求自行拟定）</w:t>
      </w:r>
    </w:p>
    <w:p>
      <w:pPr>
        <w:pStyle w:val="17"/>
        <w:rPr>
          <w:rFonts w:hint="eastAsia"/>
          <w:bCs/>
          <w:sz w:val="28"/>
          <w:szCs w:val="28"/>
          <w:lang w:val="zh-CN"/>
        </w:rPr>
      </w:pPr>
    </w:p>
    <w:p>
      <w:pPr>
        <w:rPr>
          <w:rFonts w:hint="eastAsia"/>
          <w:bCs/>
          <w:sz w:val="28"/>
          <w:szCs w:val="28"/>
          <w:lang w:val="zh-CN"/>
        </w:rPr>
      </w:pPr>
    </w:p>
    <w:p>
      <w:pPr>
        <w:pStyle w:val="17"/>
        <w:rPr>
          <w:rFonts w:hint="eastAsia"/>
          <w:bCs/>
          <w:sz w:val="28"/>
          <w:szCs w:val="28"/>
          <w:lang w:val="zh-CN"/>
        </w:rPr>
      </w:pPr>
    </w:p>
    <w:p>
      <w:pPr>
        <w:rPr>
          <w:rFonts w:hint="eastAsia"/>
          <w:bCs/>
          <w:sz w:val="28"/>
          <w:szCs w:val="28"/>
          <w:lang w:val="zh-CN"/>
        </w:rPr>
      </w:pPr>
    </w:p>
    <w:p>
      <w:pPr>
        <w:pStyle w:val="17"/>
        <w:rPr>
          <w:rFonts w:hint="eastAsia"/>
          <w:bCs/>
          <w:sz w:val="28"/>
          <w:szCs w:val="28"/>
          <w:lang w:val="zh-CN"/>
        </w:rPr>
      </w:pPr>
    </w:p>
    <w:p>
      <w:pPr>
        <w:rPr>
          <w:rFonts w:hint="eastAsia"/>
          <w:bCs/>
          <w:sz w:val="28"/>
          <w:szCs w:val="28"/>
          <w:lang w:val="zh-CN"/>
        </w:rPr>
      </w:pPr>
    </w:p>
    <w:p>
      <w:pPr>
        <w:pStyle w:val="17"/>
        <w:rPr>
          <w:rFonts w:hint="eastAsia"/>
          <w:bCs/>
          <w:sz w:val="28"/>
          <w:szCs w:val="28"/>
          <w:lang w:val="zh-CN"/>
        </w:rPr>
      </w:pPr>
    </w:p>
    <w:p>
      <w:pPr>
        <w:rPr>
          <w:rFonts w:hint="eastAsia"/>
          <w:bCs/>
          <w:sz w:val="28"/>
          <w:szCs w:val="28"/>
          <w:lang w:val="zh-CN"/>
        </w:rPr>
      </w:pPr>
    </w:p>
    <w:p>
      <w:pPr>
        <w:pStyle w:val="17"/>
        <w:rPr>
          <w:rFonts w:hint="eastAsia"/>
          <w:bCs/>
          <w:sz w:val="28"/>
          <w:szCs w:val="28"/>
          <w:lang w:val="zh-CN"/>
        </w:rPr>
      </w:pPr>
    </w:p>
    <w:p>
      <w:pPr>
        <w:rPr>
          <w:rFonts w:hint="eastAsia"/>
          <w:bCs/>
          <w:sz w:val="28"/>
          <w:szCs w:val="28"/>
          <w:lang w:val="zh-CN"/>
        </w:rPr>
      </w:pPr>
    </w:p>
    <w:p>
      <w:pPr>
        <w:pStyle w:val="17"/>
        <w:rPr>
          <w:rFonts w:hint="eastAsia"/>
          <w:bCs/>
          <w:sz w:val="28"/>
          <w:szCs w:val="28"/>
          <w:lang w:val="zh-CN"/>
        </w:rPr>
      </w:pPr>
    </w:p>
    <w:p>
      <w:pPr>
        <w:rPr>
          <w:rFonts w:hint="eastAsia"/>
          <w:bCs/>
          <w:sz w:val="28"/>
          <w:szCs w:val="28"/>
          <w:lang w:val="zh-CN"/>
        </w:rPr>
      </w:pPr>
    </w:p>
    <w:p>
      <w:pPr>
        <w:pStyle w:val="17"/>
        <w:rPr>
          <w:rFonts w:hint="eastAsia"/>
          <w:bCs/>
          <w:sz w:val="28"/>
          <w:szCs w:val="28"/>
          <w:lang w:val="zh-CN"/>
        </w:rPr>
      </w:pPr>
    </w:p>
    <w:p>
      <w:pPr>
        <w:rPr>
          <w:rFonts w:hint="eastAsia"/>
          <w:bCs/>
          <w:sz w:val="28"/>
          <w:szCs w:val="28"/>
          <w:lang w:val="zh-CN"/>
        </w:rPr>
      </w:pPr>
    </w:p>
    <w:p>
      <w:pPr>
        <w:pStyle w:val="17"/>
        <w:rPr>
          <w:rFonts w:hint="eastAsia"/>
          <w:bCs/>
          <w:sz w:val="28"/>
          <w:szCs w:val="28"/>
          <w:lang w:val="zh-CN"/>
        </w:rPr>
      </w:pPr>
    </w:p>
    <w:p>
      <w:pPr>
        <w:rPr>
          <w:rFonts w:hint="eastAsia"/>
          <w:bCs/>
          <w:sz w:val="28"/>
          <w:szCs w:val="28"/>
          <w:lang w:val="zh-CN"/>
        </w:rPr>
      </w:pPr>
    </w:p>
    <w:p>
      <w:pPr>
        <w:pStyle w:val="17"/>
        <w:rPr>
          <w:rFonts w:hint="eastAsia"/>
          <w:bCs/>
          <w:sz w:val="28"/>
          <w:szCs w:val="28"/>
          <w:lang w:val="zh-CN"/>
        </w:rPr>
      </w:pPr>
    </w:p>
    <w:p>
      <w:pPr>
        <w:rPr>
          <w:rFonts w:hint="eastAsia"/>
          <w:bCs/>
          <w:sz w:val="28"/>
          <w:szCs w:val="28"/>
          <w:lang w:val="zh-CN"/>
        </w:rPr>
      </w:pPr>
    </w:p>
    <w:p>
      <w:pPr>
        <w:pStyle w:val="17"/>
        <w:rPr>
          <w:rFonts w:hint="eastAsia"/>
          <w:bCs/>
          <w:sz w:val="28"/>
          <w:szCs w:val="28"/>
          <w:lang w:val="zh-CN"/>
        </w:rPr>
      </w:pPr>
    </w:p>
    <w:p>
      <w:pPr>
        <w:rPr>
          <w:rFonts w:hint="eastAsia"/>
          <w:bCs/>
          <w:sz w:val="28"/>
          <w:szCs w:val="28"/>
          <w:lang w:val="zh-CN"/>
        </w:rPr>
      </w:pPr>
    </w:p>
    <w:p>
      <w:pPr>
        <w:pStyle w:val="17"/>
        <w:rPr>
          <w:rFonts w:hint="eastAsia"/>
          <w:bCs/>
          <w:sz w:val="28"/>
          <w:szCs w:val="28"/>
          <w:lang w:val="zh-CN"/>
        </w:rPr>
      </w:pPr>
    </w:p>
    <w:p>
      <w:pPr>
        <w:rPr>
          <w:rFonts w:hint="eastAsia"/>
          <w:bCs/>
          <w:sz w:val="28"/>
          <w:szCs w:val="28"/>
          <w:lang w:val="zh-CN"/>
        </w:rPr>
      </w:pPr>
    </w:p>
    <w:p>
      <w:pPr>
        <w:pStyle w:val="17"/>
        <w:rPr>
          <w:rFonts w:hint="eastAsia"/>
          <w:bCs/>
          <w:sz w:val="28"/>
          <w:szCs w:val="28"/>
          <w:lang w:val="zh-CN"/>
        </w:rPr>
      </w:pPr>
    </w:p>
    <w:p>
      <w:pPr>
        <w:rPr>
          <w:rFonts w:hint="eastAsia"/>
          <w:bCs/>
          <w:sz w:val="28"/>
          <w:szCs w:val="28"/>
          <w:lang w:val="zh-CN"/>
        </w:rPr>
      </w:pPr>
    </w:p>
    <w:p>
      <w:pPr>
        <w:pStyle w:val="17"/>
        <w:rPr>
          <w:rFonts w:hint="eastAsia"/>
          <w:bCs/>
          <w:sz w:val="28"/>
          <w:szCs w:val="28"/>
          <w:lang w:val="zh-CN"/>
        </w:rPr>
      </w:pPr>
    </w:p>
    <w:p>
      <w:pPr>
        <w:rPr>
          <w:rFonts w:hint="eastAsia"/>
          <w:bCs/>
          <w:sz w:val="28"/>
          <w:szCs w:val="28"/>
          <w:lang w:val="zh-CN"/>
        </w:rPr>
      </w:pPr>
    </w:p>
    <w:p>
      <w:pPr>
        <w:pStyle w:val="17"/>
        <w:rPr>
          <w:rFonts w:hint="eastAsia"/>
          <w:bCs/>
          <w:sz w:val="28"/>
          <w:szCs w:val="28"/>
          <w:lang w:val="zh-CN"/>
        </w:rPr>
      </w:pPr>
    </w:p>
    <w:p>
      <w:pPr>
        <w:rPr>
          <w:rFonts w:hint="eastAsia"/>
          <w:bCs/>
          <w:sz w:val="28"/>
          <w:szCs w:val="28"/>
          <w:lang w:val="zh-CN"/>
        </w:rPr>
      </w:pPr>
    </w:p>
    <w:p>
      <w:pPr>
        <w:pStyle w:val="17"/>
        <w:rPr>
          <w:rFonts w:hint="eastAsia"/>
          <w:bCs/>
          <w:sz w:val="28"/>
          <w:szCs w:val="28"/>
          <w:lang w:val="zh-CN"/>
        </w:rPr>
      </w:pPr>
    </w:p>
    <w:p>
      <w:pPr>
        <w:rPr>
          <w:rFonts w:hint="eastAsia"/>
          <w:bCs/>
          <w:sz w:val="28"/>
          <w:szCs w:val="28"/>
          <w:lang w:val="zh-CN"/>
        </w:rPr>
      </w:pPr>
    </w:p>
    <w:p>
      <w:pPr>
        <w:pStyle w:val="17"/>
        <w:rPr>
          <w:rFonts w:hint="eastAsia"/>
          <w:bCs/>
          <w:sz w:val="28"/>
          <w:szCs w:val="28"/>
          <w:lang w:val="zh-CN"/>
        </w:rPr>
      </w:pPr>
    </w:p>
    <w:p>
      <w:pPr>
        <w:rPr>
          <w:rFonts w:hint="eastAsia"/>
          <w:bCs/>
          <w:sz w:val="28"/>
          <w:szCs w:val="28"/>
          <w:lang w:val="zh-CN"/>
        </w:rPr>
      </w:pPr>
    </w:p>
    <w:p>
      <w:pPr>
        <w:pStyle w:val="17"/>
        <w:rPr>
          <w:rFonts w:hint="eastAsia"/>
          <w:bCs/>
          <w:sz w:val="28"/>
          <w:szCs w:val="28"/>
          <w:lang w:val="zh-CN"/>
        </w:rPr>
      </w:pPr>
    </w:p>
    <w:p>
      <w:pPr>
        <w:rPr>
          <w:rFonts w:hint="eastAsia"/>
          <w:bCs/>
          <w:sz w:val="28"/>
          <w:szCs w:val="28"/>
          <w:lang w:val="zh-CN"/>
        </w:rPr>
      </w:pPr>
    </w:p>
    <w:p>
      <w:pPr>
        <w:pStyle w:val="17"/>
        <w:rPr>
          <w:rFonts w:hint="eastAsia"/>
          <w:bCs/>
          <w:sz w:val="28"/>
          <w:szCs w:val="28"/>
          <w:lang w:val="zh-CN"/>
        </w:rPr>
      </w:pPr>
    </w:p>
    <w:p>
      <w:pPr>
        <w:rPr>
          <w:rFonts w:hint="eastAsia"/>
          <w:bCs/>
          <w:sz w:val="28"/>
          <w:szCs w:val="28"/>
          <w:lang w:val="zh-CN"/>
        </w:rPr>
      </w:pPr>
    </w:p>
    <w:p>
      <w:pPr>
        <w:spacing w:before="120" w:beforeLines="50" w:after="120" w:afterLines="50" w:line="560" w:lineRule="exact"/>
        <w:jc w:val="center"/>
        <w:rPr>
          <w:rFonts w:hint="eastAsia" w:ascii="黑体" w:hAnsi="黑体" w:eastAsia="黑体" w:cs="黑体"/>
          <w:sz w:val="36"/>
          <w:szCs w:val="36"/>
        </w:rPr>
      </w:pPr>
      <w:r>
        <w:rPr>
          <w:rFonts w:hint="eastAsia" w:ascii="黑体" w:hAnsi="黑体" w:eastAsia="黑体" w:cs="黑体"/>
          <w:sz w:val="36"/>
          <w:szCs w:val="36"/>
        </w:rPr>
        <w:t>保修期外维修费用</w:t>
      </w:r>
    </w:p>
    <w:p>
      <w:pPr>
        <w:spacing w:line="360" w:lineRule="auto"/>
        <w:jc w:val="center"/>
        <w:rPr>
          <w:rFonts w:hint="eastAsia"/>
          <w:sz w:val="28"/>
          <w:szCs w:val="28"/>
          <w:lang w:val="zh-CN" w:eastAsia="zh-CN"/>
        </w:rPr>
        <w:sectPr>
          <w:pgSz w:w="11906" w:h="16838"/>
          <w:pgMar w:top="1418" w:right="1134" w:bottom="1418" w:left="1418" w:header="851" w:footer="851" w:gutter="0"/>
          <w:pgNumType w:fmt="numberInDash"/>
          <w:cols w:space="720" w:num="1"/>
          <w:docGrid w:linePitch="388" w:charSpace="-1260"/>
        </w:sectPr>
      </w:pPr>
      <w:r>
        <w:rPr>
          <w:rFonts w:hint="eastAsia"/>
          <w:sz w:val="28"/>
          <w:szCs w:val="28"/>
          <w:lang w:val="zh-CN" w:eastAsia="zh-CN"/>
        </w:rPr>
        <w:t>（</w:t>
      </w:r>
      <w:r>
        <w:rPr>
          <w:rFonts w:hint="eastAsia"/>
          <w:sz w:val="28"/>
          <w:szCs w:val="28"/>
          <w:lang w:val="zh-CN"/>
        </w:rPr>
        <w:t>由报价供应商根据项目需求自行拟定）</w:t>
      </w:r>
    </w:p>
    <w:p>
      <w:pPr>
        <w:spacing w:before="600" w:beforeLines="250" w:after="960" w:afterLines="400" w:line="360" w:lineRule="auto"/>
        <w:jc w:val="center"/>
        <w:rPr>
          <w:rFonts w:ascii="方正小标宋简体" w:eastAsia="方正小标宋简体"/>
          <w:bCs/>
          <w:sz w:val="48"/>
          <w:szCs w:val="48"/>
        </w:rPr>
      </w:pPr>
    </w:p>
    <w:p>
      <w:pPr>
        <w:spacing w:before="600" w:beforeLines="250" w:line="480" w:lineRule="auto"/>
        <w:jc w:val="center"/>
        <w:rPr>
          <w:rFonts w:ascii="方正小标宋简体" w:eastAsia="方正小标宋简体"/>
          <w:bCs/>
          <w:sz w:val="44"/>
          <w:szCs w:val="44"/>
        </w:rPr>
      </w:pPr>
      <w:r>
        <w:rPr>
          <w:rFonts w:hint="eastAsia" w:ascii="方正小标宋简体" w:eastAsia="方正小标宋简体"/>
          <w:bCs/>
          <w:sz w:val="48"/>
          <w:szCs w:val="48"/>
        </w:rPr>
        <w:t>物资类项目公开招标</w:t>
      </w:r>
    </w:p>
    <w:p>
      <w:pPr>
        <w:spacing w:after="480" w:afterLines="200"/>
        <w:jc w:val="center"/>
        <w:rPr>
          <w:rFonts w:ascii="方正小标宋简体" w:eastAsia="方正小标宋简体"/>
          <w:bCs/>
        </w:rPr>
      </w:pPr>
      <w:r>
        <w:rPr>
          <w:rFonts w:hint="eastAsia" w:ascii="方正小标宋简体" w:eastAsia="方正小标宋简体"/>
          <w:bCs/>
          <w:sz w:val="84"/>
          <w:szCs w:val="84"/>
        </w:rPr>
        <w:t>投 标 文 件</w:t>
      </w:r>
    </w:p>
    <w:p>
      <w:pPr>
        <w:pStyle w:val="4"/>
        <w:jc w:val="center"/>
        <w:rPr>
          <w:rFonts w:ascii="方正小标宋简体" w:eastAsia="方正小标宋简体"/>
          <w:b w:val="0"/>
          <w:sz w:val="52"/>
          <w:szCs w:val="52"/>
        </w:rPr>
      </w:pPr>
      <w:bookmarkStart w:id="314" w:name="_Toc132190621"/>
      <w:r>
        <w:rPr>
          <w:rFonts w:hint="eastAsia" w:ascii="方正小标宋简体" w:eastAsia="方正小标宋简体"/>
          <w:b w:val="0"/>
          <w:sz w:val="52"/>
          <w:szCs w:val="52"/>
        </w:rPr>
        <w:t>二、商务技术文件</w:t>
      </w:r>
      <w:bookmarkEnd w:id="314"/>
    </w:p>
    <w:p>
      <w:pPr>
        <w:adjustRightInd w:val="0"/>
        <w:snapToGrid w:val="0"/>
        <w:spacing w:line="360" w:lineRule="auto"/>
        <w:rPr>
          <w:rFonts w:ascii="方正小标宋简体" w:hAnsi="黑体" w:eastAsia="方正小标宋简体"/>
          <w:bCs/>
          <w:sz w:val="32"/>
          <w:szCs w:val="32"/>
        </w:rPr>
      </w:pP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项目名称：</w:t>
      </w:r>
      <w:r>
        <w:rPr>
          <w:rFonts w:hint="eastAsia" w:ascii="方正小标宋简体" w:eastAsia="方正小标宋简体"/>
          <w:bCs/>
          <w:sz w:val="36"/>
          <w:szCs w:val="36"/>
          <w:u w:val="single"/>
        </w:rPr>
        <w:t xml:space="preserve">                </w:t>
      </w: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项目编号：</w:t>
      </w:r>
      <w:r>
        <w:rPr>
          <w:rFonts w:hint="eastAsia" w:ascii="方正小标宋简体" w:eastAsia="方正小标宋简体"/>
          <w:bCs/>
          <w:sz w:val="36"/>
          <w:szCs w:val="36"/>
          <w:u w:val="single"/>
        </w:rPr>
        <w:t xml:space="preserve">                </w:t>
      </w:r>
    </w:p>
    <w:p>
      <w:pPr>
        <w:jc w:val="center"/>
        <w:rPr>
          <w:rFonts w:ascii="方正小标宋简体" w:eastAsia="方正小标宋简体"/>
          <w:bCs/>
          <w:sz w:val="36"/>
          <w:szCs w:val="36"/>
        </w:rPr>
      </w:pPr>
    </w:p>
    <w:p>
      <w:pPr>
        <w:jc w:val="center"/>
        <w:rPr>
          <w:rFonts w:ascii="方正小标宋简体" w:eastAsia="方正小标宋简体"/>
          <w:bCs/>
          <w:sz w:val="36"/>
          <w:szCs w:val="36"/>
        </w:rPr>
      </w:pPr>
    </w:p>
    <w:p>
      <w:pPr>
        <w:jc w:val="center"/>
        <w:rPr>
          <w:rFonts w:ascii="方正小标宋简体" w:eastAsia="方正小标宋简体"/>
          <w:bCs/>
          <w:sz w:val="36"/>
          <w:szCs w:val="36"/>
        </w:rPr>
      </w:pPr>
    </w:p>
    <w:p>
      <w:pPr>
        <w:ind w:firstLine="720" w:firstLineChars="200"/>
        <w:jc w:val="center"/>
        <w:rPr>
          <w:rFonts w:ascii="方正小标宋简体" w:eastAsia="方正小标宋简体"/>
          <w:bCs/>
          <w:sz w:val="36"/>
          <w:szCs w:val="36"/>
        </w:rPr>
      </w:pPr>
      <w:r>
        <w:rPr>
          <w:rFonts w:hint="eastAsia" w:ascii="方正小标宋简体" w:eastAsia="方正小标宋简体"/>
          <w:bCs/>
          <w:sz w:val="36"/>
          <w:szCs w:val="36"/>
        </w:rPr>
        <w:t>投标供应商：</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（盖章）</w:t>
      </w:r>
    </w:p>
    <w:p>
      <w:pPr>
        <w:spacing w:before="240" w:beforeLines="100"/>
        <w:ind w:firstLine="720" w:firstLineChars="200"/>
        <w:jc w:val="center"/>
        <w:rPr>
          <w:rFonts w:ascii="方正小标宋简体" w:hAnsi="宋体" w:eastAsia="方正小标宋简体"/>
          <w:bCs/>
        </w:rPr>
      </w:pP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年</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月</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日</w:t>
      </w:r>
    </w:p>
    <w:p>
      <w:pPr>
        <w:spacing w:line="400" w:lineRule="exact"/>
        <w:ind w:firstLine="493" w:firstLineChars="235"/>
        <w:jc w:val="left"/>
        <w:rPr>
          <w:rFonts w:ascii="宋体" w:hAnsi="宋体"/>
          <w:bCs/>
        </w:rPr>
      </w:pPr>
    </w:p>
    <w:p>
      <w:pPr>
        <w:spacing w:line="400" w:lineRule="exact"/>
        <w:ind w:firstLine="493" w:firstLineChars="235"/>
        <w:jc w:val="left"/>
        <w:rPr>
          <w:rFonts w:ascii="宋体" w:hAnsi="宋体"/>
          <w:bCs/>
        </w:rPr>
      </w:pPr>
    </w:p>
    <w:p>
      <w:pPr>
        <w:pStyle w:val="5"/>
        <w:spacing w:before="120" w:beforeLines="50" w:after="120" w:afterLines="50"/>
        <w:rPr>
          <w:b w:val="0"/>
        </w:rPr>
        <w:sectPr>
          <w:pgSz w:w="11906" w:h="16838"/>
          <w:pgMar w:top="1418" w:right="1134" w:bottom="1418" w:left="1418" w:header="851" w:footer="851" w:gutter="0"/>
          <w:cols w:space="720" w:num="1"/>
          <w:docGrid w:linePitch="388" w:charSpace="-1260"/>
        </w:sectPr>
      </w:pPr>
      <w:bookmarkStart w:id="315" w:name="_Toc32372"/>
      <w:bookmarkStart w:id="316" w:name="_Toc32100"/>
      <w:bookmarkStart w:id="317" w:name="_Toc24480"/>
      <w:bookmarkStart w:id="318" w:name="_Toc9050"/>
    </w:p>
    <w:p>
      <w:pPr>
        <w:pStyle w:val="5"/>
        <w:spacing w:before="120" w:beforeLines="50" w:after="120" w:afterLines="50"/>
        <w:rPr>
          <w:b w:val="0"/>
          <w:lang w:val="zh-CN"/>
        </w:rPr>
      </w:pPr>
      <w:r>
        <w:rPr>
          <w:rFonts w:hint="eastAsia"/>
          <w:b w:val="0"/>
        </w:rPr>
        <w:t>附件</w:t>
      </w:r>
      <w:r>
        <w:rPr>
          <w:b w:val="0"/>
        </w:rPr>
        <w:t>2-1</w:t>
      </w:r>
      <w:r>
        <w:rPr>
          <w:rFonts w:hint="eastAsia"/>
          <w:b w:val="0"/>
        </w:rPr>
        <w:t>符合性审查索引表</w:t>
      </w:r>
      <w:bookmarkEnd w:id="315"/>
      <w:bookmarkEnd w:id="316"/>
      <w:bookmarkEnd w:id="317"/>
      <w:bookmarkEnd w:id="318"/>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符合性审查索引表</w:t>
      </w:r>
    </w:p>
    <w:p>
      <w:pPr>
        <w:spacing w:line="400" w:lineRule="exact"/>
        <w:rPr>
          <w:rFonts w:ascii="黑体" w:hAnsi="黑体" w:eastAsia="黑体"/>
          <w:bCs/>
          <w:sz w:val="28"/>
          <w:szCs w:val="28"/>
        </w:rPr>
      </w:pPr>
      <w:r>
        <w:rPr>
          <w:rFonts w:hint="eastAsia" w:ascii="黑体" w:hAnsi="黑体" w:eastAsia="黑体"/>
          <w:bCs/>
          <w:sz w:val="28"/>
          <w:szCs w:val="28"/>
        </w:rPr>
        <w:t>投标供应商务必在商务技术文件正文前制作本索引表。</w:t>
      </w:r>
    </w:p>
    <w:tbl>
      <w:tblPr>
        <w:tblStyle w:val="42"/>
        <w:tblW w:w="95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5811"/>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959" w:type="dxa"/>
            <w:vMerge w:val="restart"/>
            <w:vAlign w:val="center"/>
          </w:tcPr>
          <w:p>
            <w:pPr>
              <w:jc w:val="center"/>
              <w:rPr>
                <w:rFonts w:ascii="宋体" w:hAnsi="宋体"/>
                <w:bCs/>
                <w:sz w:val="24"/>
              </w:rPr>
            </w:pPr>
            <w:r>
              <w:rPr>
                <w:rFonts w:hint="eastAsia" w:ascii="宋体" w:hAnsi="宋体"/>
                <w:bCs/>
                <w:sz w:val="24"/>
              </w:rPr>
              <w:t>序号</w:t>
            </w:r>
          </w:p>
        </w:tc>
        <w:tc>
          <w:tcPr>
            <w:tcW w:w="5811" w:type="dxa"/>
            <w:vMerge w:val="restart"/>
            <w:vAlign w:val="center"/>
          </w:tcPr>
          <w:p>
            <w:pPr>
              <w:jc w:val="center"/>
              <w:rPr>
                <w:bCs/>
                <w:sz w:val="24"/>
              </w:rPr>
            </w:pPr>
            <w:r>
              <w:rPr>
                <w:rFonts w:hint="eastAsia"/>
                <w:bCs/>
                <w:sz w:val="24"/>
              </w:rPr>
              <w:t>符合性审查项目</w:t>
            </w:r>
          </w:p>
        </w:tc>
        <w:tc>
          <w:tcPr>
            <w:tcW w:w="2800" w:type="dxa"/>
            <w:vMerge w:val="restart"/>
            <w:vAlign w:val="center"/>
          </w:tcPr>
          <w:p>
            <w:pPr>
              <w:jc w:val="center"/>
              <w:rPr>
                <w:bCs/>
                <w:sz w:val="24"/>
              </w:rPr>
            </w:pPr>
            <w:r>
              <w:rPr>
                <w:rFonts w:hint="eastAsia"/>
                <w:bCs/>
                <w:sz w:val="24"/>
              </w:rPr>
              <w:t>文件名称</w:t>
            </w:r>
            <w:r>
              <w:rPr>
                <w:rFonts w:hint="eastAsia" w:ascii="宋体" w:hAnsi="宋体"/>
                <w:bCs/>
                <w:sz w:val="24"/>
              </w:rPr>
              <w:t>∕</w:t>
            </w:r>
            <w:r>
              <w:rPr>
                <w:rFonts w:hint="eastAsia"/>
                <w:bCs/>
                <w:sz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59" w:type="dxa"/>
            <w:vMerge w:val="continue"/>
            <w:vAlign w:val="center"/>
          </w:tcPr>
          <w:p>
            <w:pPr>
              <w:jc w:val="center"/>
              <w:rPr>
                <w:rFonts w:ascii="宋体" w:hAnsi="宋体"/>
                <w:bCs/>
                <w:sz w:val="24"/>
              </w:rPr>
            </w:pPr>
          </w:p>
        </w:tc>
        <w:tc>
          <w:tcPr>
            <w:tcW w:w="5811" w:type="dxa"/>
            <w:vMerge w:val="continue"/>
            <w:vAlign w:val="center"/>
          </w:tcPr>
          <w:p>
            <w:pPr>
              <w:jc w:val="center"/>
              <w:rPr>
                <w:bCs/>
                <w:sz w:val="24"/>
              </w:rPr>
            </w:pPr>
          </w:p>
        </w:tc>
        <w:tc>
          <w:tcPr>
            <w:tcW w:w="2800" w:type="dxa"/>
            <w:vMerge w:val="continue"/>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959" w:type="dxa"/>
            <w:vAlign w:val="center"/>
          </w:tcPr>
          <w:p>
            <w:pPr>
              <w:jc w:val="center"/>
              <w:rPr>
                <w:rFonts w:ascii="宋体" w:hAnsi="宋体"/>
                <w:bCs/>
                <w:sz w:val="24"/>
              </w:rPr>
            </w:pPr>
            <w:r>
              <w:rPr>
                <w:rFonts w:ascii="宋体" w:hAnsi="宋体"/>
                <w:bCs/>
                <w:sz w:val="24"/>
              </w:rPr>
              <w:t>1</w:t>
            </w:r>
          </w:p>
        </w:tc>
        <w:tc>
          <w:tcPr>
            <w:tcW w:w="5811" w:type="dxa"/>
            <w:vAlign w:val="center"/>
          </w:tcPr>
          <w:p>
            <w:pPr>
              <w:jc w:val="center"/>
              <w:rPr>
                <w:bCs/>
                <w:sz w:val="24"/>
              </w:rPr>
            </w:pPr>
          </w:p>
        </w:tc>
        <w:tc>
          <w:tcPr>
            <w:tcW w:w="2800" w:type="dxa"/>
            <w:vAlign w:val="center"/>
          </w:tcPr>
          <w:p>
            <w:pPr>
              <w:jc w:val="center"/>
              <w:rPr>
                <w:bCs/>
                <w:sz w:val="24"/>
              </w:rPr>
            </w:pPr>
            <w:r>
              <w:rPr>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959" w:type="dxa"/>
            <w:vAlign w:val="center"/>
          </w:tcPr>
          <w:p>
            <w:pPr>
              <w:jc w:val="center"/>
              <w:rPr>
                <w:rFonts w:ascii="宋体" w:hAnsi="宋体"/>
                <w:bCs/>
                <w:sz w:val="24"/>
              </w:rPr>
            </w:pPr>
            <w:r>
              <w:rPr>
                <w:rFonts w:ascii="宋体" w:hAnsi="宋体"/>
                <w:bCs/>
                <w:sz w:val="24"/>
              </w:rPr>
              <w:t>2</w:t>
            </w:r>
          </w:p>
        </w:tc>
        <w:tc>
          <w:tcPr>
            <w:tcW w:w="5811" w:type="dxa"/>
            <w:vAlign w:val="center"/>
          </w:tcPr>
          <w:p>
            <w:pPr>
              <w:jc w:val="center"/>
              <w:rPr>
                <w:bCs/>
                <w:sz w:val="24"/>
              </w:rPr>
            </w:pPr>
          </w:p>
        </w:tc>
        <w:tc>
          <w:tcPr>
            <w:tcW w:w="2800" w:type="dxa"/>
            <w:vAlign w:val="center"/>
          </w:tcPr>
          <w:p>
            <w:pPr>
              <w:jc w:val="center"/>
              <w:rPr>
                <w:bCs/>
                <w:sz w:val="24"/>
              </w:rPr>
            </w:pPr>
            <w:r>
              <w:rPr>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959" w:type="dxa"/>
            <w:vAlign w:val="center"/>
          </w:tcPr>
          <w:p>
            <w:pPr>
              <w:jc w:val="center"/>
              <w:rPr>
                <w:rFonts w:ascii="宋体" w:hAnsi="宋体"/>
                <w:bCs/>
                <w:sz w:val="24"/>
              </w:rPr>
            </w:pPr>
            <w:r>
              <w:rPr>
                <w:rFonts w:ascii="宋体" w:hAnsi="宋体"/>
                <w:bCs/>
                <w:sz w:val="24"/>
              </w:rPr>
              <w:t>3</w:t>
            </w:r>
          </w:p>
        </w:tc>
        <w:tc>
          <w:tcPr>
            <w:tcW w:w="5811" w:type="dxa"/>
            <w:vAlign w:val="center"/>
          </w:tcPr>
          <w:p>
            <w:pPr>
              <w:jc w:val="center"/>
              <w:rPr>
                <w:bCs/>
                <w:sz w:val="24"/>
              </w:rPr>
            </w:pPr>
          </w:p>
        </w:tc>
        <w:tc>
          <w:tcPr>
            <w:tcW w:w="2800" w:type="dxa"/>
            <w:vAlign w:val="center"/>
          </w:tcPr>
          <w:p>
            <w:pPr>
              <w:jc w:val="center"/>
              <w:rPr>
                <w:bCs/>
                <w:sz w:val="24"/>
              </w:rPr>
            </w:pPr>
            <w:r>
              <w:rPr>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959" w:type="dxa"/>
            <w:vAlign w:val="center"/>
          </w:tcPr>
          <w:p>
            <w:pPr>
              <w:jc w:val="center"/>
              <w:rPr>
                <w:rFonts w:ascii="宋体" w:hAnsi="宋体"/>
                <w:bCs/>
                <w:sz w:val="24"/>
              </w:rPr>
            </w:pPr>
            <w:r>
              <w:rPr>
                <w:rFonts w:ascii="宋体" w:hAnsi="宋体"/>
                <w:bCs/>
                <w:sz w:val="24"/>
              </w:rPr>
              <w:t xml:space="preserve">4   </w:t>
            </w:r>
          </w:p>
        </w:tc>
        <w:tc>
          <w:tcPr>
            <w:tcW w:w="5811" w:type="dxa"/>
            <w:vAlign w:val="center"/>
          </w:tcPr>
          <w:p>
            <w:pPr>
              <w:jc w:val="center"/>
              <w:rPr>
                <w:bCs/>
                <w:sz w:val="24"/>
              </w:rPr>
            </w:pPr>
          </w:p>
        </w:tc>
        <w:tc>
          <w:tcPr>
            <w:tcW w:w="2800"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959" w:type="dxa"/>
            <w:vAlign w:val="center"/>
          </w:tcPr>
          <w:p>
            <w:pPr>
              <w:jc w:val="center"/>
              <w:rPr>
                <w:bCs/>
                <w:sz w:val="24"/>
              </w:rPr>
            </w:pPr>
            <w:r>
              <w:rPr>
                <w:rFonts w:hint="eastAsia"/>
                <w:bCs/>
                <w:sz w:val="24"/>
              </w:rPr>
              <w:t>……</w:t>
            </w:r>
          </w:p>
        </w:tc>
        <w:tc>
          <w:tcPr>
            <w:tcW w:w="5811" w:type="dxa"/>
            <w:vAlign w:val="center"/>
          </w:tcPr>
          <w:p>
            <w:pPr>
              <w:jc w:val="center"/>
              <w:rPr>
                <w:bCs/>
                <w:sz w:val="24"/>
              </w:rPr>
            </w:pPr>
          </w:p>
        </w:tc>
        <w:tc>
          <w:tcPr>
            <w:tcW w:w="2800" w:type="dxa"/>
            <w:vAlign w:val="center"/>
          </w:tcPr>
          <w:p>
            <w:pPr>
              <w:jc w:val="center"/>
              <w:rPr>
                <w:bCs/>
                <w:sz w:val="24"/>
              </w:rPr>
            </w:pPr>
            <w:r>
              <w:rPr>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959" w:type="dxa"/>
            <w:vAlign w:val="center"/>
          </w:tcPr>
          <w:p>
            <w:pPr>
              <w:jc w:val="center"/>
              <w:rPr>
                <w:bCs/>
                <w:sz w:val="24"/>
              </w:rPr>
            </w:pPr>
          </w:p>
        </w:tc>
        <w:tc>
          <w:tcPr>
            <w:tcW w:w="5811" w:type="dxa"/>
            <w:vAlign w:val="center"/>
          </w:tcPr>
          <w:p>
            <w:pPr>
              <w:jc w:val="center"/>
              <w:rPr>
                <w:bCs/>
                <w:sz w:val="24"/>
              </w:rPr>
            </w:pPr>
          </w:p>
        </w:tc>
        <w:tc>
          <w:tcPr>
            <w:tcW w:w="2800" w:type="dxa"/>
            <w:vAlign w:val="center"/>
          </w:tcPr>
          <w:p>
            <w:pPr>
              <w:jc w:val="center"/>
              <w:rPr>
                <w:bCs/>
                <w:sz w:val="24"/>
              </w:rPr>
            </w:pPr>
            <w:r>
              <w:rPr>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959" w:type="dxa"/>
            <w:vAlign w:val="center"/>
          </w:tcPr>
          <w:p>
            <w:pPr>
              <w:jc w:val="center"/>
              <w:rPr>
                <w:bCs/>
                <w:sz w:val="24"/>
              </w:rPr>
            </w:pPr>
          </w:p>
        </w:tc>
        <w:tc>
          <w:tcPr>
            <w:tcW w:w="5811" w:type="dxa"/>
            <w:vAlign w:val="center"/>
          </w:tcPr>
          <w:p>
            <w:pPr>
              <w:jc w:val="center"/>
              <w:rPr>
                <w:bCs/>
                <w:sz w:val="24"/>
              </w:rPr>
            </w:pPr>
          </w:p>
        </w:tc>
        <w:tc>
          <w:tcPr>
            <w:tcW w:w="2800" w:type="dxa"/>
            <w:vAlign w:val="center"/>
          </w:tcPr>
          <w:p>
            <w:pPr>
              <w:jc w:val="center"/>
              <w:rPr>
                <w:bCs/>
                <w:sz w:val="24"/>
              </w:rPr>
            </w:pPr>
            <w:r>
              <w:rPr>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959" w:type="dxa"/>
            <w:vAlign w:val="center"/>
          </w:tcPr>
          <w:p>
            <w:pPr>
              <w:jc w:val="center"/>
              <w:rPr>
                <w:bCs/>
                <w:sz w:val="24"/>
              </w:rPr>
            </w:pPr>
          </w:p>
        </w:tc>
        <w:tc>
          <w:tcPr>
            <w:tcW w:w="5811" w:type="dxa"/>
            <w:vAlign w:val="center"/>
          </w:tcPr>
          <w:p>
            <w:pPr>
              <w:jc w:val="center"/>
              <w:rPr>
                <w:bCs/>
                <w:sz w:val="24"/>
              </w:rPr>
            </w:pPr>
          </w:p>
        </w:tc>
        <w:tc>
          <w:tcPr>
            <w:tcW w:w="2800"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exact"/>
          <w:jc w:val="center"/>
        </w:trPr>
        <w:tc>
          <w:tcPr>
            <w:tcW w:w="9570" w:type="dxa"/>
            <w:gridSpan w:val="3"/>
            <w:vAlign w:val="center"/>
          </w:tcPr>
          <w:p>
            <w:pPr>
              <w:spacing w:line="276" w:lineRule="auto"/>
              <w:rPr>
                <w:bCs/>
                <w:sz w:val="24"/>
              </w:rPr>
            </w:pPr>
            <w:r>
              <w:rPr>
                <w:rFonts w:hint="eastAsia"/>
                <w:bCs/>
                <w:sz w:val="24"/>
              </w:rPr>
              <w:t>备注：投标供应商按照《符合性审查表》编制此表。投标供应商应当根据本单位实际情况和投标文件内容填写，并标注相关证明材料在投标文件的位置页码。“投标文件签字、盖章齐全完整”等无法填写具体页码的符合性审查项目，可以不填写。投标供应商不得虚报、瞒报、漏报或虚假承诺。</w:t>
            </w:r>
          </w:p>
        </w:tc>
      </w:tr>
    </w:tbl>
    <w:p>
      <w:pPr>
        <w:rPr>
          <w:bCs/>
          <w:sz w:val="28"/>
          <w:szCs w:val="28"/>
          <w:lang w:val="zh-CN"/>
        </w:rPr>
      </w:pPr>
    </w:p>
    <w:p>
      <w:pPr>
        <w:rPr>
          <w:rFonts w:eastAsia="黑体"/>
          <w:bCs/>
          <w:sz w:val="28"/>
          <w:szCs w:val="28"/>
        </w:rPr>
      </w:pPr>
    </w:p>
    <w:p>
      <w:pPr>
        <w:rPr>
          <w:rFonts w:eastAsia="黑体"/>
          <w:bCs/>
          <w:sz w:val="28"/>
          <w:szCs w:val="28"/>
        </w:rPr>
      </w:pPr>
    </w:p>
    <w:p>
      <w:pPr>
        <w:widowControl/>
        <w:ind w:firstLine="560" w:firstLineChars="200"/>
        <w:jc w:val="left"/>
        <w:rPr>
          <w:rFonts w:eastAsia="黑体"/>
          <w:bCs/>
          <w:sz w:val="28"/>
          <w:szCs w:val="28"/>
        </w:rPr>
      </w:pPr>
      <w:r>
        <w:rPr>
          <w:rFonts w:eastAsia="黑体"/>
          <w:bCs/>
          <w:sz w:val="28"/>
          <w:szCs w:val="28"/>
        </w:rPr>
        <w:br w:type="page"/>
      </w:r>
    </w:p>
    <w:p>
      <w:pPr>
        <w:pStyle w:val="5"/>
        <w:spacing w:before="120" w:beforeLines="50" w:after="120" w:afterLines="50"/>
        <w:rPr>
          <w:b w:val="0"/>
          <w:lang w:val="zh-CN"/>
        </w:rPr>
      </w:pPr>
      <w:bookmarkStart w:id="319" w:name="_Toc22628"/>
      <w:bookmarkStart w:id="320" w:name="_Toc11693"/>
      <w:bookmarkStart w:id="321" w:name="_Toc4926"/>
      <w:bookmarkStart w:id="322" w:name="_Toc7297"/>
      <w:r>
        <w:rPr>
          <w:rFonts w:hint="eastAsia"/>
          <w:b w:val="0"/>
        </w:rPr>
        <w:t>附件</w:t>
      </w:r>
      <w:r>
        <w:rPr>
          <w:b w:val="0"/>
        </w:rPr>
        <w:t xml:space="preserve">2-2 </w:t>
      </w:r>
      <w:r>
        <w:rPr>
          <w:rFonts w:hint="eastAsia"/>
          <w:b w:val="0"/>
        </w:rPr>
        <w:t>商务评审索引表</w:t>
      </w:r>
      <w:bookmarkEnd w:id="319"/>
      <w:bookmarkEnd w:id="320"/>
      <w:bookmarkEnd w:id="321"/>
      <w:bookmarkEnd w:id="322"/>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商务评审索引表</w:t>
      </w:r>
    </w:p>
    <w:p>
      <w:pPr>
        <w:spacing w:line="400" w:lineRule="exact"/>
        <w:rPr>
          <w:rFonts w:ascii="黑体" w:hAnsi="黑体" w:eastAsia="黑体"/>
          <w:bCs/>
          <w:sz w:val="28"/>
          <w:szCs w:val="28"/>
        </w:rPr>
      </w:pPr>
      <w:r>
        <w:rPr>
          <w:rFonts w:hint="eastAsia" w:ascii="黑体" w:hAnsi="黑体" w:eastAsia="黑体"/>
          <w:bCs/>
          <w:sz w:val="28"/>
          <w:szCs w:val="28"/>
        </w:rPr>
        <w:t>投标供应商务必在商务技术文件正文前制作本索引表。</w:t>
      </w:r>
    </w:p>
    <w:tbl>
      <w:tblPr>
        <w:tblStyle w:val="42"/>
        <w:tblW w:w="9679" w:type="dxa"/>
        <w:jc w:val="center"/>
        <w:tblLayout w:type="fixed"/>
        <w:tblCellMar>
          <w:top w:w="0" w:type="dxa"/>
          <w:left w:w="108" w:type="dxa"/>
          <w:bottom w:w="0" w:type="dxa"/>
          <w:right w:w="108" w:type="dxa"/>
        </w:tblCellMar>
      </w:tblPr>
      <w:tblGrid>
        <w:gridCol w:w="870"/>
        <w:gridCol w:w="1363"/>
        <w:gridCol w:w="2126"/>
        <w:gridCol w:w="1365"/>
        <w:gridCol w:w="1928"/>
        <w:gridCol w:w="2027"/>
      </w:tblGrid>
      <w:tr>
        <w:tblPrEx>
          <w:tblCellMar>
            <w:top w:w="0" w:type="dxa"/>
            <w:left w:w="108" w:type="dxa"/>
            <w:bottom w:w="0" w:type="dxa"/>
            <w:right w:w="108" w:type="dxa"/>
          </w:tblCellMar>
        </w:tblPrEx>
        <w:trPr>
          <w:trHeight w:val="680" w:hRule="atLeast"/>
          <w:jc w:val="center"/>
        </w:trPr>
        <w:tc>
          <w:tcPr>
            <w:tcW w:w="870" w:type="dxa"/>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序号</w:t>
            </w:r>
          </w:p>
        </w:tc>
        <w:tc>
          <w:tcPr>
            <w:tcW w:w="1363" w:type="dxa"/>
            <w:vMerge w:val="restar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评审项目</w:t>
            </w:r>
          </w:p>
        </w:tc>
        <w:tc>
          <w:tcPr>
            <w:tcW w:w="2126" w:type="dxa"/>
            <w:vMerge w:val="restar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评审内容及规则</w:t>
            </w:r>
          </w:p>
        </w:tc>
        <w:tc>
          <w:tcPr>
            <w:tcW w:w="1365" w:type="dxa"/>
            <w:vMerge w:val="restar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标准分值</w:t>
            </w:r>
          </w:p>
        </w:tc>
        <w:tc>
          <w:tcPr>
            <w:tcW w:w="3955" w:type="dxa"/>
            <w:gridSpan w:val="2"/>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投标供应商填写</w:t>
            </w:r>
          </w:p>
        </w:tc>
      </w:tr>
      <w:tr>
        <w:tblPrEx>
          <w:tblCellMar>
            <w:top w:w="0" w:type="dxa"/>
            <w:left w:w="108" w:type="dxa"/>
            <w:bottom w:w="0" w:type="dxa"/>
            <w:right w:w="108" w:type="dxa"/>
          </w:tblCellMar>
        </w:tblPrEx>
        <w:trPr>
          <w:trHeight w:val="680" w:hRule="atLeast"/>
          <w:jc w:val="center"/>
        </w:trPr>
        <w:tc>
          <w:tcPr>
            <w:tcW w:w="870" w:type="dxa"/>
            <w:vMerge w:val="continue"/>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363" w:type="dxa"/>
            <w:vMerge w:val="continue"/>
            <w:tcBorders>
              <w:top w:val="single" w:color="auto" w:sz="4" w:space="0"/>
              <w:left w:val="nil"/>
              <w:bottom w:val="single" w:color="auto" w:sz="4" w:space="0"/>
              <w:right w:val="single" w:color="auto" w:sz="4" w:space="0"/>
            </w:tcBorders>
            <w:vAlign w:val="center"/>
          </w:tcPr>
          <w:p>
            <w:pPr>
              <w:jc w:val="center"/>
              <w:rPr>
                <w:bCs/>
                <w:sz w:val="24"/>
              </w:rPr>
            </w:pPr>
          </w:p>
        </w:tc>
        <w:tc>
          <w:tcPr>
            <w:tcW w:w="2126" w:type="dxa"/>
            <w:vMerge w:val="continue"/>
            <w:tcBorders>
              <w:top w:val="single" w:color="auto" w:sz="4" w:space="0"/>
              <w:left w:val="nil"/>
              <w:bottom w:val="single" w:color="auto" w:sz="4" w:space="0"/>
              <w:right w:val="single" w:color="auto" w:sz="4" w:space="0"/>
            </w:tcBorders>
            <w:vAlign w:val="center"/>
          </w:tcPr>
          <w:p>
            <w:pPr>
              <w:jc w:val="center"/>
              <w:rPr>
                <w:bCs/>
                <w:sz w:val="24"/>
              </w:rPr>
            </w:pPr>
          </w:p>
        </w:tc>
        <w:tc>
          <w:tcPr>
            <w:tcW w:w="1365" w:type="dxa"/>
            <w:vMerge w:val="continue"/>
            <w:tcBorders>
              <w:top w:val="single" w:color="auto" w:sz="4" w:space="0"/>
              <w:left w:val="nil"/>
              <w:bottom w:val="single" w:color="auto" w:sz="4" w:space="0"/>
              <w:right w:val="single" w:color="auto" w:sz="4" w:space="0"/>
            </w:tcBorders>
            <w:vAlign w:val="center"/>
          </w:tcPr>
          <w:p>
            <w:pPr>
              <w:jc w:val="center"/>
              <w:rPr>
                <w:bCs/>
                <w:sz w:val="24"/>
              </w:rPr>
            </w:pPr>
          </w:p>
        </w:tc>
        <w:tc>
          <w:tcPr>
            <w:tcW w:w="1928" w:type="dxa"/>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指标值或评分项</w:t>
            </w:r>
          </w:p>
        </w:tc>
        <w:tc>
          <w:tcPr>
            <w:tcW w:w="2027" w:type="dxa"/>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文件名称</w:t>
            </w:r>
            <w:r>
              <w:rPr>
                <w:rFonts w:hint="eastAsia" w:ascii="宋体" w:hAnsi="宋体"/>
                <w:bCs/>
                <w:sz w:val="24"/>
              </w:rPr>
              <w:t>∕页码</w:t>
            </w:r>
          </w:p>
        </w:tc>
      </w:tr>
      <w:tr>
        <w:tblPrEx>
          <w:tblCellMar>
            <w:top w:w="0" w:type="dxa"/>
            <w:left w:w="108" w:type="dxa"/>
            <w:bottom w:w="0" w:type="dxa"/>
            <w:right w:w="108" w:type="dxa"/>
          </w:tblCellMar>
        </w:tblPrEx>
        <w:trPr>
          <w:trHeight w:val="680" w:hRule="atLeast"/>
          <w:jc w:val="center"/>
        </w:trPr>
        <w:tc>
          <w:tcPr>
            <w:tcW w:w="870" w:type="dxa"/>
            <w:tcBorders>
              <w:top w:val="nil"/>
              <w:left w:val="single" w:color="auto" w:sz="4" w:space="0"/>
              <w:bottom w:val="single" w:color="auto" w:sz="4" w:space="0"/>
              <w:right w:val="single" w:color="auto" w:sz="4" w:space="0"/>
            </w:tcBorders>
            <w:vAlign w:val="center"/>
          </w:tcPr>
          <w:p>
            <w:pPr>
              <w:jc w:val="center"/>
              <w:rPr>
                <w:bCs/>
                <w:sz w:val="24"/>
              </w:rPr>
            </w:pPr>
          </w:p>
        </w:tc>
        <w:tc>
          <w:tcPr>
            <w:tcW w:w="1363" w:type="dxa"/>
            <w:tcBorders>
              <w:top w:val="nil"/>
              <w:left w:val="nil"/>
              <w:bottom w:val="single" w:color="auto" w:sz="4" w:space="0"/>
              <w:right w:val="single" w:color="auto" w:sz="4" w:space="0"/>
            </w:tcBorders>
            <w:vAlign w:val="center"/>
          </w:tcPr>
          <w:p>
            <w:pPr>
              <w:jc w:val="center"/>
              <w:rPr>
                <w:bCs/>
                <w:sz w:val="24"/>
              </w:rPr>
            </w:pPr>
            <w:r>
              <w:rPr>
                <w:rFonts w:hint="eastAsia"/>
                <w:bCs/>
                <w:sz w:val="24"/>
              </w:rPr>
              <w:t>合</w:t>
            </w:r>
            <w:r>
              <w:rPr>
                <w:bCs/>
                <w:sz w:val="24"/>
              </w:rPr>
              <w:t xml:space="preserve">  </w:t>
            </w:r>
            <w:r>
              <w:rPr>
                <w:rFonts w:hint="eastAsia"/>
                <w:bCs/>
                <w:sz w:val="24"/>
              </w:rPr>
              <w:t>计</w:t>
            </w:r>
          </w:p>
        </w:tc>
        <w:tc>
          <w:tcPr>
            <w:tcW w:w="2126" w:type="dxa"/>
            <w:tcBorders>
              <w:top w:val="nil"/>
              <w:left w:val="nil"/>
              <w:bottom w:val="single" w:color="auto" w:sz="4" w:space="0"/>
              <w:right w:val="single" w:color="auto" w:sz="4" w:space="0"/>
            </w:tcBorders>
            <w:vAlign w:val="center"/>
          </w:tcPr>
          <w:p>
            <w:pPr>
              <w:jc w:val="center"/>
              <w:rPr>
                <w:bCs/>
                <w:sz w:val="24"/>
              </w:rPr>
            </w:pPr>
          </w:p>
        </w:tc>
        <w:tc>
          <w:tcPr>
            <w:tcW w:w="1365" w:type="dxa"/>
            <w:tcBorders>
              <w:top w:val="nil"/>
              <w:left w:val="nil"/>
              <w:bottom w:val="single" w:color="auto" w:sz="4" w:space="0"/>
              <w:right w:val="single" w:color="auto" w:sz="4" w:space="0"/>
            </w:tcBorders>
            <w:vAlign w:val="center"/>
          </w:tcPr>
          <w:p>
            <w:pPr>
              <w:jc w:val="center"/>
              <w:rPr>
                <w:bCs/>
                <w:sz w:val="24"/>
              </w:rPr>
            </w:pPr>
          </w:p>
        </w:tc>
        <w:tc>
          <w:tcPr>
            <w:tcW w:w="1928" w:type="dxa"/>
            <w:tcBorders>
              <w:top w:val="single" w:color="auto" w:sz="4" w:space="0"/>
              <w:left w:val="nil"/>
              <w:bottom w:val="single" w:color="auto" w:sz="4" w:space="0"/>
              <w:right w:val="single" w:color="auto" w:sz="4" w:space="0"/>
            </w:tcBorders>
            <w:vAlign w:val="center"/>
          </w:tcPr>
          <w:p>
            <w:pPr>
              <w:jc w:val="center"/>
              <w:rPr>
                <w:bCs/>
                <w:sz w:val="24"/>
              </w:rPr>
            </w:pPr>
          </w:p>
        </w:tc>
        <w:tc>
          <w:tcPr>
            <w:tcW w:w="2027" w:type="dxa"/>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870" w:type="dxa"/>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一</w:t>
            </w:r>
          </w:p>
        </w:tc>
        <w:tc>
          <w:tcPr>
            <w:tcW w:w="1363" w:type="dxa"/>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项目</w:t>
            </w:r>
            <w:r>
              <w:rPr>
                <w:rFonts w:ascii="宋体" w:hAnsi="宋体"/>
                <w:bCs/>
                <w:sz w:val="24"/>
              </w:rPr>
              <w:t>1</w:t>
            </w:r>
          </w:p>
        </w:tc>
        <w:tc>
          <w:tcPr>
            <w:tcW w:w="2126" w:type="dxa"/>
            <w:tcBorders>
              <w:top w:val="nil"/>
              <w:left w:val="nil"/>
              <w:bottom w:val="single" w:color="auto" w:sz="4" w:space="0"/>
              <w:right w:val="single" w:color="auto" w:sz="4" w:space="0"/>
            </w:tcBorders>
            <w:vAlign w:val="center"/>
          </w:tcPr>
          <w:p>
            <w:pPr>
              <w:jc w:val="center"/>
              <w:rPr>
                <w:bCs/>
                <w:sz w:val="24"/>
              </w:rPr>
            </w:pPr>
            <w:r>
              <w:rPr>
                <w:bCs/>
                <w:sz w:val="24"/>
              </w:rPr>
              <w:t xml:space="preserve"> </w:t>
            </w:r>
          </w:p>
        </w:tc>
        <w:tc>
          <w:tcPr>
            <w:tcW w:w="1365" w:type="dxa"/>
            <w:tcBorders>
              <w:top w:val="nil"/>
              <w:left w:val="nil"/>
              <w:bottom w:val="single" w:color="auto" w:sz="4" w:space="0"/>
              <w:right w:val="single" w:color="auto" w:sz="4" w:space="0"/>
            </w:tcBorders>
            <w:vAlign w:val="center"/>
          </w:tcPr>
          <w:p>
            <w:pPr>
              <w:jc w:val="center"/>
              <w:rPr>
                <w:bCs/>
                <w:sz w:val="24"/>
              </w:rPr>
            </w:pPr>
            <w:r>
              <w:rPr>
                <w:bCs/>
                <w:sz w:val="24"/>
              </w:rPr>
              <w:t xml:space="preserve"> </w:t>
            </w:r>
          </w:p>
        </w:tc>
        <w:tc>
          <w:tcPr>
            <w:tcW w:w="1928" w:type="dxa"/>
            <w:tcBorders>
              <w:top w:val="single" w:color="auto" w:sz="4" w:space="0"/>
              <w:left w:val="nil"/>
              <w:bottom w:val="single" w:color="auto" w:sz="4" w:space="0"/>
              <w:right w:val="single" w:color="auto" w:sz="4" w:space="0"/>
            </w:tcBorders>
            <w:vAlign w:val="center"/>
          </w:tcPr>
          <w:p>
            <w:pPr>
              <w:jc w:val="center"/>
              <w:rPr>
                <w:bCs/>
                <w:sz w:val="24"/>
              </w:rPr>
            </w:pPr>
          </w:p>
        </w:tc>
        <w:tc>
          <w:tcPr>
            <w:tcW w:w="2027" w:type="dxa"/>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870" w:type="dxa"/>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1</w:t>
            </w:r>
          </w:p>
        </w:tc>
        <w:tc>
          <w:tcPr>
            <w:tcW w:w="1363" w:type="dxa"/>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1</w:t>
            </w:r>
          </w:p>
        </w:tc>
        <w:tc>
          <w:tcPr>
            <w:tcW w:w="2126" w:type="dxa"/>
            <w:tcBorders>
              <w:top w:val="nil"/>
              <w:left w:val="nil"/>
              <w:bottom w:val="single" w:color="auto" w:sz="4" w:space="0"/>
              <w:right w:val="single" w:color="auto" w:sz="4" w:space="0"/>
            </w:tcBorders>
            <w:vAlign w:val="center"/>
          </w:tcPr>
          <w:p>
            <w:pPr>
              <w:jc w:val="center"/>
              <w:rPr>
                <w:bCs/>
                <w:sz w:val="24"/>
              </w:rPr>
            </w:pPr>
            <w:r>
              <w:rPr>
                <w:bCs/>
                <w:sz w:val="24"/>
              </w:rPr>
              <w:t xml:space="preserve"> </w:t>
            </w:r>
          </w:p>
        </w:tc>
        <w:tc>
          <w:tcPr>
            <w:tcW w:w="1365" w:type="dxa"/>
            <w:tcBorders>
              <w:top w:val="nil"/>
              <w:left w:val="nil"/>
              <w:bottom w:val="single" w:color="auto" w:sz="4" w:space="0"/>
              <w:right w:val="single" w:color="auto" w:sz="4" w:space="0"/>
            </w:tcBorders>
            <w:vAlign w:val="center"/>
          </w:tcPr>
          <w:p>
            <w:pPr>
              <w:jc w:val="center"/>
              <w:rPr>
                <w:bCs/>
                <w:sz w:val="24"/>
              </w:rPr>
            </w:pPr>
          </w:p>
        </w:tc>
        <w:tc>
          <w:tcPr>
            <w:tcW w:w="1928" w:type="dxa"/>
            <w:tcBorders>
              <w:top w:val="single" w:color="auto" w:sz="4" w:space="0"/>
              <w:left w:val="nil"/>
              <w:bottom w:val="single" w:color="auto" w:sz="4" w:space="0"/>
              <w:right w:val="single" w:color="auto" w:sz="4" w:space="0"/>
            </w:tcBorders>
            <w:vAlign w:val="center"/>
          </w:tcPr>
          <w:p>
            <w:pPr>
              <w:jc w:val="center"/>
              <w:rPr>
                <w:bCs/>
                <w:sz w:val="24"/>
              </w:rPr>
            </w:pPr>
          </w:p>
        </w:tc>
        <w:tc>
          <w:tcPr>
            <w:tcW w:w="2027" w:type="dxa"/>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870" w:type="dxa"/>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2</w:t>
            </w:r>
          </w:p>
        </w:tc>
        <w:tc>
          <w:tcPr>
            <w:tcW w:w="1363" w:type="dxa"/>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2</w:t>
            </w:r>
          </w:p>
        </w:tc>
        <w:tc>
          <w:tcPr>
            <w:tcW w:w="2126" w:type="dxa"/>
            <w:tcBorders>
              <w:top w:val="nil"/>
              <w:left w:val="nil"/>
              <w:bottom w:val="single" w:color="auto" w:sz="4" w:space="0"/>
              <w:right w:val="single" w:color="auto" w:sz="4" w:space="0"/>
            </w:tcBorders>
            <w:vAlign w:val="center"/>
          </w:tcPr>
          <w:p>
            <w:pPr>
              <w:jc w:val="center"/>
              <w:rPr>
                <w:bCs/>
                <w:sz w:val="24"/>
              </w:rPr>
            </w:pPr>
            <w:r>
              <w:rPr>
                <w:bCs/>
                <w:sz w:val="24"/>
              </w:rPr>
              <w:t xml:space="preserve"> </w:t>
            </w:r>
          </w:p>
        </w:tc>
        <w:tc>
          <w:tcPr>
            <w:tcW w:w="1365" w:type="dxa"/>
            <w:tcBorders>
              <w:top w:val="nil"/>
              <w:left w:val="nil"/>
              <w:bottom w:val="single" w:color="auto" w:sz="4" w:space="0"/>
              <w:right w:val="single" w:color="auto" w:sz="4" w:space="0"/>
            </w:tcBorders>
            <w:vAlign w:val="center"/>
          </w:tcPr>
          <w:p>
            <w:pPr>
              <w:jc w:val="center"/>
              <w:rPr>
                <w:bCs/>
                <w:sz w:val="24"/>
              </w:rPr>
            </w:pPr>
          </w:p>
        </w:tc>
        <w:tc>
          <w:tcPr>
            <w:tcW w:w="1928" w:type="dxa"/>
            <w:tcBorders>
              <w:top w:val="single" w:color="auto" w:sz="4" w:space="0"/>
              <w:left w:val="nil"/>
              <w:bottom w:val="single" w:color="auto" w:sz="4" w:space="0"/>
              <w:right w:val="single" w:color="auto" w:sz="4" w:space="0"/>
            </w:tcBorders>
            <w:vAlign w:val="center"/>
          </w:tcPr>
          <w:p>
            <w:pPr>
              <w:jc w:val="center"/>
              <w:rPr>
                <w:bCs/>
                <w:sz w:val="24"/>
              </w:rPr>
            </w:pPr>
          </w:p>
        </w:tc>
        <w:tc>
          <w:tcPr>
            <w:tcW w:w="2027" w:type="dxa"/>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870" w:type="dxa"/>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3</w:t>
            </w:r>
          </w:p>
        </w:tc>
        <w:tc>
          <w:tcPr>
            <w:tcW w:w="1363" w:type="dxa"/>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3</w:t>
            </w:r>
          </w:p>
        </w:tc>
        <w:tc>
          <w:tcPr>
            <w:tcW w:w="2126" w:type="dxa"/>
            <w:tcBorders>
              <w:top w:val="nil"/>
              <w:left w:val="nil"/>
              <w:bottom w:val="single" w:color="auto" w:sz="4" w:space="0"/>
              <w:right w:val="single" w:color="auto" w:sz="4" w:space="0"/>
            </w:tcBorders>
            <w:vAlign w:val="center"/>
          </w:tcPr>
          <w:p>
            <w:pPr>
              <w:jc w:val="center"/>
              <w:rPr>
                <w:bCs/>
                <w:sz w:val="24"/>
              </w:rPr>
            </w:pPr>
            <w:r>
              <w:rPr>
                <w:bCs/>
                <w:sz w:val="24"/>
              </w:rPr>
              <w:t xml:space="preserve"> </w:t>
            </w:r>
          </w:p>
        </w:tc>
        <w:tc>
          <w:tcPr>
            <w:tcW w:w="1365" w:type="dxa"/>
            <w:tcBorders>
              <w:top w:val="nil"/>
              <w:left w:val="nil"/>
              <w:bottom w:val="single" w:color="auto" w:sz="4" w:space="0"/>
              <w:right w:val="single" w:color="auto" w:sz="4" w:space="0"/>
            </w:tcBorders>
            <w:vAlign w:val="center"/>
          </w:tcPr>
          <w:p>
            <w:pPr>
              <w:jc w:val="center"/>
              <w:rPr>
                <w:bCs/>
                <w:sz w:val="24"/>
              </w:rPr>
            </w:pPr>
          </w:p>
        </w:tc>
        <w:tc>
          <w:tcPr>
            <w:tcW w:w="1928" w:type="dxa"/>
            <w:tcBorders>
              <w:top w:val="single" w:color="auto" w:sz="4" w:space="0"/>
              <w:left w:val="nil"/>
              <w:bottom w:val="single" w:color="auto" w:sz="4" w:space="0"/>
              <w:right w:val="single" w:color="auto" w:sz="4" w:space="0"/>
            </w:tcBorders>
            <w:vAlign w:val="center"/>
          </w:tcPr>
          <w:p>
            <w:pPr>
              <w:jc w:val="center"/>
              <w:rPr>
                <w:bCs/>
                <w:sz w:val="24"/>
              </w:rPr>
            </w:pPr>
          </w:p>
        </w:tc>
        <w:tc>
          <w:tcPr>
            <w:tcW w:w="2027" w:type="dxa"/>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870" w:type="dxa"/>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 xml:space="preserve">   </w:t>
            </w:r>
          </w:p>
        </w:tc>
        <w:tc>
          <w:tcPr>
            <w:tcW w:w="1363" w:type="dxa"/>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w:t>
            </w:r>
          </w:p>
        </w:tc>
        <w:tc>
          <w:tcPr>
            <w:tcW w:w="2126" w:type="dxa"/>
            <w:tcBorders>
              <w:top w:val="nil"/>
              <w:left w:val="nil"/>
              <w:bottom w:val="single" w:color="auto" w:sz="4" w:space="0"/>
              <w:right w:val="single" w:color="auto" w:sz="4" w:space="0"/>
            </w:tcBorders>
            <w:vAlign w:val="center"/>
          </w:tcPr>
          <w:p>
            <w:pPr>
              <w:jc w:val="center"/>
              <w:rPr>
                <w:bCs/>
                <w:sz w:val="24"/>
              </w:rPr>
            </w:pPr>
          </w:p>
        </w:tc>
        <w:tc>
          <w:tcPr>
            <w:tcW w:w="1365" w:type="dxa"/>
            <w:tcBorders>
              <w:top w:val="nil"/>
              <w:left w:val="nil"/>
              <w:bottom w:val="single" w:color="auto" w:sz="4" w:space="0"/>
              <w:right w:val="single" w:color="auto" w:sz="4" w:space="0"/>
            </w:tcBorders>
            <w:vAlign w:val="center"/>
          </w:tcPr>
          <w:p>
            <w:pPr>
              <w:jc w:val="center"/>
              <w:rPr>
                <w:bCs/>
                <w:sz w:val="24"/>
              </w:rPr>
            </w:pPr>
          </w:p>
        </w:tc>
        <w:tc>
          <w:tcPr>
            <w:tcW w:w="1928" w:type="dxa"/>
            <w:tcBorders>
              <w:top w:val="single" w:color="auto" w:sz="4" w:space="0"/>
              <w:left w:val="nil"/>
              <w:bottom w:val="single" w:color="auto" w:sz="4" w:space="0"/>
              <w:right w:val="single" w:color="auto" w:sz="4" w:space="0"/>
            </w:tcBorders>
            <w:vAlign w:val="center"/>
          </w:tcPr>
          <w:p>
            <w:pPr>
              <w:jc w:val="center"/>
              <w:rPr>
                <w:bCs/>
                <w:sz w:val="24"/>
              </w:rPr>
            </w:pPr>
          </w:p>
        </w:tc>
        <w:tc>
          <w:tcPr>
            <w:tcW w:w="2027" w:type="dxa"/>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二</w:t>
            </w:r>
          </w:p>
        </w:tc>
        <w:tc>
          <w:tcPr>
            <w:tcW w:w="1363" w:type="dxa"/>
            <w:tcBorders>
              <w:top w:val="single" w:color="auto" w:sz="4" w:space="0"/>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项目</w:t>
            </w:r>
            <w:r>
              <w:rPr>
                <w:rFonts w:ascii="宋体" w:hAnsi="宋体"/>
                <w:bCs/>
                <w:sz w:val="24"/>
              </w:rPr>
              <w:t>2</w:t>
            </w:r>
          </w:p>
        </w:tc>
        <w:tc>
          <w:tcPr>
            <w:tcW w:w="2126" w:type="dxa"/>
            <w:tcBorders>
              <w:top w:val="single" w:color="auto" w:sz="4" w:space="0"/>
              <w:left w:val="nil"/>
              <w:bottom w:val="single" w:color="auto" w:sz="4" w:space="0"/>
              <w:right w:val="single" w:color="auto" w:sz="4" w:space="0"/>
            </w:tcBorders>
            <w:vAlign w:val="center"/>
          </w:tcPr>
          <w:p>
            <w:pPr>
              <w:jc w:val="center"/>
              <w:rPr>
                <w:bCs/>
                <w:sz w:val="24"/>
              </w:rPr>
            </w:pPr>
            <w:r>
              <w:rPr>
                <w:bCs/>
                <w:sz w:val="24"/>
              </w:rPr>
              <w:t xml:space="preserve"> </w:t>
            </w:r>
          </w:p>
        </w:tc>
        <w:tc>
          <w:tcPr>
            <w:tcW w:w="1365" w:type="dxa"/>
            <w:tcBorders>
              <w:top w:val="single" w:color="auto" w:sz="4" w:space="0"/>
              <w:left w:val="nil"/>
              <w:bottom w:val="single" w:color="auto" w:sz="4" w:space="0"/>
              <w:right w:val="single" w:color="auto" w:sz="4" w:space="0"/>
            </w:tcBorders>
            <w:vAlign w:val="center"/>
          </w:tcPr>
          <w:p>
            <w:pPr>
              <w:jc w:val="center"/>
              <w:rPr>
                <w:bCs/>
                <w:sz w:val="24"/>
              </w:rPr>
            </w:pPr>
          </w:p>
        </w:tc>
        <w:tc>
          <w:tcPr>
            <w:tcW w:w="1928" w:type="dxa"/>
            <w:tcBorders>
              <w:top w:val="single" w:color="auto" w:sz="4" w:space="0"/>
              <w:left w:val="nil"/>
              <w:bottom w:val="single" w:color="auto" w:sz="4" w:space="0"/>
              <w:right w:val="single" w:color="auto" w:sz="4" w:space="0"/>
            </w:tcBorders>
            <w:vAlign w:val="center"/>
          </w:tcPr>
          <w:p>
            <w:pPr>
              <w:jc w:val="center"/>
              <w:rPr>
                <w:bCs/>
                <w:sz w:val="24"/>
              </w:rPr>
            </w:pPr>
          </w:p>
        </w:tc>
        <w:tc>
          <w:tcPr>
            <w:tcW w:w="2027" w:type="dxa"/>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1</w:t>
            </w:r>
          </w:p>
        </w:tc>
        <w:tc>
          <w:tcPr>
            <w:tcW w:w="1363" w:type="dxa"/>
            <w:tcBorders>
              <w:top w:val="single" w:color="auto" w:sz="4" w:space="0"/>
              <w:left w:val="nil"/>
              <w:bottom w:val="single" w:color="auto" w:sz="4" w:space="0"/>
              <w:right w:val="single" w:color="auto" w:sz="4" w:space="0"/>
            </w:tcBorders>
            <w:vAlign w:val="center"/>
          </w:tcPr>
          <w:p>
            <w:pPr>
              <w:jc w:val="center"/>
              <w:rPr>
                <w:rFonts w:ascii="宋体" w:hAnsi="宋体"/>
                <w:bCs/>
                <w:sz w:val="24"/>
              </w:rPr>
            </w:pPr>
            <w:r>
              <w:rPr>
                <w:rFonts w:ascii="宋体" w:hAnsi="宋体"/>
                <w:bCs/>
                <w:sz w:val="24"/>
              </w:rPr>
              <w:t xml:space="preserve"> </w:t>
            </w:r>
            <w:r>
              <w:rPr>
                <w:rFonts w:hint="eastAsia" w:ascii="宋体" w:hAnsi="宋体"/>
                <w:bCs/>
                <w:sz w:val="24"/>
              </w:rPr>
              <w:t>指标</w:t>
            </w:r>
            <w:r>
              <w:rPr>
                <w:rFonts w:ascii="宋体" w:hAnsi="宋体"/>
                <w:bCs/>
                <w:sz w:val="24"/>
              </w:rPr>
              <w:t>1</w:t>
            </w:r>
          </w:p>
        </w:tc>
        <w:tc>
          <w:tcPr>
            <w:tcW w:w="2126" w:type="dxa"/>
            <w:tcBorders>
              <w:top w:val="single" w:color="auto" w:sz="4" w:space="0"/>
              <w:left w:val="nil"/>
              <w:bottom w:val="single" w:color="auto" w:sz="4" w:space="0"/>
              <w:right w:val="single" w:color="auto" w:sz="4" w:space="0"/>
            </w:tcBorders>
            <w:vAlign w:val="center"/>
          </w:tcPr>
          <w:p>
            <w:pPr>
              <w:jc w:val="center"/>
              <w:rPr>
                <w:bCs/>
                <w:sz w:val="24"/>
              </w:rPr>
            </w:pPr>
            <w:r>
              <w:rPr>
                <w:bCs/>
                <w:sz w:val="24"/>
              </w:rPr>
              <w:t xml:space="preserve"> </w:t>
            </w:r>
          </w:p>
        </w:tc>
        <w:tc>
          <w:tcPr>
            <w:tcW w:w="1365" w:type="dxa"/>
            <w:tcBorders>
              <w:top w:val="single" w:color="auto" w:sz="4" w:space="0"/>
              <w:left w:val="nil"/>
              <w:bottom w:val="single" w:color="auto" w:sz="4" w:space="0"/>
              <w:right w:val="single" w:color="auto" w:sz="4" w:space="0"/>
            </w:tcBorders>
            <w:vAlign w:val="center"/>
          </w:tcPr>
          <w:p>
            <w:pPr>
              <w:jc w:val="center"/>
              <w:rPr>
                <w:bCs/>
                <w:sz w:val="24"/>
              </w:rPr>
            </w:pPr>
          </w:p>
        </w:tc>
        <w:tc>
          <w:tcPr>
            <w:tcW w:w="1928" w:type="dxa"/>
            <w:tcBorders>
              <w:top w:val="single" w:color="auto" w:sz="4" w:space="0"/>
              <w:left w:val="nil"/>
              <w:bottom w:val="single" w:color="auto" w:sz="4" w:space="0"/>
              <w:right w:val="single" w:color="auto" w:sz="4" w:space="0"/>
            </w:tcBorders>
            <w:vAlign w:val="center"/>
          </w:tcPr>
          <w:p>
            <w:pPr>
              <w:jc w:val="center"/>
              <w:rPr>
                <w:bCs/>
                <w:sz w:val="24"/>
              </w:rPr>
            </w:pPr>
          </w:p>
        </w:tc>
        <w:tc>
          <w:tcPr>
            <w:tcW w:w="2027" w:type="dxa"/>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2</w:t>
            </w:r>
          </w:p>
        </w:tc>
        <w:tc>
          <w:tcPr>
            <w:tcW w:w="1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 xml:space="preserve"> </w:t>
            </w:r>
            <w:r>
              <w:rPr>
                <w:rFonts w:hint="eastAsia" w:ascii="宋体" w:hAnsi="宋体"/>
                <w:bCs/>
                <w:sz w:val="24"/>
              </w:rPr>
              <w:t>指标</w:t>
            </w:r>
            <w:r>
              <w:rPr>
                <w:rFonts w:ascii="宋体" w:hAnsi="宋体"/>
                <w:bCs/>
                <w:sz w:val="24"/>
              </w:rPr>
              <w:t>2</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 xml:space="preserve"> </w:t>
            </w:r>
          </w:p>
        </w:tc>
        <w:tc>
          <w:tcPr>
            <w:tcW w:w="1365"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2027"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3</w:t>
            </w:r>
          </w:p>
        </w:tc>
        <w:tc>
          <w:tcPr>
            <w:tcW w:w="1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3</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2027"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870"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363"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2027"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9679" w:type="dxa"/>
            <w:gridSpan w:val="6"/>
            <w:tcBorders>
              <w:top w:val="single" w:color="auto" w:sz="4" w:space="0"/>
              <w:left w:val="single" w:color="auto" w:sz="4" w:space="0"/>
              <w:bottom w:val="single" w:color="auto" w:sz="4" w:space="0"/>
              <w:right w:val="single" w:color="auto" w:sz="4" w:space="0"/>
            </w:tcBorders>
            <w:vAlign w:val="center"/>
          </w:tcPr>
          <w:p>
            <w:pPr>
              <w:spacing w:line="276" w:lineRule="auto"/>
              <w:rPr>
                <w:bCs/>
                <w:sz w:val="24"/>
              </w:rPr>
            </w:pPr>
            <w:r>
              <w:rPr>
                <w:rFonts w:hint="eastAsia"/>
                <w:bCs/>
                <w:sz w:val="24"/>
              </w:rPr>
              <w:t>备注：投标供应商按照《商务评审标准表》编制此表。投标供应商应当根据本单位实际情况填写指标值或评分项，并标注相关证明材料在资格证明文件或商务技术文件的位置页码，投标供应商不得虚报、瞒报、漏报或虚假承诺。</w:t>
            </w:r>
          </w:p>
        </w:tc>
      </w:tr>
    </w:tbl>
    <w:p>
      <w:pPr>
        <w:widowControl/>
        <w:ind w:firstLine="420" w:firstLineChars="200"/>
        <w:jc w:val="left"/>
        <w:rPr>
          <w:rFonts w:ascii="Arial" w:hAnsi="Arial" w:eastAsia="黑体"/>
          <w:bCs/>
          <w:sz w:val="28"/>
          <w:szCs w:val="28"/>
        </w:rPr>
      </w:pPr>
      <w:r>
        <w:rPr>
          <w:bCs/>
        </w:rPr>
        <w:br w:type="page"/>
      </w:r>
    </w:p>
    <w:p>
      <w:pPr>
        <w:pStyle w:val="5"/>
        <w:spacing w:before="120" w:beforeLines="50" w:after="120" w:afterLines="50"/>
        <w:rPr>
          <w:rFonts w:ascii="宋体" w:hAnsi="宋体"/>
          <w:b w:val="0"/>
        </w:rPr>
      </w:pPr>
      <w:bookmarkStart w:id="323" w:name="_Toc32128"/>
      <w:bookmarkStart w:id="324" w:name="_Toc17322"/>
      <w:bookmarkStart w:id="325" w:name="_Toc32541"/>
      <w:bookmarkStart w:id="326" w:name="_Toc26765"/>
      <w:r>
        <w:rPr>
          <w:rFonts w:hint="eastAsia"/>
          <w:b w:val="0"/>
        </w:rPr>
        <w:t>附件</w:t>
      </w:r>
      <w:r>
        <w:rPr>
          <w:b w:val="0"/>
        </w:rPr>
        <w:t xml:space="preserve">2-3 </w:t>
      </w:r>
      <w:r>
        <w:rPr>
          <w:rFonts w:hint="eastAsia"/>
          <w:b w:val="0"/>
        </w:rPr>
        <w:t>技术评审索引表</w:t>
      </w:r>
      <w:bookmarkEnd w:id="323"/>
      <w:bookmarkEnd w:id="324"/>
      <w:bookmarkEnd w:id="325"/>
      <w:bookmarkEnd w:id="326"/>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技术评审索引表</w:t>
      </w:r>
    </w:p>
    <w:p>
      <w:pPr>
        <w:spacing w:line="400" w:lineRule="exact"/>
        <w:rPr>
          <w:rFonts w:ascii="黑体" w:hAnsi="黑体" w:eastAsia="黑体"/>
          <w:bCs/>
          <w:sz w:val="28"/>
          <w:szCs w:val="28"/>
        </w:rPr>
      </w:pPr>
      <w:r>
        <w:rPr>
          <w:rFonts w:hint="eastAsia" w:ascii="黑体" w:hAnsi="黑体" w:eastAsia="黑体"/>
          <w:bCs/>
          <w:sz w:val="28"/>
          <w:szCs w:val="28"/>
        </w:rPr>
        <w:t>投标供应商务必在商务技术文件正文前制作本索引表。</w:t>
      </w:r>
    </w:p>
    <w:tbl>
      <w:tblPr>
        <w:tblStyle w:val="42"/>
        <w:tblW w:w="9746" w:type="dxa"/>
        <w:jc w:val="center"/>
        <w:tblLayout w:type="fixed"/>
        <w:tblCellMar>
          <w:top w:w="0" w:type="dxa"/>
          <w:left w:w="108" w:type="dxa"/>
          <w:bottom w:w="0" w:type="dxa"/>
          <w:right w:w="108" w:type="dxa"/>
        </w:tblCellMar>
      </w:tblPr>
      <w:tblGrid>
        <w:gridCol w:w="1012"/>
        <w:gridCol w:w="1557"/>
        <w:gridCol w:w="1649"/>
        <w:gridCol w:w="1290"/>
        <w:gridCol w:w="1936"/>
        <w:gridCol w:w="2302"/>
      </w:tblGrid>
      <w:tr>
        <w:tblPrEx>
          <w:tblCellMar>
            <w:top w:w="0" w:type="dxa"/>
            <w:left w:w="108" w:type="dxa"/>
            <w:bottom w:w="0" w:type="dxa"/>
            <w:right w:w="108" w:type="dxa"/>
          </w:tblCellMar>
        </w:tblPrEx>
        <w:trPr>
          <w:trHeight w:val="680" w:hRule="atLeast"/>
          <w:jc w:val="center"/>
        </w:trPr>
        <w:tc>
          <w:tcPr>
            <w:tcW w:w="1012" w:type="dxa"/>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序号</w:t>
            </w:r>
          </w:p>
        </w:tc>
        <w:tc>
          <w:tcPr>
            <w:tcW w:w="1557" w:type="dxa"/>
            <w:vMerge w:val="restar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评审项目</w:t>
            </w:r>
          </w:p>
        </w:tc>
        <w:tc>
          <w:tcPr>
            <w:tcW w:w="1649" w:type="dxa"/>
            <w:vMerge w:val="restar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评审内容及规则</w:t>
            </w:r>
          </w:p>
        </w:tc>
        <w:tc>
          <w:tcPr>
            <w:tcW w:w="1290" w:type="dxa"/>
            <w:vMerge w:val="restar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标准分值</w:t>
            </w:r>
          </w:p>
        </w:tc>
        <w:tc>
          <w:tcPr>
            <w:tcW w:w="4238" w:type="dxa"/>
            <w:gridSpan w:val="2"/>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投标供应商填写</w:t>
            </w:r>
          </w:p>
        </w:tc>
      </w:tr>
      <w:tr>
        <w:tblPrEx>
          <w:tblCellMar>
            <w:top w:w="0" w:type="dxa"/>
            <w:left w:w="108" w:type="dxa"/>
            <w:bottom w:w="0" w:type="dxa"/>
            <w:right w:w="108" w:type="dxa"/>
          </w:tblCellMar>
        </w:tblPrEx>
        <w:trPr>
          <w:trHeight w:val="680" w:hRule="atLeast"/>
          <w:jc w:val="center"/>
        </w:trPr>
        <w:tc>
          <w:tcPr>
            <w:tcW w:w="1012" w:type="dxa"/>
            <w:vMerge w:val="continue"/>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557" w:type="dxa"/>
            <w:vMerge w:val="continue"/>
            <w:tcBorders>
              <w:top w:val="single" w:color="auto" w:sz="4" w:space="0"/>
              <w:left w:val="nil"/>
              <w:bottom w:val="single" w:color="auto" w:sz="4" w:space="0"/>
              <w:right w:val="single" w:color="auto" w:sz="4" w:space="0"/>
            </w:tcBorders>
            <w:vAlign w:val="center"/>
          </w:tcPr>
          <w:p>
            <w:pPr>
              <w:jc w:val="center"/>
              <w:rPr>
                <w:bCs/>
                <w:sz w:val="24"/>
              </w:rPr>
            </w:pPr>
          </w:p>
        </w:tc>
        <w:tc>
          <w:tcPr>
            <w:tcW w:w="1649" w:type="dxa"/>
            <w:vMerge w:val="continue"/>
            <w:tcBorders>
              <w:top w:val="single" w:color="auto" w:sz="4" w:space="0"/>
              <w:left w:val="nil"/>
              <w:bottom w:val="single" w:color="auto" w:sz="4" w:space="0"/>
              <w:right w:val="single" w:color="auto" w:sz="4" w:space="0"/>
            </w:tcBorders>
            <w:vAlign w:val="center"/>
          </w:tcPr>
          <w:p>
            <w:pPr>
              <w:jc w:val="center"/>
              <w:rPr>
                <w:bCs/>
                <w:sz w:val="24"/>
              </w:rPr>
            </w:pPr>
          </w:p>
        </w:tc>
        <w:tc>
          <w:tcPr>
            <w:tcW w:w="1290" w:type="dxa"/>
            <w:vMerge w:val="continue"/>
            <w:tcBorders>
              <w:top w:val="single" w:color="auto" w:sz="4" w:space="0"/>
              <w:left w:val="nil"/>
              <w:bottom w:val="single" w:color="auto" w:sz="4" w:space="0"/>
              <w:right w:val="single" w:color="auto" w:sz="4" w:space="0"/>
            </w:tcBorders>
            <w:vAlign w:val="center"/>
          </w:tcPr>
          <w:p>
            <w:pPr>
              <w:jc w:val="center"/>
              <w:rPr>
                <w:bCs/>
                <w:sz w:val="24"/>
              </w:rPr>
            </w:pPr>
          </w:p>
        </w:tc>
        <w:tc>
          <w:tcPr>
            <w:tcW w:w="1936" w:type="dxa"/>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指标值或评分项</w:t>
            </w:r>
          </w:p>
        </w:tc>
        <w:tc>
          <w:tcPr>
            <w:tcW w:w="2302" w:type="dxa"/>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文件名称</w:t>
            </w:r>
            <w:r>
              <w:rPr>
                <w:rFonts w:hint="eastAsia" w:ascii="宋体" w:hAnsi="宋体"/>
                <w:bCs/>
                <w:sz w:val="24"/>
              </w:rPr>
              <w:t>∕页码</w:t>
            </w:r>
          </w:p>
        </w:tc>
      </w:tr>
      <w:tr>
        <w:tblPrEx>
          <w:tblCellMar>
            <w:top w:w="0" w:type="dxa"/>
            <w:left w:w="108" w:type="dxa"/>
            <w:bottom w:w="0" w:type="dxa"/>
            <w:right w:w="108" w:type="dxa"/>
          </w:tblCellMar>
        </w:tblPrEx>
        <w:trPr>
          <w:trHeight w:val="680" w:hRule="atLeast"/>
          <w:jc w:val="center"/>
        </w:trPr>
        <w:tc>
          <w:tcPr>
            <w:tcW w:w="1012" w:type="dxa"/>
            <w:tcBorders>
              <w:top w:val="nil"/>
              <w:left w:val="single" w:color="auto" w:sz="4" w:space="0"/>
              <w:bottom w:val="single" w:color="auto" w:sz="4" w:space="0"/>
              <w:right w:val="single" w:color="auto" w:sz="4" w:space="0"/>
            </w:tcBorders>
            <w:vAlign w:val="center"/>
          </w:tcPr>
          <w:p>
            <w:pPr>
              <w:jc w:val="center"/>
              <w:rPr>
                <w:bCs/>
                <w:sz w:val="24"/>
              </w:rPr>
            </w:pPr>
          </w:p>
        </w:tc>
        <w:tc>
          <w:tcPr>
            <w:tcW w:w="1557" w:type="dxa"/>
            <w:tcBorders>
              <w:top w:val="nil"/>
              <w:left w:val="nil"/>
              <w:bottom w:val="single" w:color="auto" w:sz="4" w:space="0"/>
              <w:right w:val="single" w:color="auto" w:sz="4" w:space="0"/>
            </w:tcBorders>
            <w:vAlign w:val="center"/>
          </w:tcPr>
          <w:p>
            <w:pPr>
              <w:jc w:val="center"/>
              <w:rPr>
                <w:bCs/>
                <w:sz w:val="24"/>
              </w:rPr>
            </w:pPr>
            <w:r>
              <w:rPr>
                <w:rFonts w:hint="eastAsia"/>
                <w:bCs/>
                <w:sz w:val="24"/>
              </w:rPr>
              <w:t>合</w:t>
            </w:r>
            <w:r>
              <w:rPr>
                <w:bCs/>
                <w:sz w:val="24"/>
              </w:rPr>
              <w:t xml:space="preserve">  </w:t>
            </w:r>
            <w:r>
              <w:rPr>
                <w:rFonts w:hint="eastAsia"/>
                <w:bCs/>
                <w:sz w:val="24"/>
              </w:rPr>
              <w:t>计</w:t>
            </w:r>
          </w:p>
        </w:tc>
        <w:tc>
          <w:tcPr>
            <w:tcW w:w="1649" w:type="dxa"/>
            <w:tcBorders>
              <w:top w:val="nil"/>
              <w:left w:val="nil"/>
              <w:bottom w:val="single" w:color="auto" w:sz="4" w:space="0"/>
              <w:right w:val="single" w:color="auto" w:sz="4" w:space="0"/>
            </w:tcBorders>
            <w:vAlign w:val="center"/>
          </w:tcPr>
          <w:p>
            <w:pPr>
              <w:jc w:val="center"/>
              <w:rPr>
                <w:bCs/>
                <w:sz w:val="24"/>
              </w:rPr>
            </w:pPr>
          </w:p>
        </w:tc>
        <w:tc>
          <w:tcPr>
            <w:tcW w:w="1290" w:type="dxa"/>
            <w:tcBorders>
              <w:top w:val="nil"/>
              <w:left w:val="nil"/>
              <w:bottom w:val="single" w:color="auto" w:sz="4" w:space="0"/>
              <w:right w:val="single" w:color="auto" w:sz="4" w:space="0"/>
            </w:tcBorders>
            <w:vAlign w:val="center"/>
          </w:tcPr>
          <w:p>
            <w:pPr>
              <w:jc w:val="center"/>
              <w:rPr>
                <w:bCs/>
                <w:sz w:val="24"/>
              </w:rPr>
            </w:pPr>
          </w:p>
        </w:tc>
        <w:tc>
          <w:tcPr>
            <w:tcW w:w="1936" w:type="dxa"/>
            <w:tcBorders>
              <w:top w:val="single" w:color="auto" w:sz="4" w:space="0"/>
              <w:left w:val="nil"/>
              <w:bottom w:val="single" w:color="auto" w:sz="4" w:space="0"/>
              <w:right w:val="single" w:color="auto" w:sz="4" w:space="0"/>
            </w:tcBorders>
            <w:vAlign w:val="center"/>
          </w:tcPr>
          <w:p>
            <w:pPr>
              <w:jc w:val="center"/>
              <w:rPr>
                <w:bCs/>
                <w:sz w:val="24"/>
              </w:rPr>
            </w:pPr>
          </w:p>
        </w:tc>
        <w:tc>
          <w:tcPr>
            <w:tcW w:w="2302" w:type="dxa"/>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1012" w:type="dxa"/>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一</w:t>
            </w:r>
          </w:p>
        </w:tc>
        <w:tc>
          <w:tcPr>
            <w:tcW w:w="1557" w:type="dxa"/>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项目</w:t>
            </w:r>
            <w:r>
              <w:rPr>
                <w:rFonts w:ascii="宋体" w:hAnsi="宋体"/>
                <w:bCs/>
                <w:sz w:val="24"/>
              </w:rPr>
              <w:t>1</w:t>
            </w:r>
          </w:p>
        </w:tc>
        <w:tc>
          <w:tcPr>
            <w:tcW w:w="1649" w:type="dxa"/>
            <w:tcBorders>
              <w:top w:val="nil"/>
              <w:left w:val="nil"/>
              <w:bottom w:val="single" w:color="auto" w:sz="4" w:space="0"/>
              <w:right w:val="single" w:color="auto" w:sz="4" w:space="0"/>
            </w:tcBorders>
            <w:vAlign w:val="center"/>
          </w:tcPr>
          <w:p>
            <w:pPr>
              <w:jc w:val="center"/>
              <w:rPr>
                <w:rFonts w:ascii="宋体" w:hAnsi="宋体"/>
                <w:bCs/>
                <w:sz w:val="24"/>
              </w:rPr>
            </w:pPr>
          </w:p>
        </w:tc>
        <w:tc>
          <w:tcPr>
            <w:tcW w:w="1290" w:type="dxa"/>
            <w:tcBorders>
              <w:top w:val="nil"/>
              <w:left w:val="nil"/>
              <w:bottom w:val="single" w:color="auto" w:sz="4" w:space="0"/>
              <w:right w:val="single" w:color="auto" w:sz="4" w:space="0"/>
            </w:tcBorders>
            <w:vAlign w:val="center"/>
          </w:tcPr>
          <w:p>
            <w:pPr>
              <w:jc w:val="center"/>
              <w:rPr>
                <w:bCs/>
                <w:sz w:val="24"/>
              </w:rPr>
            </w:pPr>
            <w:r>
              <w:rPr>
                <w:bCs/>
                <w:sz w:val="24"/>
              </w:rPr>
              <w:t xml:space="preserve"> </w:t>
            </w:r>
          </w:p>
        </w:tc>
        <w:tc>
          <w:tcPr>
            <w:tcW w:w="1936" w:type="dxa"/>
            <w:tcBorders>
              <w:top w:val="single" w:color="auto" w:sz="4" w:space="0"/>
              <w:left w:val="nil"/>
              <w:bottom w:val="single" w:color="auto" w:sz="4" w:space="0"/>
              <w:right w:val="single" w:color="auto" w:sz="4" w:space="0"/>
            </w:tcBorders>
            <w:vAlign w:val="center"/>
          </w:tcPr>
          <w:p>
            <w:pPr>
              <w:jc w:val="center"/>
              <w:rPr>
                <w:bCs/>
                <w:sz w:val="24"/>
              </w:rPr>
            </w:pPr>
          </w:p>
        </w:tc>
        <w:tc>
          <w:tcPr>
            <w:tcW w:w="2302" w:type="dxa"/>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1012" w:type="dxa"/>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1</w:t>
            </w:r>
          </w:p>
        </w:tc>
        <w:tc>
          <w:tcPr>
            <w:tcW w:w="1557" w:type="dxa"/>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1</w:t>
            </w:r>
          </w:p>
        </w:tc>
        <w:tc>
          <w:tcPr>
            <w:tcW w:w="1649" w:type="dxa"/>
            <w:tcBorders>
              <w:top w:val="nil"/>
              <w:left w:val="nil"/>
              <w:bottom w:val="single" w:color="auto" w:sz="4" w:space="0"/>
              <w:right w:val="single" w:color="auto" w:sz="4" w:space="0"/>
            </w:tcBorders>
            <w:vAlign w:val="center"/>
          </w:tcPr>
          <w:p>
            <w:pPr>
              <w:jc w:val="center"/>
              <w:rPr>
                <w:rFonts w:ascii="宋体" w:hAnsi="宋体"/>
                <w:bCs/>
                <w:sz w:val="24"/>
              </w:rPr>
            </w:pPr>
          </w:p>
        </w:tc>
        <w:tc>
          <w:tcPr>
            <w:tcW w:w="1290" w:type="dxa"/>
            <w:tcBorders>
              <w:top w:val="nil"/>
              <w:left w:val="nil"/>
              <w:bottom w:val="single" w:color="auto" w:sz="4" w:space="0"/>
              <w:right w:val="single" w:color="auto" w:sz="4" w:space="0"/>
            </w:tcBorders>
            <w:vAlign w:val="center"/>
          </w:tcPr>
          <w:p>
            <w:pPr>
              <w:jc w:val="center"/>
              <w:rPr>
                <w:bCs/>
                <w:sz w:val="24"/>
              </w:rPr>
            </w:pPr>
          </w:p>
        </w:tc>
        <w:tc>
          <w:tcPr>
            <w:tcW w:w="1936" w:type="dxa"/>
            <w:tcBorders>
              <w:top w:val="single" w:color="auto" w:sz="4" w:space="0"/>
              <w:left w:val="nil"/>
              <w:bottom w:val="single" w:color="auto" w:sz="4" w:space="0"/>
              <w:right w:val="single" w:color="auto" w:sz="4" w:space="0"/>
            </w:tcBorders>
            <w:vAlign w:val="center"/>
          </w:tcPr>
          <w:p>
            <w:pPr>
              <w:jc w:val="center"/>
              <w:rPr>
                <w:bCs/>
                <w:sz w:val="24"/>
              </w:rPr>
            </w:pPr>
          </w:p>
        </w:tc>
        <w:tc>
          <w:tcPr>
            <w:tcW w:w="2302" w:type="dxa"/>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1012" w:type="dxa"/>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2</w:t>
            </w:r>
          </w:p>
        </w:tc>
        <w:tc>
          <w:tcPr>
            <w:tcW w:w="1557" w:type="dxa"/>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2</w:t>
            </w:r>
          </w:p>
        </w:tc>
        <w:tc>
          <w:tcPr>
            <w:tcW w:w="1649" w:type="dxa"/>
            <w:tcBorders>
              <w:top w:val="nil"/>
              <w:left w:val="nil"/>
              <w:bottom w:val="single" w:color="auto" w:sz="4" w:space="0"/>
              <w:right w:val="single" w:color="auto" w:sz="4" w:space="0"/>
            </w:tcBorders>
            <w:vAlign w:val="center"/>
          </w:tcPr>
          <w:p>
            <w:pPr>
              <w:jc w:val="center"/>
              <w:rPr>
                <w:rFonts w:ascii="宋体" w:hAnsi="宋体"/>
                <w:bCs/>
                <w:sz w:val="24"/>
              </w:rPr>
            </w:pPr>
          </w:p>
        </w:tc>
        <w:tc>
          <w:tcPr>
            <w:tcW w:w="1290" w:type="dxa"/>
            <w:tcBorders>
              <w:top w:val="nil"/>
              <w:left w:val="nil"/>
              <w:bottom w:val="single" w:color="auto" w:sz="4" w:space="0"/>
              <w:right w:val="single" w:color="auto" w:sz="4" w:space="0"/>
            </w:tcBorders>
            <w:vAlign w:val="center"/>
          </w:tcPr>
          <w:p>
            <w:pPr>
              <w:jc w:val="center"/>
              <w:rPr>
                <w:bCs/>
                <w:sz w:val="24"/>
              </w:rPr>
            </w:pPr>
          </w:p>
        </w:tc>
        <w:tc>
          <w:tcPr>
            <w:tcW w:w="1936" w:type="dxa"/>
            <w:tcBorders>
              <w:top w:val="single" w:color="auto" w:sz="4" w:space="0"/>
              <w:left w:val="nil"/>
              <w:bottom w:val="single" w:color="auto" w:sz="4" w:space="0"/>
              <w:right w:val="single" w:color="auto" w:sz="4" w:space="0"/>
            </w:tcBorders>
            <w:vAlign w:val="center"/>
          </w:tcPr>
          <w:p>
            <w:pPr>
              <w:jc w:val="center"/>
              <w:rPr>
                <w:bCs/>
                <w:sz w:val="24"/>
              </w:rPr>
            </w:pPr>
          </w:p>
        </w:tc>
        <w:tc>
          <w:tcPr>
            <w:tcW w:w="2302" w:type="dxa"/>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1012" w:type="dxa"/>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3</w:t>
            </w:r>
          </w:p>
        </w:tc>
        <w:tc>
          <w:tcPr>
            <w:tcW w:w="1557" w:type="dxa"/>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3</w:t>
            </w:r>
          </w:p>
        </w:tc>
        <w:tc>
          <w:tcPr>
            <w:tcW w:w="1649" w:type="dxa"/>
            <w:tcBorders>
              <w:top w:val="nil"/>
              <w:left w:val="nil"/>
              <w:bottom w:val="single" w:color="auto" w:sz="4" w:space="0"/>
              <w:right w:val="single" w:color="auto" w:sz="4" w:space="0"/>
            </w:tcBorders>
            <w:vAlign w:val="center"/>
          </w:tcPr>
          <w:p>
            <w:pPr>
              <w:jc w:val="center"/>
              <w:rPr>
                <w:rFonts w:ascii="宋体" w:hAnsi="宋体"/>
                <w:bCs/>
                <w:sz w:val="24"/>
              </w:rPr>
            </w:pPr>
          </w:p>
        </w:tc>
        <w:tc>
          <w:tcPr>
            <w:tcW w:w="1290" w:type="dxa"/>
            <w:tcBorders>
              <w:top w:val="nil"/>
              <w:left w:val="nil"/>
              <w:bottom w:val="single" w:color="auto" w:sz="4" w:space="0"/>
              <w:right w:val="single" w:color="auto" w:sz="4" w:space="0"/>
            </w:tcBorders>
            <w:vAlign w:val="center"/>
          </w:tcPr>
          <w:p>
            <w:pPr>
              <w:jc w:val="center"/>
              <w:rPr>
                <w:bCs/>
                <w:sz w:val="24"/>
              </w:rPr>
            </w:pPr>
          </w:p>
        </w:tc>
        <w:tc>
          <w:tcPr>
            <w:tcW w:w="1936" w:type="dxa"/>
            <w:tcBorders>
              <w:top w:val="single" w:color="auto" w:sz="4" w:space="0"/>
              <w:left w:val="nil"/>
              <w:bottom w:val="single" w:color="auto" w:sz="4" w:space="0"/>
              <w:right w:val="single" w:color="auto" w:sz="4" w:space="0"/>
            </w:tcBorders>
            <w:vAlign w:val="center"/>
          </w:tcPr>
          <w:p>
            <w:pPr>
              <w:jc w:val="center"/>
              <w:rPr>
                <w:bCs/>
                <w:sz w:val="24"/>
              </w:rPr>
            </w:pPr>
          </w:p>
        </w:tc>
        <w:tc>
          <w:tcPr>
            <w:tcW w:w="2302" w:type="dxa"/>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1012" w:type="dxa"/>
            <w:tcBorders>
              <w:top w:val="nil"/>
              <w:left w:val="single" w:color="auto" w:sz="4" w:space="0"/>
              <w:bottom w:val="single" w:color="auto" w:sz="4" w:space="0"/>
              <w:right w:val="single" w:color="auto" w:sz="4" w:space="0"/>
            </w:tcBorders>
            <w:vAlign w:val="center"/>
          </w:tcPr>
          <w:p>
            <w:pPr>
              <w:jc w:val="center"/>
              <w:rPr>
                <w:rFonts w:ascii="宋体" w:hAnsi="宋体"/>
                <w:bCs/>
                <w:sz w:val="24"/>
              </w:rPr>
            </w:pPr>
          </w:p>
        </w:tc>
        <w:tc>
          <w:tcPr>
            <w:tcW w:w="1557" w:type="dxa"/>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w:t>
            </w:r>
          </w:p>
        </w:tc>
        <w:tc>
          <w:tcPr>
            <w:tcW w:w="1649" w:type="dxa"/>
            <w:tcBorders>
              <w:top w:val="nil"/>
              <w:left w:val="nil"/>
              <w:bottom w:val="single" w:color="auto" w:sz="4" w:space="0"/>
              <w:right w:val="single" w:color="auto" w:sz="4" w:space="0"/>
            </w:tcBorders>
            <w:vAlign w:val="center"/>
          </w:tcPr>
          <w:p>
            <w:pPr>
              <w:jc w:val="center"/>
              <w:rPr>
                <w:rFonts w:ascii="宋体" w:hAnsi="宋体"/>
                <w:bCs/>
                <w:sz w:val="24"/>
              </w:rPr>
            </w:pPr>
          </w:p>
        </w:tc>
        <w:tc>
          <w:tcPr>
            <w:tcW w:w="1290" w:type="dxa"/>
            <w:tcBorders>
              <w:top w:val="nil"/>
              <w:left w:val="nil"/>
              <w:bottom w:val="single" w:color="auto" w:sz="4" w:space="0"/>
              <w:right w:val="single" w:color="auto" w:sz="4" w:space="0"/>
            </w:tcBorders>
            <w:vAlign w:val="center"/>
          </w:tcPr>
          <w:p>
            <w:pPr>
              <w:jc w:val="center"/>
              <w:rPr>
                <w:bCs/>
                <w:sz w:val="24"/>
              </w:rPr>
            </w:pPr>
          </w:p>
        </w:tc>
        <w:tc>
          <w:tcPr>
            <w:tcW w:w="1936" w:type="dxa"/>
            <w:tcBorders>
              <w:top w:val="single" w:color="auto" w:sz="4" w:space="0"/>
              <w:left w:val="nil"/>
              <w:bottom w:val="single" w:color="auto" w:sz="4" w:space="0"/>
              <w:right w:val="single" w:color="auto" w:sz="4" w:space="0"/>
            </w:tcBorders>
            <w:vAlign w:val="center"/>
          </w:tcPr>
          <w:p>
            <w:pPr>
              <w:jc w:val="center"/>
              <w:rPr>
                <w:bCs/>
                <w:sz w:val="24"/>
              </w:rPr>
            </w:pPr>
          </w:p>
        </w:tc>
        <w:tc>
          <w:tcPr>
            <w:tcW w:w="2302" w:type="dxa"/>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10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二</w:t>
            </w:r>
          </w:p>
        </w:tc>
        <w:tc>
          <w:tcPr>
            <w:tcW w:w="1557" w:type="dxa"/>
            <w:tcBorders>
              <w:top w:val="single" w:color="auto" w:sz="4" w:space="0"/>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项目</w:t>
            </w:r>
            <w:r>
              <w:rPr>
                <w:rFonts w:ascii="宋体" w:hAnsi="宋体"/>
                <w:bCs/>
                <w:sz w:val="24"/>
              </w:rPr>
              <w:t>2</w:t>
            </w:r>
          </w:p>
        </w:tc>
        <w:tc>
          <w:tcPr>
            <w:tcW w:w="1649" w:type="dxa"/>
            <w:tcBorders>
              <w:top w:val="single" w:color="auto" w:sz="4" w:space="0"/>
              <w:left w:val="nil"/>
              <w:bottom w:val="single" w:color="auto" w:sz="4" w:space="0"/>
              <w:right w:val="single" w:color="auto" w:sz="4" w:space="0"/>
            </w:tcBorders>
            <w:vAlign w:val="center"/>
          </w:tcPr>
          <w:p>
            <w:pPr>
              <w:jc w:val="center"/>
              <w:rPr>
                <w:rFonts w:ascii="宋体" w:hAnsi="宋体"/>
                <w:bCs/>
                <w:sz w:val="24"/>
              </w:rPr>
            </w:pPr>
          </w:p>
        </w:tc>
        <w:tc>
          <w:tcPr>
            <w:tcW w:w="1290" w:type="dxa"/>
            <w:tcBorders>
              <w:top w:val="single" w:color="auto" w:sz="4" w:space="0"/>
              <w:left w:val="nil"/>
              <w:bottom w:val="single" w:color="auto" w:sz="4" w:space="0"/>
              <w:right w:val="single" w:color="auto" w:sz="4" w:space="0"/>
            </w:tcBorders>
            <w:vAlign w:val="center"/>
          </w:tcPr>
          <w:p>
            <w:pPr>
              <w:jc w:val="center"/>
              <w:rPr>
                <w:bCs/>
                <w:sz w:val="24"/>
              </w:rPr>
            </w:pPr>
          </w:p>
        </w:tc>
        <w:tc>
          <w:tcPr>
            <w:tcW w:w="1936" w:type="dxa"/>
            <w:tcBorders>
              <w:top w:val="single" w:color="auto" w:sz="4" w:space="0"/>
              <w:left w:val="nil"/>
              <w:bottom w:val="single" w:color="auto" w:sz="4" w:space="0"/>
              <w:right w:val="single" w:color="auto" w:sz="4" w:space="0"/>
            </w:tcBorders>
            <w:vAlign w:val="center"/>
          </w:tcPr>
          <w:p>
            <w:pPr>
              <w:jc w:val="center"/>
              <w:rPr>
                <w:bCs/>
                <w:sz w:val="24"/>
              </w:rPr>
            </w:pPr>
          </w:p>
        </w:tc>
        <w:tc>
          <w:tcPr>
            <w:tcW w:w="2302" w:type="dxa"/>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10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1</w:t>
            </w:r>
          </w:p>
        </w:tc>
        <w:tc>
          <w:tcPr>
            <w:tcW w:w="1557" w:type="dxa"/>
            <w:tcBorders>
              <w:top w:val="single" w:color="auto" w:sz="4" w:space="0"/>
              <w:left w:val="nil"/>
              <w:bottom w:val="single" w:color="auto" w:sz="4" w:space="0"/>
              <w:right w:val="single" w:color="auto" w:sz="4" w:space="0"/>
            </w:tcBorders>
            <w:vAlign w:val="center"/>
          </w:tcPr>
          <w:p>
            <w:pPr>
              <w:jc w:val="center"/>
              <w:rPr>
                <w:rFonts w:ascii="宋体" w:hAnsi="宋体"/>
                <w:bCs/>
                <w:sz w:val="24"/>
              </w:rPr>
            </w:pPr>
            <w:r>
              <w:rPr>
                <w:rFonts w:ascii="宋体" w:hAnsi="宋体"/>
                <w:bCs/>
                <w:sz w:val="24"/>
              </w:rPr>
              <w:t xml:space="preserve"> </w:t>
            </w:r>
            <w:r>
              <w:rPr>
                <w:rFonts w:hint="eastAsia" w:ascii="宋体" w:hAnsi="宋体"/>
                <w:bCs/>
                <w:sz w:val="24"/>
              </w:rPr>
              <w:t>指标</w:t>
            </w:r>
            <w:r>
              <w:rPr>
                <w:rFonts w:ascii="宋体" w:hAnsi="宋体"/>
                <w:bCs/>
                <w:sz w:val="24"/>
              </w:rPr>
              <w:t>1</w:t>
            </w:r>
          </w:p>
        </w:tc>
        <w:tc>
          <w:tcPr>
            <w:tcW w:w="1649" w:type="dxa"/>
            <w:tcBorders>
              <w:top w:val="single" w:color="auto" w:sz="4" w:space="0"/>
              <w:left w:val="nil"/>
              <w:bottom w:val="single" w:color="auto" w:sz="4" w:space="0"/>
              <w:right w:val="single" w:color="auto" w:sz="4" w:space="0"/>
            </w:tcBorders>
            <w:vAlign w:val="center"/>
          </w:tcPr>
          <w:p>
            <w:pPr>
              <w:jc w:val="center"/>
              <w:rPr>
                <w:rFonts w:ascii="宋体" w:hAnsi="宋体"/>
                <w:bCs/>
                <w:sz w:val="24"/>
              </w:rPr>
            </w:pPr>
          </w:p>
        </w:tc>
        <w:tc>
          <w:tcPr>
            <w:tcW w:w="1290" w:type="dxa"/>
            <w:tcBorders>
              <w:top w:val="single" w:color="auto" w:sz="4" w:space="0"/>
              <w:left w:val="nil"/>
              <w:bottom w:val="single" w:color="auto" w:sz="4" w:space="0"/>
              <w:right w:val="single" w:color="auto" w:sz="4" w:space="0"/>
            </w:tcBorders>
            <w:vAlign w:val="center"/>
          </w:tcPr>
          <w:p>
            <w:pPr>
              <w:jc w:val="center"/>
              <w:rPr>
                <w:bCs/>
                <w:sz w:val="24"/>
              </w:rPr>
            </w:pPr>
          </w:p>
        </w:tc>
        <w:tc>
          <w:tcPr>
            <w:tcW w:w="1936" w:type="dxa"/>
            <w:tcBorders>
              <w:top w:val="single" w:color="auto" w:sz="4" w:space="0"/>
              <w:left w:val="nil"/>
              <w:bottom w:val="single" w:color="auto" w:sz="4" w:space="0"/>
              <w:right w:val="single" w:color="auto" w:sz="4" w:space="0"/>
            </w:tcBorders>
            <w:vAlign w:val="center"/>
          </w:tcPr>
          <w:p>
            <w:pPr>
              <w:jc w:val="center"/>
              <w:rPr>
                <w:bCs/>
                <w:sz w:val="24"/>
              </w:rPr>
            </w:pPr>
          </w:p>
        </w:tc>
        <w:tc>
          <w:tcPr>
            <w:tcW w:w="2302" w:type="dxa"/>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10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2</w:t>
            </w:r>
          </w:p>
        </w:tc>
        <w:tc>
          <w:tcPr>
            <w:tcW w:w="15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 xml:space="preserve"> </w:t>
            </w:r>
            <w:r>
              <w:rPr>
                <w:rFonts w:hint="eastAsia" w:ascii="宋体" w:hAnsi="宋体"/>
                <w:bCs/>
                <w:sz w:val="24"/>
              </w:rPr>
              <w:t>指标</w:t>
            </w:r>
            <w:r>
              <w:rPr>
                <w:rFonts w:ascii="宋体" w:hAnsi="宋体"/>
                <w:bCs/>
                <w:sz w:val="24"/>
              </w:rPr>
              <w:t>2</w:t>
            </w:r>
          </w:p>
        </w:tc>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c>
          <w:tcPr>
            <w:tcW w:w="1290"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936"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2302"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10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3</w:t>
            </w:r>
          </w:p>
        </w:tc>
        <w:tc>
          <w:tcPr>
            <w:tcW w:w="15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3</w:t>
            </w:r>
          </w:p>
        </w:tc>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c>
          <w:tcPr>
            <w:tcW w:w="1290"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936"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2302"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10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c>
          <w:tcPr>
            <w:tcW w:w="15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w:t>
            </w:r>
          </w:p>
        </w:tc>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c>
          <w:tcPr>
            <w:tcW w:w="1290"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936"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2302"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9746" w:type="dxa"/>
            <w:gridSpan w:val="6"/>
            <w:tcBorders>
              <w:top w:val="single" w:color="auto" w:sz="4" w:space="0"/>
              <w:left w:val="single" w:color="auto" w:sz="4" w:space="0"/>
              <w:bottom w:val="single" w:color="auto" w:sz="4" w:space="0"/>
              <w:right w:val="single" w:color="auto" w:sz="4" w:space="0"/>
            </w:tcBorders>
            <w:vAlign w:val="center"/>
          </w:tcPr>
          <w:p>
            <w:pPr>
              <w:spacing w:line="276" w:lineRule="auto"/>
              <w:rPr>
                <w:bCs/>
                <w:sz w:val="24"/>
              </w:rPr>
            </w:pPr>
            <w:r>
              <w:rPr>
                <w:rFonts w:hint="eastAsia"/>
                <w:bCs/>
                <w:sz w:val="24"/>
              </w:rPr>
              <w:t>备注：投标供应商按照《技术评审标准表》编制此表。投标供应商应当根据本单位实际情况填写指标值或评分项，并标注相关证明材料在资格证明文件或商务技术文件的位置页码，投标供应商不得虚报、瞒报、漏报或虚假承诺。</w:t>
            </w:r>
          </w:p>
        </w:tc>
      </w:tr>
    </w:tbl>
    <w:p>
      <w:pPr>
        <w:pStyle w:val="5"/>
        <w:spacing w:after="120" w:afterLines="50"/>
        <w:rPr>
          <w:rFonts w:ascii="宋体" w:hAnsi="宋体"/>
          <w:b w:val="0"/>
        </w:rPr>
      </w:pPr>
      <w:r>
        <w:rPr>
          <w:b w:val="0"/>
        </w:rPr>
        <w:br w:type="page"/>
      </w:r>
      <w:bookmarkStart w:id="327" w:name="_Toc13088"/>
      <w:bookmarkStart w:id="328" w:name="_Toc31106"/>
      <w:bookmarkStart w:id="329" w:name="_Toc20627"/>
      <w:bookmarkStart w:id="330" w:name="_Toc8024"/>
      <w:r>
        <w:rPr>
          <w:rFonts w:hint="eastAsia"/>
          <w:b w:val="0"/>
        </w:rPr>
        <w:t>附件</w:t>
      </w:r>
      <w:r>
        <w:rPr>
          <w:b w:val="0"/>
        </w:rPr>
        <w:t xml:space="preserve">2-4 </w:t>
      </w:r>
      <w:r>
        <w:rPr>
          <w:rFonts w:hint="eastAsia"/>
          <w:b w:val="0"/>
        </w:rPr>
        <w:t>投标函</w:t>
      </w:r>
      <w:bookmarkEnd w:id="327"/>
      <w:bookmarkEnd w:id="328"/>
      <w:bookmarkEnd w:id="329"/>
      <w:bookmarkEnd w:id="330"/>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投标函</w:t>
      </w:r>
    </w:p>
    <w:p>
      <w:pPr>
        <w:spacing w:line="560" w:lineRule="exact"/>
        <w:rPr>
          <w:rFonts w:ascii="宋体" w:hAnsi="宋体"/>
          <w:bCs/>
          <w:sz w:val="28"/>
          <w:szCs w:val="28"/>
        </w:rPr>
      </w:pPr>
      <w:r>
        <w:rPr>
          <w:rFonts w:hint="eastAsia" w:asciiTheme="minorEastAsia" w:hAnsiTheme="minorEastAsia" w:eastAsiaTheme="minorEastAsia"/>
          <w:bCs/>
          <w:sz w:val="28"/>
          <w:szCs w:val="28"/>
          <w:u w:val="single"/>
        </w:rPr>
        <w:t>（采购机构名称）</w:t>
      </w:r>
      <w:r>
        <w:rPr>
          <w:rFonts w:ascii="宋体" w:hAnsi="宋体"/>
          <w:bCs/>
          <w:sz w:val="28"/>
          <w:szCs w:val="28"/>
        </w:rPr>
        <w:t>：</w:t>
      </w:r>
    </w:p>
    <w:p>
      <w:pPr>
        <w:spacing w:line="560" w:lineRule="exact"/>
        <w:ind w:firstLine="560" w:firstLineChars="200"/>
        <w:rPr>
          <w:rFonts w:ascii="宋体" w:hAnsi="宋体"/>
          <w:bCs/>
          <w:sz w:val="28"/>
          <w:szCs w:val="28"/>
        </w:rPr>
      </w:pPr>
      <w:r>
        <w:rPr>
          <w:rFonts w:ascii="宋体" w:hAnsi="宋体"/>
          <w:bCs/>
          <w:sz w:val="28"/>
          <w:szCs w:val="28"/>
        </w:rPr>
        <w:t>我方参加贵部组织的</w:t>
      </w:r>
      <w:r>
        <w:rPr>
          <w:rFonts w:ascii="宋体" w:hAnsi="宋体"/>
          <w:bCs/>
          <w:sz w:val="28"/>
          <w:szCs w:val="28"/>
          <w:u w:val="single"/>
        </w:rPr>
        <w:t>（项目编号</w:t>
      </w:r>
      <w:r>
        <w:rPr>
          <w:rFonts w:hint="eastAsia" w:ascii="宋体" w:hAnsi="宋体"/>
          <w:bCs/>
          <w:sz w:val="28"/>
          <w:szCs w:val="28"/>
          <w:u w:val="single"/>
        </w:rPr>
        <w:t>和</w:t>
      </w:r>
      <w:r>
        <w:rPr>
          <w:rFonts w:ascii="宋体" w:hAnsi="宋体"/>
          <w:bCs/>
          <w:sz w:val="28"/>
          <w:szCs w:val="28"/>
          <w:u w:val="single"/>
        </w:rPr>
        <w:t>项目名称）</w:t>
      </w:r>
      <w:r>
        <w:rPr>
          <w:rFonts w:ascii="宋体" w:hAnsi="宋体"/>
          <w:bCs/>
          <w:sz w:val="28"/>
          <w:szCs w:val="28"/>
        </w:rPr>
        <w:t>招标采购活动，并对</w:t>
      </w:r>
      <w:r>
        <w:rPr>
          <w:rFonts w:ascii="宋体" w:hAnsi="宋体"/>
          <w:bCs/>
          <w:sz w:val="28"/>
          <w:szCs w:val="28"/>
          <w:u w:val="single"/>
        </w:rPr>
        <w:t>（包号或物资名称）</w:t>
      </w:r>
      <w:r>
        <w:rPr>
          <w:rFonts w:ascii="宋体" w:hAnsi="宋体"/>
          <w:bCs/>
          <w:sz w:val="28"/>
          <w:szCs w:val="28"/>
        </w:rPr>
        <w:t>进行投标。</w:t>
      </w:r>
    </w:p>
    <w:p>
      <w:pPr>
        <w:tabs>
          <w:tab w:val="left" w:pos="1020"/>
        </w:tabs>
        <w:spacing w:line="560" w:lineRule="exact"/>
        <w:ind w:firstLine="560" w:firstLineChars="200"/>
        <w:rPr>
          <w:rFonts w:ascii="宋体" w:hAnsi="宋体"/>
          <w:bCs/>
          <w:sz w:val="28"/>
          <w:szCs w:val="28"/>
          <w:highlight w:val="none"/>
        </w:rPr>
      </w:pPr>
      <w:r>
        <w:rPr>
          <w:rFonts w:hint="eastAsia" w:ascii="宋体" w:hAnsi="宋体"/>
          <w:bCs/>
          <w:sz w:val="28"/>
          <w:szCs w:val="28"/>
        </w:rPr>
        <w:t>一</w:t>
      </w:r>
      <w:r>
        <w:rPr>
          <w:rFonts w:hint="eastAsia" w:ascii="宋体" w:hAnsi="宋体"/>
          <w:bCs/>
          <w:sz w:val="28"/>
          <w:szCs w:val="28"/>
          <w:highlight w:val="none"/>
        </w:rPr>
        <w:t>、</w:t>
      </w:r>
      <w:r>
        <w:rPr>
          <w:rFonts w:ascii="宋体" w:hAnsi="宋体"/>
          <w:bCs/>
          <w:color w:val="FF0000"/>
          <w:sz w:val="28"/>
          <w:szCs w:val="28"/>
          <w:highlight w:val="none"/>
        </w:rPr>
        <w:t>按照招标文件</w:t>
      </w:r>
      <w:r>
        <w:rPr>
          <w:rFonts w:hint="eastAsia" w:ascii="宋体" w:hAnsi="宋体"/>
          <w:bCs/>
          <w:color w:val="FF0000"/>
          <w:sz w:val="28"/>
          <w:szCs w:val="28"/>
          <w:highlight w:val="none"/>
        </w:rPr>
        <w:t>要求提</w:t>
      </w:r>
      <w:r>
        <w:rPr>
          <w:rFonts w:ascii="宋体" w:hAnsi="宋体"/>
          <w:bCs/>
          <w:color w:val="FF0000"/>
          <w:sz w:val="28"/>
          <w:szCs w:val="28"/>
          <w:highlight w:val="none"/>
        </w:rPr>
        <w:t>交</w:t>
      </w:r>
      <w:r>
        <w:rPr>
          <w:rFonts w:ascii="宋体" w:hAnsi="宋体"/>
          <w:bCs/>
          <w:color w:val="FF0000"/>
          <w:sz w:val="28"/>
          <w:szCs w:val="28"/>
          <w:highlight w:val="none"/>
          <w:lang w:val="zh-CN"/>
        </w:rPr>
        <w:t>投标文件正本</w:t>
      </w:r>
      <w:r>
        <w:rPr>
          <w:rFonts w:hint="eastAsia" w:ascii="宋体" w:hAnsi="宋体"/>
          <w:bCs/>
          <w:color w:val="FF0000"/>
          <w:sz w:val="28"/>
          <w:szCs w:val="28"/>
          <w:highlight w:val="none"/>
          <w:u w:val="single"/>
          <w:lang w:val="zh-CN"/>
        </w:rPr>
        <w:t>1</w:t>
      </w:r>
      <w:r>
        <w:rPr>
          <w:rFonts w:ascii="宋体" w:hAnsi="宋体"/>
          <w:bCs/>
          <w:color w:val="FF0000"/>
          <w:sz w:val="28"/>
          <w:szCs w:val="28"/>
          <w:highlight w:val="none"/>
          <w:lang w:val="zh-CN"/>
        </w:rPr>
        <w:t>份和副本</w:t>
      </w:r>
      <w:r>
        <w:rPr>
          <w:rFonts w:hint="eastAsia" w:ascii="宋体" w:hAnsi="宋体"/>
          <w:bCs/>
          <w:color w:val="FF0000"/>
          <w:sz w:val="28"/>
          <w:szCs w:val="28"/>
          <w:highlight w:val="none"/>
          <w:u w:val="single"/>
          <w:lang w:val="zh-CN"/>
        </w:rPr>
        <w:t>3</w:t>
      </w:r>
      <w:r>
        <w:rPr>
          <w:rFonts w:ascii="宋体" w:hAnsi="宋体"/>
          <w:bCs/>
          <w:color w:val="FF0000"/>
          <w:sz w:val="28"/>
          <w:szCs w:val="28"/>
          <w:highlight w:val="none"/>
          <w:lang w:val="zh-CN"/>
        </w:rPr>
        <w:t>份</w:t>
      </w:r>
      <w:r>
        <w:rPr>
          <w:rFonts w:ascii="宋体" w:hAnsi="宋体"/>
          <w:bCs/>
          <w:color w:val="FF0000"/>
          <w:sz w:val="28"/>
          <w:szCs w:val="28"/>
          <w:highlight w:val="none"/>
        </w:rPr>
        <w:t>，电子版投标文件</w:t>
      </w:r>
      <w:r>
        <w:rPr>
          <w:rFonts w:hint="eastAsia" w:ascii="宋体" w:hAnsi="宋体"/>
          <w:bCs/>
          <w:color w:val="FF0000"/>
          <w:sz w:val="28"/>
          <w:szCs w:val="28"/>
          <w:highlight w:val="none"/>
          <w:u w:val="single"/>
        </w:rPr>
        <w:t>1</w:t>
      </w:r>
      <w:r>
        <w:rPr>
          <w:rFonts w:ascii="宋体" w:hAnsi="宋体"/>
          <w:bCs/>
          <w:color w:val="FF0000"/>
          <w:sz w:val="28"/>
          <w:szCs w:val="28"/>
          <w:highlight w:val="none"/>
        </w:rPr>
        <w:t>份。其中，</w:t>
      </w:r>
      <w:r>
        <w:rPr>
          <w:rFonts w:hint="eastAsia" w:ascii="宋体" w:hAnsi="宋体"/>
          <w:bCs/>
          <w:color w:val="FF0000"/>
          <w:sz w:val="28"/>
          <w:szCs w:val="28"/>
          <w:highlight w:val="none"/>
        </w:rPr>
        <w:t>“</w:t>
      </w:r>
      <w:r>
        <w:rPr>
          <w:rFonts w:ascii="宋体" w:hAnsi="宋体"/>
          <w:bCs/>
          <w:color w:val="FF0000"/>
          <w:sz w:val="28"/>
          <w:szCs w:val="28"/>
          <w:highlight w:val="none"/>
        </w:rPr>
        <w:t>价格文件</w:t>
      </w:r>
      <w:r>
        <w:rPr>
          <w:rFonts w:hint="eastAsia" w:ascii="宋体" w:hAnsi="宋体"/>
          <w:bCs/>
          <w:color w:val="FF0000"/>
          <w:sz w:val="28"/>
          <w:szCs w:val="28"/>
          <w:highlight w:val="none"/>
        </w:rPr>
        <w:t>”</w:t>
      </w:r>
      <w:r>
        <w:rPr>
          <w:rFonts w:hint="eastAsia" w:ascii="宋体" w:hAnsi="宋体"/>
          <w:bCs/>
          <w:color w:val="FF0000"/>
          <w:sz w:val="28"/>
          <w:szCs w:val="28"/>
          <w:highlight w:val="none"/>
          <w:u w:val="single"/>
        </w:rPr>
        <w:t>3</w:t>
      </w:r>
      <w:r>
        <w:rPr>
          <w:rFonts w:ascii="宋体" w:hAnsi="宋体"/>
          <w:bCs/>
          <w:color w:val="FF0000"/>
          <w:sz w:val="28"/>
          <w:szCs w:val="28"/>
          <w:highlight w:val="none"/>
        </w:rPr>
        <w:t>份单独密封提交。</w:t>
      </w:r>
    </w:p>
    <w:p>
      <w:pPr>
        <w:tabs>
          <w:tab w:val="left" w:pos="1020"/>
        </w:tabs>
        <w:spacing w:line="560" w:lineRule="exact"/>
        <w:ind w:firstLine="560" w:firstLineChars="200"/>
        <w:rPr>
          <w:rFonts w:ascii="宋体" w:hAnsi="宋体"/>
          <w:bCs/>
          <w:sz w:val="28"/>
          <w:szCs w:val="28"/>
        </w:rPr>
      </w:pPr>
      <w:r>
        <w:rPr>
          <w:rFonts w:hint="eastAsia" w:ascii="宋体" w:hAnsi="宋体"/>
          <w:bCs/>
          <w:sz w:val="28"/>
          <w:szCs w:val="28"/>
          <w:lang w:val="zh-CN"/>
        </w:rPr>
        <w:t>二、</w:t>
      </w:r>
      <w:r>
        <w:rPr>
          <w:rFonts w:ascii="宋体" w:hAnsi="宋体"/>
          <w:bCs/>
          <w:sz w:val="28"/>
          <w:szCs w:val="28"/>
          <w:lang w:val="zh-CN"/>
        </w:rPr>
        <w:t>我方已完全理解招标文件的全部内容，自愿接受并执行招标文件的全部条款</w:t>
      </w:r>
      <w:r>
        <w:rPr>
          <w:rFonts w:ascii="宋体" w:hAnsi="宋体"/>
          <w:bCs/>
          <w:sz w:val="28"/>
          <w:szCs w:val="28"/>
        </w:rPr>
        <w:t>。</w:t>
      </w:r>
    </w:p>
    <w:p>
      <w:pPr>
        <w:tabs>
          <w:tab w:val="left" w:pos="1020"/>
        </w:tabs>
        <w:spacing w:line="560" w:lineRule="exact"/>
        <w:ind w:firstLine="560" w:firstLineChars="200"/>
        <w:rPr>
          <w:rFonts w:ascii="宋体" w:hAnsi="宋体"/>
          <w:bCs/>
          <w:sz w:val="28"/>
          <w:szCs w:val="28"/>
        </w:rPr>
      </w:pPr>
      <w:r>
        <w:rPr>
          <w:rFonts w:hint="eastAsia" w:ascii="宋体" w:hAnsi="宋体"/>
          <w:bCs/>
          <w:sz w:val="28"/>
          <w:szCs w:val="28"/>
        </w:rPr>
        <w:t>三、</w:t>
      </w:r>
      <w:r>
        <w:rPr>
          <w:rFonts w:ascii="宋体" w:hAnsi="宋体"/>
          <w:bCs/>
          <w:sz w:val="28"/>
          <w:szCs w:val="28"/>
        </w:rPr>
        <w:t>本投标</w:t>
      </w:r>
      <w:r>
        <w:rPr>
          <w:rFonts w:ascii="宋体" w:hAnsi="宋体"/>
          <w:bCs/>
          <w:sz w:val="28"/>
          <w:szCs w:val="28"/>
          <w:lang w:val="zh-CN"/>
        </w:rPr>
        <w:t>有效期自</w:t>
      </w:r>
      <w:r>
        <w:rPr>
          <w:rFonts w:hint="eastAsia" w:ascii="宋体" w:hAnsi="宋体"/>
          <w:bCs/>
          <w:sz w:val="28"/>
          <w:szCs w:val="28"/>
          <w:lang w:val="zh-CN"/>
        </w:rPr>
        <w:t>提交投标文件的截止之日</w:t>
      </w:r>
      <w:r>
        <w:rPr>
          <w:rFonts w:ascii="宋体" w:hAnsi="宋体"/>
          <w:bCs/>
          <w:sz w:val="28"/>
          <w:szCs w:val="28"/>
          <w:lang w:val="zh-CN"/>
        </w:rPr>
        <w:t>起</w:t>
      </w:r>
      <w:r>
        <w:rPr>
          <w:rFonts w:hint="eastAsia" w:ascii="宋体" w:hAnsi="宋体"/>
          <w:bCs/>
          <w:sz w:val="28"/>
          <w:szCs w:val="28"/>
          <w:u w:val="single"/>
          <w:lang w:val="zh-CN"/>
        </w:rPr>
        <w:t>180</w:t>
      </w:r>
      <w:r>
        <w:rPr>
          <w:rFonts w:ascii="宋体" w:hAnsi="宋体"/>
          <w:bCs/>
          <w:sz w:val="28"/>
          <w:szCs w:val="28"/>
          <w:lang w:val="zh-CN"/>
        </w:rPr>
        <w:t>日内有效</w:t>
      </w:r>
      <w:r>
        <w:rPr>
          <w:rFonts w:ascii="宋体" w:hAnsi="宋体"/>
          <w:bCs/>
          <w:sz w:val="28"/>
          <w:szCs w:val="28"/>
        </w:rPr>
        <w:t>。</w:t>
      </w:r>
    </w:p>
    <w:p>
      <w:pPr>
        <w:tabs>
          <w:tab w:val="left" w:pos="1020"/>
        </w:tabs>
        <w:spacing w:line="560" w:lineRule="exact"/>
        <w:ind w:firstLine="560" w:firstLineChars="200"/>
        <w:rPr>
          <w:rFonts w:ascii="宋体" w:hAnsi="宋体" w:cs="宋体"/>
          <w:bCs/>
          <w:snapToGrid w:val="0"/>
          <w:sz w:val="28"/>
          <w:szCs w:val="28"/>
          <w:lang w:val="zh-CN"/>
        </w:rPr>
      </w:pPr>
      <w:r>
        <w:rPr>
          <w:rFonts w:hint="eastAsia" w:ascii="宋体" w:hAnsi="宋体"/>
          <w:bCs/>
          <w:snapToGrid w:val="0"/>
          <w:sz w:val="28"/>
          <w:szCs w:val="28"/>
          <w:lang w:val="zh-CN"/>
        </w:rPr>
        <w:t>四、</w:t>
      </w:r>
      <w:r>
        <w:rPr>
          <w:rFonts w:ascii="宋体" w:hAnsi="宋体"/>
          <w:bCs/>
          <w:snapToGrid w:val="0"/>
          <w:sz w:val="28"/>
          <w:szCs w:val="28"/>
          <w:lang w:val="zh-CN"/>
        </w:rPr>
        <w:t>我方在参与投标前已仔细研究了招标文件和所有相关</w:t>
      </w:r>
      <w:r>
        <w:rPr>
          <w:rFonts w:hint="eastAsia" w:ascii="宋体" w:hAnsi="宋体"/>
          <w:bCs/>
          <w:sz w:val="28"/>
          <w:szCs w:val="28"/>
        </w:rPr>
        <w:t>材料</w:t>
      </w:r>
      <w:r>
        <w:rPr>
          <w:rFonts w:hint="eastAsia" w:ascii="宋体" w:hAnsi="宋体" w:cs="宋体"/>
          <w:bCs/>
          <w:snapToGrid w:val="0"/>
          <w:sz w:val="28"/>
          <w:szCs w:val="28"/>
          <w:lang w:val="zh-CN"/>
        </w:rPr>
        <w:t>，同意招标文件的相关条款。</w:t>
      </w:r>
    </w:p>
    <w:p>
      <w:pPr>
        <w:tabs>
          <w:tab w:val="left" w:pos="1020"/>
        </w:tabs>
        <w:spacing w:line="560" w:lineRule="exact"/>
        <w:ind w:firstLine="560" w:firstLineChars="200"/>
        <w:rPr>
          <w:rFonts w:ascii="宋体" w:hAnsi="宋体"/>
          <w:bCs/>
          <w:sz w:val="28"/>
          <w:szCs w:val="28"/>
        </w:rPr>
      </w:pPr>
      <w:r>
        <w:rPr>
          <w:rFonts w:hint="eastAsia" w:ascii="宋体" w:hAnsi="宋体"/>
          <w:bCs/>
          <w:sz w:val="28"/>
          <w:szCs w:val="28"/>
        </w:rPr>
        <w:t>五、</w:t>
      </w:r>
      <w:r>
        <w:rPr>
          <w:rFonts w:ascii="宋体" w:hAnsi="宋体"/>
          <w:bCs/>
          <w:sz w:val="28"/>
          <w:szCs w:val="28"/>
        </w:rPr>
        <w:t>我方声明</w:t>
      </w:r>
      <w:r>
        <w:rPr>
          <w:rFonts w:hint="eastAsia" w:ascii="宋体" w:hAnsi="宋体"/>
          <w:bCs/>
          <w:sz w:val="28"/>
          <w:szCs w:val="28"/>
        </w:rPr>
        <w:t>提供的</w:t>
      </w:r>
      <w:r>
        <w:rPr>
          <w:rFonts w:ascii="宋体" w:hAnsi="宋体"/>
          <w:bCs/>
          <w:sz w:val="28"/>
          <w:szCs w:val="28"/>
        </w:rPr>
        <w:t>投标文件及一切</w:t>
      </w:r>
      <w:r>
        <w:rPr>
          <w:rFonts w:hint="eastAsia" w:ascii="宋体" w:hAnsi="宋体"/>
          <w:bCs/>
          <w:sz w:val="28"/>
          <w:szCs w:val="28"/>
        </w:rPr>
        <w:t>材料和承诺</w:t>
      </w:r>
      <w:r>
        <w:rPr>
          <w:rFonts w:ascii="宋体" w:hAnsi="宋体"/>
          <w:bCs/>
          <w:sz w:val="28"/>
          <w:szCs w:val="28"/>
        </w:rPr>
        <w:t>均真实有效。由于我方提供</w:t>
      </w:r>
      <w:r>
        <w:rPr>
          <w:rFonts w:hint="eastAsia" w:ascii="宋体" w:hAnsi="宋体"/>
          <w:bCs/>
          <w:sz w:val="28"/>
          <w:szCs w:val="28"/>
        </w:rPr>
        <w:t>材料</w:t>
      </w:r>
      <w:r>
        <w:rPr>
          <w:rFonts w:ascii="宋体" w:hAnsi="宋体"/>
          <w:bCs/>
          <w:sz w:val="28"/>
          <w:szCs w:val="28"/>
        </w:rPr>
        <w:t>不实而造成的责任和后果由我方承担。我方同意按照贵部要求，提供与招标有关数据或信息。</w:t>
      </w:r>
      <w:r>
        <w:rPr>
          <w:rFonts w:hint="eastAsia" w:ascii="宋体" w:hAnsi="宋体"/>
          <w:bCs/>
          <w:sz w:val="28"/>
          <w:szCs w:val="28"/>
        </w:rPr>
        <w:t>我方承诺完全按照投标文件有关内容履约。</w:t>
      </w:r>
    </w:p>
    <w:p>
      <w:pPr>
        <w:tabs>
          <w:tab w:val="left" w:pos="1020"/>
        </w:tabs>
        <w:spacing w:line="560" w:lineRule="exact"/>
        <w:ind w:firstLine="560" w:firstLineChars="200"/>
        <w:rPr>
          <w:rFonts w:ascii="宋体" w:hAnsi="宋体"/>
          <w:bCs/>
          <w:sz w:val="28"/>
          <w:szCs w:val="28"/>
        </w:rPr>
      </w:pPr>
      <w:r>
        <w:rPr>
          <w:rFonts w:hint="eastAsia" w:ascii="宋体" w:hAnsi="宋体"/>
          <w:bCs/>
          <w:sz w:val="28"/>
          <w:szCs w:val="28"/>
        </w:rPr>
        <w:t>六、</w:t>
      </w:r>
      <w:r>
        <w:rPr>
          <w:rFonts w:ascii="宋体" w:hAnsi="宋体"/>
          <w:bCs/>
          <w:sz w:val="28"/>
          <w:szCs w:val="28"/>
        </w:rPr>
        <w:t>我方承诺自愿遵守</w:t>
      </w:r>
      <w:r>
        <w:rPr>
          <w:rFonts w:hint="eastAsia" w:ascii="宋体" w:hAnsi="宋体"/>
          <w:bCs/>
          <w:sz w:val="28"/>
          <w:szCs w:val="28"/>
        </w:rPr>
        <w:t>、</w:t>
      </w:r>
      <w:r>
        <w:rPr>
          <w:rFonts w:ascii="宋体" w:hAnsi="宋体"/>
          <w:bCs/>
          <w:sz w:val="28"/>
          <w:szCs w:val="28"/>
        </w:rPr>
        <w:t>执行军队采购政策</w:t>
      </w:r>
      <w:r>
        <w:rPr>
          <w:rFonts w:hint="eastAsia" w:ascii="宋体" w:hAnsi="宋体"/>
          <w:bCs/>
          <w:sz w:val="28"/>
          <w:szCs w:val="28"/>
        </w:rPr>
        <w:t>法规。</w:t>
      </w:r>
    </w:p>
    <w:p>
      <w:pPr>
        <w:tabs>
          <w:tab w:val="left" w:pos="1020"/>
        </w:tabs>
        <w:spacing w:line="560" w:lineRule="exact"/>
        <w:ind w:firstLine="560" w:firstLineChars="200"/>
        <w:rPr>
          <w:rFonts w:ascii="宋体" w:hAnsi="宋体"/>
          <w:bCs/>
          <w:sz w:val="28"/>
          <w:szCs w:val="28"/>
        </w:rPr>
      </w:pPr>
      <w:r>
        <w:rPr>
          <w:rFonts w:hint="eastAsia" w:ascii="宋体" w:hAnsi="宋体"/>
          <w:bCs/>
          <w:sz w:val="28"/>
          <w:szCs w:val="28"/>
        </w:rPr>
        <w:t>七、</w:t>
      </w:r>
      <w:r>
        <w:rPr>
          <w:rFonts w:ascii="宋体" w:hAnsi="宋体"/>
          <w:bCs/>
          <w:sz w:val="28"/>
          <w:szCs w:val="28"/>
        </w:rPr>
        <w:t>联系方式</w:t>
      </w:r>
    </w:p>
    <w:p>
      <w:pPr>
        <w:spacing w:line="440" w:lineRule="exact"/>
        <w:ind w:firstLine="560" w:firstLineChars="200"/>
        <w:rPr>
          <w:rFonts w:ascii="宋体" w:hAnsi="宋体"/>
          <w:bCs/>
          <w:sz w:val="28"/>
          <w:szCs w:val="28"/>
        </w:rPr>
      </w:pPr>
      <w:r>
        <w:rPr>
          <w:rFonts w:ascii="宋体" w:hAnsi="宋体"/>
          <w:bCs/>
          <w:sz w:val="28"/>
          <w:szCs w:val="28"/>
        </w:rPr>
        <w:t>联 系 人：</w:t>
      </w:r>
      <w:r>
        <w:rPr>
          <w:rFonts w:ascii="宋体" w:hAnsi="宋体"/>
          <w:bCs/>
          <w:sz w:val="28"/>
          <w:szCs w:val="28"/>
          <w:u w:val="single"/>
        </w:rPr>
        <w:t xml:space="preserve">        </w:t>
      </w:r>
      <w:r>
        <w:rPr>
          <w:rFonts w:ascii="宋体" w:hAnsi="宋体"/>
          <w:bCs/>
          <w:sz w:val="28"/>
          <w:szCs w:val="28"/>
        </w:rPr>
        <w:t xml:space="preserve">  电话：</w:t>
      </w:r>
      <w:r>
        <w:rPr>
          <w:rFonts w:ascii="宋体" w:hAnsi="宋体"/>
          <w:bCs/>
          <w:sz w:val="28"/>
          <w:szCs w:val="28"/>
          <w:u w:val="single"/>
        </w:rPr>
        <w:t xml:space="preserve">        </w:t>
      </w:r>
      <w:r>
        <w:rPr>
          <w:rFonts w:ascii="宋体" w:hAnsi="宋体"/>
          <w:bCs/>
          <w:sz w:val="28"/>
          <w:szCs w:val="28"/>
        </w:rPr>
        <w:t>传真：</w:t>
      </w:r>
      <w:r>
        <w:rPr>
          <w:rFonts w:ascii="宋体" w:hAnsi="宋体"/>
          <w:bCs/>
          <w:sz w:val="28"/>
          <w:szCs w:val="28"/>
          <w:u w:val="single"/>
        </w:rPr>
        <w:t xml:space="preserve">        </w:t>
      </w:r>
    </w:p>
    <w:p>
      <w:pPr>
        <w:spacing w:line="440" w:lineRule="exact"/>
        <w:ind w:firstLine="560" w:firstLineChars="200"/>
        <w:rPr>
          <w:rFonts w:ascii="宋体" w:hAnsi="宋体"/>
          <w:bCs/>
          <w:sz w:val="28"/>
          <w:szCs w:val="28"/>
        </w:rPr>
      </w:pPr>
      <w:r>
        <w:rPr>
          <w:rFonts w:ascii="宋体" w:hAnsi="宋体"/>
          <w:bCs/>
          <w:sz w:val="28"/>
          <w:szCs w:val="28"/>
        </w:rPr>
        <w:t>地    址：</w:t>
      </w:r>
      <w:r>
        <w:rPr>
          <w:rFonts w:ascii="宋体" w:hAnsi="宋体"/>
          <w:bCs/>
          <w:sz w:val="28"/>
          <w:szCs w:val="28"/>
          <w:u w:val="single"/>
        </w:rPr>
        <w:t xml:space="preserve">                  </w:t>
      </w:r>
      <w:r>
        <w:rPr>
          <w:rFonts w:ascii="宋体" w:hAnsi="宋体"/>
          <w:bCs/>
          <w:sz w:val="28"/>
          <w:szCs w:val="28"/>
        </w:rPr>
        <w:t xml:space="preserve">  邮政编码：</w:t>
      </w:r>
      <w:r>
        <w:rPr>
          <w:rFonts w:ascii="宋体" w:hAnsi="宋体"/>
          <w:bCs/>
          <w:sz w:val="28"/>
          <w:szCs w:val="28"/>
          <w:u w:val="single"/>
        </w:rPr>
        <w:t xml:space="preserve">        </w:t>
      </w:r>
    </w:p>
    <w:p>
      <w:pPr>
        <w:spacing w:line="440" w:lineRule="exact"/>
        <w:ind w:firstLine="560" w:firstLineChars="200"/>
        <w:rPr>
          <w:rFonts w:ascii="宋体" w:hAnsi="宋体"/>
          <w:bCs/>
          <w:sz w:val="28"/>
          <w:szCs w:val="28"/>
        </w:rPr>
      </w:pPr>
      <w:r>
        <w:rPr>
          <w:rFonts w:ascii="宋体" w:hAnsi="宋体"/>
          <w:bCs/>
          <w:sz w:val="28"/>
          <w:szCs w:val="28"/>
        </w:rPr>
        <w:t>开户名称：</w:t>
      </w:r>
      <w:r>
        <w:rPr>
          <w:rFonts w:ascii="宋体" w:hAnsi="宋体"/>
          <w:bCs/>
          <w:sz w:val="28"/>
          <w:szCs w:val="28"/>
          <w:u w:val="single"/>
        </w:rPr>
        <w:t xml:space="preserve">                  </w:t>
      </w:r>
    </w:p>
    <w:p>
      <w:pPr>
        <w:spacing w:line="440" w:lineRule="exact"/>
        <w:ind w:firstLine="560" w:firstLineChars="200"/>
        <w:rPr>
          <w:rFonts w:ascii="宋体" w:hAnsi="宋体"/>
          <w:bCs/>
          <w:sz w:val="28"/>
          <w:szCs w:val="28"/>
        </w:rPr>
      </w:pPr>
      <w:r>
        <w:rPr>
          <w:rFonts w:ascii="宋体" w:hAnsi="宋体"/>
          <w:bCs/>
          <w:sz w:val="28"/>
          <w:szCs w:val="28"/>
        </w:rPr>
        <w:t>开户银行：</w:t>
      </w:r>
      <w:r>
        <w:rPr>
          <w:rFonts w:ascii="宋体" w:hAnsi="宋体"/>
          <w:bCs/>
          <w:sz w:val="28"/>
          <w:szCs w:val="28"/>
          <w:u w:val="single"/>
        </w:rPr>
        <w:t xml:space="preserve">                  </w:t>
      </w:r>
      <w:r>
        <w:rPr>
          <w:rFonts w:ascii="宋体" w:hAnsi="宋体"/>
          <w:bCs/>
          <w:sz w:val="28"/>
          <w:szCs w:val="28"/>
        </w:rPr>
        <w:t xml:space="preserve">                       </w:t>
      </w:r>
    </w:p>
    <w:p>
      <w:pPr>
        <w:spacing w:line="440" w:lineRule="exact"/>
        <w:ind w:firstLine="560" w:firstLineChars="200"/>
        <w:rPr>
          <w:bCs/>
          <w:sz w:val="28"/>
          <w:szCs w:val="28"/>
        </w:rPr>
      </w:pPr>
      <w:r>
        <w:rPr>
          <w:rFonts w:ascii="宋体" w:hAnsi="宋体"/>
          <w:bCs/>
          <w:sz w:val="28"/>
          <w:szCs w:val="28"/>
        </w:rPr>
        <w:t>银行账号：</w:t>
      </w:r>
      <w:r>
        <w:rPr>
          <w:rFonts w:ascii="宋体" w:hAnsi="宋体"/>
          <w:bCs/>
          <w:sz w:val="28"/>
          <w:szCs w:val="28"/>
          <w:u w:val="single"/>
        </w:rPr>
        <w:t xml:space="preserve">                  </w:t>
      </w:r>
      <w:r>
        <w:rPr>
          <w:rFonts w:ascii="宋体" w:hAnsi="宋体"/>
          <w:bCs/>
          <w:sz w:val="28"/>
          <w:szCs w:val="28"/>
        </w:rPr>
        <w:t xml:space="preserve">                        </w:t>
      </w:r>
    </w:p>
    <w:p>
      <w:pPr>
        <w:spacing w:line="440" w:lineRule="exact"/>
        <w:ind w:firstLine="560" w:firstLineChars="200"/>
        <w:jc w:val="center"/>
        <w:rPr>
          <w:bCs/>
          <w:sz w:val="28"/>
          <w:szCs w:val="28"/>
          <w:lang w:val="zh-CN"/>
        </w:rPr>
      </w:pPr>
      <w:r>
        <w:rPr>
          <w:bCs/>
          <w:sz w:val="28"/>
          <w:szCs w:val="28"/>
          <w:lang w:val="zh-CN"/>
        </w:rPr>
        <w:t xml:space="preserve">    </w:t>
      </w:r>
      <w:r>
        <w:rPr>
          <w:rFonts w:hint="eastAsia"/>
          <w:bCs/>
          <w:sz w:val="28"/>
          <w:szCs w:val="28"/>
          <w:lang w:val="zh-CN"/>
        </w:rPr>
        <w:t>投标供应商全称：（盖章）</w:t>
      </w:r>
    </w:p>
    <w:p>
      <w:pPr>
        <w:spacing w:line="440" w:lineRule="exact"/>
        <w:ind w:firstLine="560" w:firstLineChars="200"/>
        <w:jc w:val="center"/>
        <w:rPr>
          <w:bCs/>
          <w:sz w:val="28"/>
          <w:szCs w:val="28"/>
          <w:lang w:val="zh-CN"/>
        </w:rPr>
      </w:pPr>
      <w:r>
        <w:rPr>
          <w:bCs/>
          <w:sz w:val="28"/>
          <w:szCs w:val="28"/>
          <w:lang w:val="zh-CN"/>
        </w:rPr>
        <w:t xml:space="preserve">              </w:t>
      </w:r>
      <w:r>
        <w:rPr>
          <w:rFonts w:hint="eastAsia"/>
          <w:bCs/>
          <w:sz w:val="28"/>
          <w:szCs w:val="28"/>
          <w:lang w:val="zh-CN"/>
        </w:rPr>
        <w:t>法定代表人（或授权代表）：（签字）</w:t>
      </w:r>
    </w:p>
    <w:p>
      <w:pPr>
        <w:spacing w:line="440" w:lineRule="exact"/>
        <w:ind w:firstLine="560" w:firstLineChars="200"/>
        <w:rPr>
          <w:bCs/>
          <w:sz w:val="28"/>
          <w:szCs w:val="28"/>
          <w:lang w:val="zh-CN"/>
        </w:rPr>
      </w:pPr>
      <w:r>
        <w:rPr>
          <w:bCs/>
          <w:sz w:val="28"/>
          <w:szCs w:val="28"/>
          <w:lang w:val="zh-CN"/>
        </w:rPr>
        <w:t xml:space="preserve">                                         </w:t>
      </w: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pStyle w:val="5"/>
        <w:spacing w:before="120" w:beforeLines="50" w:after="120" w:afterLines="50"/>
        <w:rPr>
          <w:rFonts w:ascii="宋体" w:hAnsi="宋体"/>
          <w:b w:val="0"/>
        </w:rPr>
      </w:pPr>
      <w:r>
        <w:rPr>
          <w:b w:val="0"/>
          <w:lang w:val="zh-CN"/>
        </w:rPr>
        <w:br w:type="page"/>
      </w:r>
      <w:bookmarkStart w:id="331" w:name="_Toc2085"/>
      <w:bookmarkStart w:id="332" w:name="_Toc14250"/>
      <w:bookmarkStart w:id="333" w:name="_Toc27776"/>
      <w:bookmarkStart w:id="334" w:name="_Toc28802"/>
      <w:r>
        <w:rPr>
          <w:rFonts w:hint="eastAsia"/>
          <w:b w:val="0"/>
        </w:rPr>
        <w:t>附件</w:t>
      </w:r>
      <w:r>
        <w:rPr>
          <w:b w:val="0"/>
        </w:rPr>
        <w:t>2-5</w:t>
      </w:r>
      <w:r>
        <w:rPr>
          <w:rFonts w:hint="eastAsia"/>
          <w:b w:val="0"/>
        </w:rPr>
        <w:t>商务条款响应偏离表</w:t>
      </w:r>
    </w:p>
    <w:p>
      <w:pPr>
        <w:spacing w:before="120" w:beforeLines="50" w:after="120" w:afterLines="50" w:line="560" w:lineRule="exact"/>
        <w:jc w:val="center"/>
        <w:rPr>
          <w:rFonts w:ascii="黑体" w:hAnsi="黑体" w:eastAsia="黑体"/>
          <w:bCs/>
          <w:sz w:val="36"/>
          <w:szCs w:val="36"/>
          <w:lang w:val="zh-CN"/>
        </w:rPr>
      </w:pPr>
      <w:r>
        <w:rPr>
          <w:rFonts w:hint="eastAsia" w:ascii="黑体" w:hAnsi="黑体" w:eastAsia="黑体"/>
          <w:bCs/>
          <w:sz w:val="36"/>
          <w:szCs w:val="36"/>
          <w:lang w:val="zh-CN"/>
        </w:rPr>
        <w:t>商务条款响应偏离</w:t>
      </w:r>
      <w:r>
        <w:rPr>
          <w:rFonts w:ascii="黑体" w:hAnsi="黑体" w:eastAsia="黑体"/>
          <w:bCs/>
          <w:sz w:val="36"/>
          <w:szCs w:val="36"/>
          <w:lang w:val="zh-CN"/>
        </w:rPr>
        <w:t>表</w:t>
      </w:r>
    </w:p>
    <w:p>
      <w:pPr>
        <w:spacing w:line="560" w:lineRule="exact"/>
        <w:jc w:val="left"/>
        <w:rPr>
          <w:bCs/>
          <w:sz w:val="28"/>
          <w:szCs w:val="28"/>
        </w:rPr>
      </w:pPr>
      <w:r>
        <w:rPr>
          <w:rFonts w:hint="eastAsia"/>
          <w:bCs/>
          <w:sz w:val="28"/>
          <w:szCs w:val="28"/>
        </w:rPr>
        <w:t>项目名称：</w:t>
      </w:r>
      <w:r>
        <w:rPr>
          <w:bCs/>
          <w:sz w:val="28"/>
          <w:szCs w:val="28"/>
          <w:u w:val="single"/>
        </w:rPr>
        <w:t xml:space="preserve">            </w:t>
      </w:r>
      <w:r>
        <w:rPr>
          <w:bCs/>
          <w:sz w:val="28"/>
          <w:szCs w:val="28"/>
        </w:rPr>
        <w:t xml:space="preserve">    </w:t>
      </w:r>
      <w:r>
        <w:rPr>
          <w:rFonts w:hint="eastAsia"/>
          <w:bCs/>
          <w:sz w:val="28"/>
          <w:szCs w:val="28"/>
        </w:rPr>
        <w:t>项目编号：</w:t>
      </w:r>
      <w:r>
        <w:rPr>
          <w:bCs/>
          <w:sz w:val="28"/>
          <w:szCs w:val="28"/>
          <w:u w:val="single"/>
        </w:rPr>
        <w:t xml:space="preserve">          </w:t>
      </w:r>
      <w:r>
        <w:rPr>
          <w:bCs/>
          <w:sz w:val="28"/>
          <w:szCs w:val="28"/>
        </w:rPr>
        <w:t xml:space="preserve">   </w:t>
      </w:r>
    </w:p>
    <w:tbl>
      <w:tblPr>
        <w:tblStyle w:val="42"/>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1481"/>
        <w:gridCol w:w="1233"/>
        <w:gridCol w:w="1397"/>
        <w:gridCol w:w="2356"/>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5" w:hRule="atLeast"/>
        </w:trPr>
        <w:tc>
          <w:tcPr>
            <w:tcW w:w="709" w:type="dxa"/>
            <w:tcBorders>
              <w:top w:val="single" w:color="auto" w:sz="4" w:space="0"/>
              <w:left w:val="single" w:color="auto" w:sz="4" w:space="0"/>
              <w:right w:val="single" w:color="auto" w:sz="4" w:space="0"/>
            </w:tcBorders>
            <w:vAlign w:val="center"/>
          </w:tcPr>
          <w:p>
            <w:pPr>
              <w:widowControl/>
              <w:jc w:val="center"/>
              <w:rPr>
                <w:bCs/>
                <w:sz w:val="24"/>
              </w:rPr>
            </w:pPr>
            <w:r>
              <w:rPr>
                <w:rFonts w:hint="eastAsia"/>
                <w:bCs/>
                <w:sz w:val="24"/>
              </w:rPr>
              <w:t>序号</w:t>
            </w:r>
          </w:p>
        </w:tc>
        <w:tc>
          <w:tcPr>
            <w:tcW w:w="1276" w:type="dxa"/>
            <w:tcBorders>
              <w:top w:val="single" w:color="auto" w:sz="4" w:space="0"/>
              <w:left w:val="single" w:color="auto" w:sz="4" w:space="0"/>
              <w:right w:val="single" w:color="auto" w:sz="4" w:space="0"/>
            </w:tcBorders>
            <w:vAlign w:val="center"/>
          </w:tcPr>
          <w:p>
            <w:pPr>
              <w:widowControl/>
              <w:jc w:val="center"/>
              <w:rPr>
                <w:bCs/>
                <w:sz w:val="24"/>
              </w:rPr>
            </w:pPr>
            <w:r>
              <w:rPr>
                <w:rFonts w:hint="eastAsia"/>
                <w:bCs/>
                <w:sz w:val="24"/>
              </w:rPr>
              <w:t>评审项目</w:t>
            </w:r>
          </w:p>
        </w:tc>
        <w:tc>
          <w:tcPr>
            <w:tcW w:w="1481" w:type="dxa"/>
            <w:tcBorders>
              <w:top w:val="single" w:color="auto" w:sz="4" w:space="0"/>
              <w:left w:val="single" w:color="auto" w:sz="4" w:space="0"/>
              <w:right w:val="single" w:color="auto" w:sz="4" w:space="0"/>
            </w:tcBorders>
            <w:vAlign w:val="center"/>
          </w:tcPr>
          <w:p>
            <w:pPr>
              <w:widowControl/>
              <w:jc w:val="center"/>
              <w:rPr>
                <w:bCs/>
                <w:sz w:val="24"/>
              </w:rPr>
            </w:pPr>
            <w:r>
              <w:rPr>
                <w:rFonts w:hint="eastAsia"/>
                <w:bCs/>
                <w:sz w:val="24"/>
              </w:rPr>
              <w:t>商务评审</w:t>
            </w:r>
          </w:p>
          <w:p>
            <w:pPr>
              <w:widowControl/>
              <w:jc w:val="center"/>
              <w:rPr>
                <w:bCs/>
                <w:sz w:val="24"/>
              </w:rPr>
            </w:pPr>
            <w:r>
              <w:rPr>
                <w:rFonts w:hint="eastAsia"/>
                <w:bCs/>
                <w:sz w:val="24"/>
              </w:rPr>
              <w:t>要求</w:t>
            </w:r>
          </w:p>
        </w:tc>
        <w:tc>
          <w:tcPr>
            <w:tcW w:w="1233" w:type="dxa"/>
            <w:tcBorders>
              <w:top w:val="single" w:color="auto" w:sz="4" w:space="0"/>
              <w:left w:val="single" w:color="auto" w:sz="4" w:space="0"/>
              <w:right w:val="single" w:color="auto" w:sz="4" w:space="0"/>
            </w:tcBorders>
            <w:vAlign w:val="center"/>
          </w:tcPr>
          <w:p>
            <w:pPr>
              <w:widowControl/>
              <w:jc w:val="center"/>
              <w:rPr>
                <w:bCs/>
                <w:sz w:val="24"/>
              </w:rPr>
            </w:pPr>
            <w:r>
              <w:rPr>
                <w:rFonts w:hint="eastAsia"/>
                <w:bCs/>
                <w:sz w:val="24"/>
              </w:rPr>
              <w:t>商务响应</w:t>
            </w:r>
          </w:p>
        </w:tc>
        <w:tc>
          <w:tcPr>
            <w:tcW w:w="1397" w:type="dxa"/>
            <w:tcBorders>
              <w:top w:val="single" w:color="auto" w:sz="4" w:space="0"/>
              <w:left w:val="single" w:color="auto" w:sz="4" w:space="0"/>
              <w:right w:val="single" w:color="auto" w:sz="4" w:space="0"/>
            </w:tcBorders>
            <w:vAlign w:val="center"/>
          </w:tcPr>
          <w:p>
            <w:pPr>
              <w:widowControl/>
              <w:jc w:val="center"/>
              <w:rPr>
                <w:bCs/>
                <w:sz w:val="24"/>
              </w:rPr>
            </w:pPr>
            <w:r>
              <w:rPr>
                <w:rFonts w:hint="eastAsia"/>
                <w:bCs/>
                <w:sz w:val="24"/>
              </w:rPr>
              <w:t>偏离度</w:t>
            </w:r>
          </w:p>
        </w:tc>
        <w:tc>
          <w:tcPr>
            <w:tcW w:w="2356" w:type="dxa"/>
            <w:tcBorders>
              <w:top w:val="single" w:color="auto" w:sz="4" w:space="0"/>
              <w:left w:val="single" w:color="auto" w:sz="4" w:space="0"/>
              <w:right w:val="single" w:color="auto" w:sz="4" w:space="0"/>
            </w:tcBorders>
            <w:vAlign w:val="center"/>
          </w:tcPr>
          <w:p>
            <w:pPr>
              <w:widowControl/>
              <w:jc w:val="center"/>
              <w:rPr>
                <w:bCs/>
                <w:sz w:val="24"/>
              </w:rPr>
            </w:pPr>
            <w:r>
              <w:rPr>
                <w:rFonts w:hint="eastAsia"/>
                <w:bCs/>
                <w:sz w:val="24"/>
              </w:rPr>
              <w:t>文件名称</w:t>
            </w:r>
            <w:r>
              <w:rPr>
                <w:rFonts w:hint="eastAsia" w:ascii="宋体" w:hAnsi="宋体"/>
                <w:bCs/>
                <w:sz w:val="24"/>
              </w:rPr>
              <w:t>∕页码</w:t>
            </w:r>
          </w:p>
        </w:tc>
        <w:tc>
          <w:tcPr>
            <w:tcW w:w="904" w:type="dxa"/>
            <w:tcBorders>
              <w:top w:val="single" w:color="auto" w:sz="4" w:space="0"/>
              <w:left w:val="single" w:color="auto" w:sz="4" w:space="0"/>
              <w:right w:val="single" w:color="auto" w:sz="4" w:space="0"/>
            </w:tcBorders>
            <w:vAlign w:val="center"/>
          </w:tcPr>
          <w:p>
            <w:pPr>
              <w:jc w:val="center"/>
              <w:rPr>
                <w:bCs/>
                <w:sz w:val="24"/>
              </w:rPr>
            </w:pPr>
            <w:r>
              <w:rPr>
                <w:rFonts w:hint="eastAsia"/>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276" w:type="dxa"/>
            <w:tcBorders>
              <w:top w:val="single" w:color="auto" w:sz="4" w:space="0"/>
              <w:left w:val="single" w:color="auto" w:sz="4" w:space="0"/>
              <w:bottom w:val="single" w:color="auto" w:sz="4" w:space="0"/>
              <w:right w:val="single" w:color="auto" w:sz="4" w:space="0"/>
            </w:tcBorders>
          </w:tcPr>
          <w:p>
            <w:pPr>
              <w:rPr>
                <w:bCs/>
                <w:sz w:val="24"/>
              </w:rPr>
            </w:pPr>
          </w:p>
        </w:tc>
        <w:tc>
          <w:tcPr>
            <w:tcW w:w="1481" w:type="dxa"/>
            <w:tcBorders>
              <w:top w:val="single" w:color="auto" w:sz="4" w:space="0"/>
              <w:left w:val="single" w:color="auto" w:sz="4" w:space="0"/>
              <w:bottom w:val="single" w:color="auto" w:sz="4" w:space="0"/>
              <w:right w:val="single" w:color="auto" w:sz="4" w:space="0"/>
            </w:tcBorders>
          </w:tcPr>
          <w:p>
            <w:pPr>
              <w:rPr>
                <w:bCs/>
                <w:sz w:val="24"/>
              </w:rPr>
            </w:pPr>
          </w:p>
        </w:tc>
        <w:tc>
          <w:tcPr>
            <w:tcW w:w="1233" w:type="dxa"/>
            <w:tcBorders>
              <w:top w:val="single" w:color="auto" w:sz="4" w:space="0"/>
              <w:left w:val="single" w:color="auto" w:sz="4" w:space="0"/>
              <w:bottom w:val="single" w:color="auto" w:sz="4" w:space="0"/>
              <w:right w:val="single" w:color="auto" w:sz="4" w:space="0"/>
            </w:tcBorders>
          </w:tcPr>
          <w:p>
            <w:pPr>
              <w:rPr>
                <w:bCs/>
                <w:sz w:val="24"/>
              </w:rPr>
            </w:pPr>
          </w:p>
        </w:tc>
        <w:tc>
          <w:tcPr>
            <w:tcW w:w="1397" w:type="dxa"/>
            <w:tcBorders>
              <w:top w:val="single" w:color="auto" w:sz="4" w:space="0"/>
              <w:left w:val="single" w:color="auto" w:sz="4" w:space="0"/>
              <w:bottom w:val="single" w:color="auto" w:sz="4" w:space="0"/>
              <w:right w:val="single" w:color="auto" w:sz="4" w:space="0"/>
            </w:tcBorders>
          </w:tcPr>
          <w:p>
            <w:pPr>
              <w:rPr>
                <w:bCs/>
                <w:sz w:val="24"/>
              </w:rPr>
            </w:pPr>
          </w:p>
        </w:tc>
        <w:tc>
          <w:tcPr>
            <w:tcW w:w="2356" w:type="dxa"/>
            <w:tcBorders>
              <w:top w:val="single" w:color="auto" w:sz="4" w:space="0"/>
              <w:left w:val="single" w:color="auto" w:sz="4" w:space="0"/>
              <w:bottom w:val="single" w:color="auto" w:sz="4" w:space="0"/>
              <w:right w:val="single" w:color="auto" w:sz="4" w:space="0"/>
            </w:tcBorders>
          </w:tcPr>
          <w:p>
            <w:pPr>
              <w:rPr>
                <w:bCs/>
                <w:sz w:val="24"/>
              </w:rPr>
            </w:pPr>
          </w:p>
        </w:tc>
        <w:tc>
          <w:tcPr>
            <w:tcW w:w="904"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276" w:type="dxa"/>
            <w:tcBorders>
              <w:top w:val="single" w:color="auto" w:sz="4" w:space="0"/>
              <w:left w:val="single" w:color="auto" w:sz="4" w:space="0"/>
              <w:bottom w:val="single" w:color="auto" w:sz="4" w:space="0"/>
              <w:right w:val="single" w:color="auto" w:sz="4" w:space="0"/>
            </w:tcBorders>
          </w:tcPr>
          <w:p>
            <w:pPr>
              <w:rPr>
                <w:bCs/>
                <w:sz w:val="24"/>
              </w:rPr>
            </w:pPr>
          </w:p>
        </w:tc>
        <w:tc>
          <w:tcPr>
            <w:tcW w:w="1481" w:type="dxa"/>
            <w:tcBorders>
              <w:top w:val="single" w:color="auto" w:sz="4" w:space="0"/>
              <w:left w:val="single" w:color="auto" w:sz="4" w:space="0"/>
              <w:bottom w:val="single" w:color="auto" w:sz="4" w:space="0"/>
              <w:right w:val="single" w:color="auto" w:sz="4" w:space="0"/>
            </w:tcBorders>
          </w:tcPr>
          <w:p>
            <w:pPr>
              <w:rPr>
                <w:bCs/>
                <w:sz w:val="24"/>
              </w:rPr>
            </w:pPr>
          </w:p>
        </w:tc>
        <w:tc>
          <w:tcPr>
            <w:tcW w:w="1233" w:type="dxa"/>
            <w:tcBorders>
              <w:top w:val="single" w:color="auto" w:sz="4" w:space="0"/>
              <w:left w:val="single" w:color="auto" w:sz="4" w:space="0"/>
              <w:bottom w:val="single" w:color="auto" w:sz="4" w:space="0"/>
              <w:right w:val="single" w:color="auto" w:sz="4" w:space="0"/>
            </w:tcBorders>
          </w:tcPr>
          <w:p>
            <w:pPr>
              <w:rPr>
                <w:bCs/>
                <w:sz w:val="24"/>
              </w:rPr>
            </w:pPr>
          </w:p>
        </w:tc>
        <w:tc>
          <w:tcPr>
            <w:tcW w:w="1397" w:type="dxa"/>
            <w:tcBorders>
              <w:top w:val="single" w:color="auto" w:sz="4" w:space="0"/>
              <w:left w:val="single" w:color="auto" w:sz="4" w:space="0"/>
              <w:bottom w:val="single" w:color="auto" w:sz="4" w:space="0"/>
              <w:right w:val="single" w:color="auto" w:sz="4" w:space="0"/>
            </w:tcBorders>
          </w:tcPr>
          <w:p>
            <w:pPr>
              <w:rPr>
                <w:bCs/>
                <w:sz w:val="24"/>
              </w:rPr>
            </w:pPr>
          </w:p>
        </w:tc>
        <w:tc>
          <w:tcPr>
            <w:tcW w:w="2356" w:type="dxa"/>
            <w:tcBorders>
              <w:top w:val="single" w:color="auto" w:sz="4" w:space="0"/>
              <w:left w:val="single" w:color="auto" w:sz="4" w:space="0"/>
              <w:bottom w:val="single" w:color="auto" w:sz="4" w:space="0"/>
              <w:right w:val="single" w:color="auto" w:sz="4" w:space="0"/>
            </w:tcBorders>
          </w:tcPr>
          <w:p>
            <w:pPr>
              <w:rPr>
                <w:bCs/>
                <w:sz w:val="24"/>
              </w:rPr>
            </w:pPr>
          </w:p>
        </w:tc>
        <w:tc>
          <w:tcPr>
            <w:tcW w:w="904"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276" w:type="dxa"/>
            <w:tcBorders>
              <w:top w:val="single" w:color="auto" w:sz="4" w:space="0"/>
              <w:left w:val="single" w:color="auto" w:sz="4" w:space="0"/>
              <w:bottom w:val="single" w:color="auto" w:sz="4" w:space="0"/>
              <w:right w:val="single" w:color="auto" w:sz="4" w:space="0"/>
            </w:tcBorders>
          </w:tcPr>
          <w:p>
            <w:pPr>
              <w:rPr>
                <w:bCs/>
                <w:sz w:val="24"/>
              </w:rPr>
            </w:pPr>
          </w:p>
        </w:tc>
        <w:tc>
          <w:tcPr>
            <w:tcW w:w="1481" w:type="dxa"/>
            <w:tcBorders>
              <w:top w:val="single" w:color="auto" w:sz="4" w:space="0"/>
              <w:left w:val="single" w:color="auto" w:sz="4" w:space="0"/>
              <w:bottom w:val="single" w:color="auto" w:sz="4" w:space="0"/>
              <w:right w:val="single" w:color="auto" w:sz="4" w:space="0"/>
            </w:tcBorders>
          </w:tcPr>
          <w:p>
            <w:pPr>
              <w:rPr>
                <w:bCs/>
                <w:sz w:val="24"/>
              </w:rPr>
            </w:pPr>
          </w:p>
        </w:tc>
        <w:tc>
          <w:tcPr>
            <w:tcW w:w="1233" w:type="dxa"/>
            <w:tcBorders>
              <w:top w:val="single" w:color="auto" w:sz="4" w:space="0"/>
              <w:left w:val="single" w:color="auto" w:sz="4" w:space="0"/>
              <w:bottom w:val="single" w:color="auto" w:sz="4" w:space="0"/>
              <w:right w:val="single" w:color="auto" w:sz="4" w:space="0"/>
            </w:tcBorders>
          </w:tcPr>
          <w:p>
            <w:pPr>
              <w:rPr>
                <w:bCs/>
                <w:sz w:val="24"/>
              </w:rPr>
            </w:pPr>
          </w:p>
        </w:tc>
        <w:tc>
          <w:tcPr>
            <w:tcW w:w="1397" w:type="dxa"/>
            <w:tcBorders>
              <w:top w:val="single" w:color="auto" w:sz="4" w:space="0"/>
              <w:left w:val="single" w:color="auto" w:sz="4" w:space="0"/>
              <w:bottom w:val="single" w:color="auto" w:sz="4" w:space="0"/>
              <w:right w:val="single" w:color="auto" w:sz="4" w:space="0"/>
            </w:tcBorders>
          </w:tcPr>
          <w:p>
            <w:pPr>
              <w:rPr>
                <w:bCs/>
                <w:sz w:val="24"/>
              </w:rPr>
            </w:pPr>
          </w:p>
        </w:tc>
        <w:tc>
          <w:tcPr>
            <w:tcW w:w="2356" w:type="dxa"/>
            <w:tcBorders>
              <w:top w:val="single" w:color="auto" w:sz="4" w:space="0"/>
              <w:left w:val="single" w:color="auto" w:sz="4" w:space="0"/>
              <w:bottom w:val="single" w:color="auto" w:sz="4" w:space="0"/>
              <w:right w:val="single" w:color="auto" w:sz="4" w:space="0"/>
            </w:tcBorders>
          </w:tcPr>
          <w:p>
            <w:pPr>
              <w:rPr>
                <w:bCs/>
                <w:sz w:val="24"/>
              </w:rPr>
            </w:pPr>
          </w:p>
        </w:tc>
        <w:tc>
          <w:tcPr>
            <w:tcW w:w="904"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276" w:type="dxa"/>
            <w:tcBorders>
              <w:top w:val="single" w:color="auto" w:sz="4" w:space="0"/>
              <w:left w:val="single" w:color="auto" w:sz="4" w:space="0"/>
              <w:bottom w:val="single" w:color="auto" w:sz="4" w:space="0"/>
              <w:right w:val="single" w:color="auto" w:sz="4" w:space="0"/>
            </w:tcBorders>
          </w:tcPr>
          <w:p>
            <w:pPr>
              <w:rPr>
                <w:bCs/>
                <w:sz w:val="24"/>
              </w:rPr>
            </w:pPr>
          </w:p>
        </w:tc>
        <w:tc>
          <w:tcPr>
            <w:tcW w:w="1481" w:type="dxa"/>
            <w:tcBorders>
              <w:top w:val="single" w:color="auto" w:sz="4" w:space="0"/>
              <w:left w:val="single" w:color="auto" w:sz="4" w:space="0"/>
              <w:bottom w:val="single" w:color="auto" w:sz="4" w:space="0"/>
              <w:right w:val="single" w:color="auto" w:sz="4" w:space="0"/>
            </w:tcBorders>
          </w:tcPr>
          <w:p>
            <w:pPr>
              <w:rPr>
                <w:bCs/>
                <w:sz w:val="24"/>
              </w:rPr>
            </w:pPr>
          </w:p>
        </w:tc>
        <w:tc>
          <w:tcPr>
            <w:tcW w:w="1233" w:type="dxa"/>
            <w:tcBorders>
              <w:top w:val="single" w:color="auto" w:sz="4" w:space="0"/>
              <w:left w:val="single" w:color="auto" w:sz="4" w:space="0"/>
              <w:bottom w:val="single" w:color="auto" w:sz="4" w:space="0"/>
              <w:right w:val="single" w:color="auto" w:sz="4" w:space="0"/>
            </w:tcBorders>
          </w:tcPr>
          <w:p>
            <w:pPr>
              <w:rPr>
                <w:bCs/>
                <w:sz w:val="24"/>
              </w:rPr>
            </w:pPr>
          </w:p>
        </w:tc>
        <w:tc>
          <w:tcPr>
            <w:tcW w:w="1397" w:type="dxa"/>
            <w:tcBorders>
              <w:top w:val="single" w:color="auto" w:sz="4" w:space="0"/>
              <w:left w:val="single" w:color="auto" w:sz="4" w:space="0"/>
              <w:bottom w:val="single" w:color="auto" w:sz="4" w:space="0"/>
              <w:right w:val="single" w:color="auto" w:sz="4" w:space="0"/>
            </w:tcBorders>
          </w:tcPr>
          <w:p>
            <w:pPr>
              <w:rPr>
                <w:bCs/>
                <w:sz w:val="24"/>
              </w:rPr>
            </w:pPr>
          </w:p>
        </w:tc>
        <w:tc>
          <w:tcPr>
            <w:tcW w:w="2356" w:type="dxa"/>
            <w:tcBorders>
              <w:top w:val="single" w:color="auto" w:sz="4" w:space="0"/>
              <w:left w:val="single" w:color="auto" w:sz="4" w:space="0"/>
              <w:bottom w:val="single" w:color="auto" w:sz="4" w:space="0"/>
              <w:right w:val="single" w:color="auto" w:sz="4" w:space="0"/>
            </w:tcBorders>
          </w:tcPr>
          <w:p>
            <w:pPr>
              <w:rPr>
                <w:bCs/>
                <w:sz w:val="24"/>
              </w:rPr>
            </w:pPr>
          </w:p>
        </w:tc>
        <w:tc>
          <w:tcPr>
            <w:tcW w:w="904"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276" w:type="dxa"/>
            <w:tcBorders>
              <w:top w:val="single" w:color="auto" w:sz="4" w:space="0"/>
              <w:left w:val="single" w:color="auto" w:sz="4" w:space="0"/>
              <w:bottom w:val="single" w:color="auto" w:sz="4" w:space="0"/>
              <w:right w:val="single" w:color="auto" w:sz="4" w:space="0"/>
            </w:tcBorders>
          </w:tcPr>
          <w:p>
            <w:pPr>
              <w:rPr>
                <w:bCs/>
                <w:sz w:val="24"/>
              </w:rPr>
            </w:pPr>
          </w:p>
        </w:tc>
        <w:tc>
          <w:tcPr>
            <w:tcW w:w="1481" w:type="dxa"/>
            <w:tcBorders>
              <w:top w:val="single" w:color="auto" w:sz="4" w:space="0"/>
              <w:left w:val="single" w:color="auto" w:sz="4" w:space="0"/>
              <w:bottom w:val="single" w:color="auto" w:sz="4" w:space="0"/>
              <w:right w:val="single" w:color="auto" w:sz="4" w:space="0"/>
            </w:tcBorders>
          </w:tcPr>
          <w:p>
            <w:pPr>
              <w:rPr>
                <w:bCs/>
                <w:sz w:val="24"/>
              </w:rPr>
            </w:pPr>
          </w:p>
        </w:tc>
        <w:tc>
          <w:tcPr>
            <w:tcW w:w="1233" w:type="dxa"/>
            <w:tcBorders>
              <w:top w:val="single" w:color="auto" w:sz="4" w:space="0"/>
              <w:left w:val="single" w:color="auto" w:sz="4" w:space="0"/>
              <w:bottom w:val="single" w:color="auto" w:sz="4" w:space="0"/>
              <w:right w:val="single" w:color="auto" w:sz="4" w:space="0"/>
            </w:tcBorders>
          </w:tcPr>
          <w:p>
            <w:pPr>
              <w:rPr>
                <w:bCs/>
                <w:sz w:val="24"/>
              </w:rPr>
            </w:pPr>
          </w:p>
        </w:tc>
        <w:tc>
          <w:tcPr>
            <w:tcW w:w="1397" w:type="dxa"/>
            <w:tcBorders>
              <w:top w:val="single" w:color="auto" w:sz="4" w:space="0"/>
              <w:left w:val="single" w:color="auto" w:sz="4" w:space="0"/>
              <w:bottom w:val="single" w:color="auto" w:sz="4" w:space="0"/>
              <w:right w:val="single" w:color="auto" w:sz="4" w:space="0"/>
            </w:tcBorders>
          </w:tcPr>
          <w:p>
            <w:pPr>
              <w:rPr>
                <w:bCs/>
                <w:sz w:val="24"/>
              </w:rPr>
            </w:pPr>
          </w:p>
        </w:tc>
        <w:tc>
          <w:tcPr>
            <w:tcW w:w="2356" w:type="dxa"/>
            <w:tcBorders>
              <w:top w:val="single" w:color="auto" w:sz="4" w:space="0"/>
              <w:left w:val="single" w:color="auto" w:sz="4" w:space="0"/>
              <w:bottom w:val="single" w:color="auto" w:sz="4" w:space="0"/>
              <w:right w:val="single" w:color="auto" w:sz="4" w:space="0"/>
            </w:tcBorders>
          </w:tcPr>
          <w:p>
            <w:pPr>
              <w:rPr>
                <w:bCs/>
                <w:sz w:val="24"/>
              </w:rPr>
            </w:pPr>
          </w:p>
        </w:tc>
        <w:tc>
          <w:tcPr>
            <w:tcW w:w="904"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6" w:hRule="atLeast"/>
        </w:trPr>
        <w:tc>
          <w:tcPr>
            <w:tcW w:w="9356" w:type="dxa"/>
            <w:gridSpan w:val="7"/>
            <w:tcBorders>
              <w:top w:val="single" w:color="auto" w:sz="4" w:space="0"/>
              <w:left w:val="single" w:color="auto" w:sz="4" w:space="0"/>
              <w:right w:val="single" w:color="auto" w:sz="4" w:space="0"/>
            </w:tcBorders>
          </w:tcPr>
          <w:p>
            <w:pPr>
              <w:spacing w:line="276" w:lineRule="auto"/>
              <w:rPr>
                <w:bCs/>
                <w:sz w:val="24"/>
              </w:rPr>
            </w:pPr>
            <w:r>
              <w:rPr>
                <w:rFonts w:hint="eastAsia"/>
                <w:sz w:val="24"/>
              </w:rPr>
              <w:t>说明：</w:t>
            </w:r>
            <w:r>
              <w:rPr>
                <w:rFonts w:hint="eastAsia"/>
                <w:bCs/>
                <w:sz w:val="24"/>
              </w:rPr>
              <w:t>投标供应商应当对照专用文件规定的商务要求，逐条如实填写所投物资的具体响应，注明无偏离、正偏离或负偏离，并在备注中注明偏离的具体内容。负偏离应当如实注明。</w:t>
            </w:r>
            <w:r>
              <w:rPr>
                <w:rFonts w:hint="eastAsia"/>
                <w:b/>
                <w:bCs w:val="0"/>
                <w:color w:val="FF0000"/>
                <w:sz w:val="24"/>
              </w:rPr>
              <w:t>本表中带“★”号条款出现负偏离，视为无效投标。</w:t>
            </w:r>
          </w:p>
        </w:tc>
      </w:tr>
    </w:tbl>
    <w:p>
      <w:pPr>
        <w:spacing w:line="560" w:lineRule="exact"/>
        <w:ind w:firstLine="560" w:firstLineChars="200"/>
        <w:rPr>
          <w:bCs/>
          <w:sz w:val="28"/>
          <w:szCs w:val="28"/>
        </w:rPr>
      </w:pPr>
    </w:p>
    <w:p>
      <w:pPr>
        <w:spacing w:line="560" w:lineRule="exact"/>
        <w:ind w:firstLine="3920" w:firstLineChars="1400"/>
        <w:rPr>
          <w:bCs/>
          <w:sz w:val="28"/>
          <w:szCs w:val="28"/>
        </w:rPr>
      </w:pPr>
    </w:p>
    <w:p>
      <w:pPr>
        <w:spacing w:line="560" w:lineRule="exact"/>
        <w:ind w:firstLine="3920" w:firstLineChars="1400"/>
        <w:rPr>
          <w:bCs/>
          <w:sz w:val="28"/>
          <w:szCs w:val="28"/>
        </w:rPr>
      </w:pPr>
      <w:r>
        <w:rPr>
          <w:rFonts w:hint="eastAsia"/>
          <w:bCs/>
          <w:sz w:val="28"/>
          <w:szCs w:val="28"/>
        </w:rPr>
        <w:t>投标供应商全称：（盖章）</w:t>
      </w:r>
    </w:p>
    <w:p>
      <w:pPr>
        <w:spacing w:line="560" w:lineRule="exact"/>
        <w:ind w:firstLine="3920" w:firstLineChars="1400"/>
        <w:rPr>
          <w:bCs/>
          <w:sz w:val="28"/>
          <w:szCs w:val="28"/>
        </w:rPr>
      </w:pPr>
      <w:r>
        <w:rPr>
          <w:rFonts w:hint="eastAsia"/>
          <w:bCs/>
          <w:sz w:val="28"/>
          <w:szCs w:val="28"/>
        </w:rPr>
        <w:t>法定代表人（或授权代表）：（签字）</w:t>
      </w:r>
    </w:p>
    <w:p>
      <w:pPr>
        <w:spacing w:line="560" w:lineRule="exact"/>
        <w:ind w:firstLine="6440" w:firstLineChars="2300"/>
        <w:rPr>
          <w:bCs/>
          <w:sz w:val="28"/>
          <w:szCs w:val="28"/>
        </w:rPr>
      </w:pP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jc w:val="center"/>
        <w:rPr>
          <w:bCs/>
          <w:snapToGrid w:val="0"/>
          <w:sz w:val="28"/>
          <w:szCs w:val="28"/>
          <w:lang w:val="zh-CN"/>
        </w:rPr>
      </w:pPr>
    </w:p>
    <w:p>
      <w:pPr>
        <w:pStyle w:val="5"/>
        <w:spacing w:before="120" w:beforeLines="50" w:after="120" w:afterLines="50"/>
        <w:rPr>
          <w:b w:val="0"/>
        </w:rPr>
        <w:sectPr>
          <w:pgSz w:w="11906" w:h="16838"/>
          <w:pgMar w:top="1418" w:right="1134" w:bottom="1418" w:left="1418" w:header="851" w:footer="851" w:gutter="0"/>
          <w:cols w:space="720" w:num="1"/>
          <w:docGrid w:linePitch="388" w:charSpace="-1260"/>
        </w:sectPr>
      </w:pPr>
    </w:p>
    <w:p>
      <w:pPr>
        <w:pStyle w:val="5"/>
        <w:spacing w:before="194" w:beforeLines="50" w:after="194" w:afterLines="50"/>
        <w:rPr>
          <w:b w:val="0"/>
        </w:rPr>
      </w:pPr>
      <w:r>
        <w:rPr>
          <w:rFonts w:hint="eastAsia"/>
          <w:b w:val="0"/>
        </w:rPr>
        <w:t>附件</w:t>
      </w:r>
      <w:r>
        <w:rPr>
          <w:b w:val="0"/>
        </w:rPr>
        <w:t>2-</w:t>
      </w:r>
      <w:bookmarkEnd w:id="331"/>
      <w:bookmarkEnd w:id="332"/>
      <w:bookmarkEnd w:id="333"/>
      <w:r>
        <w:rPr>
          <w:b w:val="0"/>
        </w:rPr>
        <w:t xml:space="preserve">6 </w:t>
      </w:r>
      <w:r>
        <w:rPr>
          <w:rFonts w:hint="eastAsia"/>
          <w:b w:val="0"/>
        </w:rPr>
        <w:t>技术指标参数响应偏离表</w:t>
      </w:r>
      <w:bookmarkEnd w:id="334"/>
    </w:p>
    <w:p>
      <w:pPr>
        <w:spacing w:before="194" w:beforeLines="50" w:after="194" w:afterLines="50" w:line="560" w:lineRule="exact"/>
        <w:jc w:val="center"/>
        <w:rPr>
          <w:rFonts w:eastAsia="方正小标宋简体"/>
          <w:bCs/>
          <w:sz w:val="44"/>
          <w:szCs w:val="44"/>
          <w:lang w:val="zh-CN"/>
        </w:rPr>
      </w:pPr>
      <w:r>
        <w:rPr>
          <w:rFonts w:hint="eastAsia" w:ascii="黑体" w:hAnsi="黑体" w:eastAsia="黑体" w:cs="黑体"/>
          <w:bCs/>
          <w:sz w:val="36"/>
          <w:szCs w:val="36"/>
          <w:lang w:val="zh-CN"/>
        </w:rPr>
        <w:t>技术指标参数响应偏离表</w:t>
      </w:r>
    </w:p>
    <w:p>
      <w:pPr>
        <w:rPr>
          <w:bCs/>
          <w:sz w:val="28"/>
          <w:szCs w:val="28"/>
        </w:rPr>
      </w:pPr>
      <w:r>
        <w:rPr>
          <w:rFonts w:hint="eastAsia"/>
          <w:bCs/>
          <w:sz w:val="28"/>
          <w:szCs w:val="28"/>
        </w:rPr>
        <w:t>项目名称：</w:t>
      </w:r>
      <w:r>
        <w:rPr>
          <w:rFonts w:ascii="宋体" w:hAnsi="宋体"/>
          <w:bCs/>
          <w:sz w:val="28"/>
          <w:szCs w:val="28"/>
          <w:u w:val="single"/>
        </w:rPr>
        <w:t xml:space="preserve">            </w:t>
      </w:r>
      <w:r>
        <w:rPr>
          <w:bCs/>
          <w:sz w:val="28"/>
          <w:szCs w:val="28"/>
        </w:rPr>
        <w:t xml:space="preserve"> </w:t>
      </w:r>
      <w:r>
        <w:rPr>
          <w:rFonts w:hint="eastAsia"/>
          <w:bCs/>
          <w:sz w:val="28"/>
          <w:szCs w:val="28"/>
        </w:rPr>
        <w:t>项目编号：</w:t>
      </w:r>
      <w:r>
        <w:rPr>
          <w:rFonts w:ascii="宋体" w:hAnsi="宋体"/>
          <w:bCs/>
          <w:sz w:val="28"/>
          <w:szCs w:val="28"/>
          <w:u w:val="single"/>
        </w:rPr>
        <w:t xml:space="preserve">            </w:t>
      </w:r>
      <w:r>
        <w:rPr>
          <w:bCs/>
          <w:sz w:val="28"/>
          <w:szCs w:val="28"/>
        </w:rPr>
        <w:t xml:space="preserve"> </w:t>
      </w:r>
    </w:p>
    <w:tbl>
      <w:tblPr>
        <w:tblStyle w:val="42"/>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1275"/>
        <w:gridCol w:w="1560"/>
        <w:gridCol w:w="1275"/>
        <w:gridCol w:w="2095"/>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9" w:hRule="atLeast"/>
        </w:trPr>
        <w:tc>
          <w:tcPr>
            <w:tcW w:w="709" w:type="dxa"/>
            <w:vAlign w:val="center"/>
          </w:tcPr>
          <w:p>
            <w:pPr>
              <w:widowControl/>
              <w:jc w:val="center"/>
              <w:rPr>
                <w:bCs/>
                <w:sz w:val="24"/>
              </w:rPr>
            </w:pPr>
            <w:r>
              <w:rPr>
                <w:rFonts w:hint="eastAsia"/>
                <w:bCs/>
                <w:sz w:val="24"/>
              </w:rPr>
              <w:t>序号</w:t>
            </w:r>
          </w:p>
        </w:tc>
        <w:tc>
          <w:tcPr>
            <w:tcW w:w="1418" w:type="dxa"/>
            <w:vAlign w:val="center"/>
          </w:tcPr>
          <w:p>
            <w:pPr>
              <w:widowControl/>
              <w:jc w:val="center"/>
              <w:rPr>
                <w:bCs/>
                <w:sz w:val="24"/>
              </w:rPr>
            </w:pPr>
            <w:r>
              <w:rPr>
                <w:rFonts w:hint="eastAsia"/>
                <w:bCs/>
                <w:sz w:val="24"/>
              </w:rPr>
              <w:t>评审项目</w:t>
            </w:r>
          </w:p>
        </w:tc>
        <w:tc>
          <w:tcPr>
            <w:tcW w:w="1275" w:type="dxa"/>
            <w:vAlign w:val="center"/>
          </w:tcPr>
          <w:p>
            <w:pPr>
              <w:widowControl/>
              <w:jc w:val="center"/>
              <w:rPr>
                <w:bCs/>
                <w:sz w:val="24"/>
              </w:rPr>
            </w:pPr>
            <w:r>
              <w:rPr>
                <w:rFonts w:hint="eastAsia"/>
                <w:bCs/>
                <w:sz w:val="24"/>
              </w:rPr>
              <w:t>技术评审要求</w:t>
            </w:r>
          </w:p>
        </w:tc>
        <w:tc>
          <w:tcPr>
            <w:tcW w:w="1560" w:type="dxa"/>
            <w:vAlign w:val="center"/>
          </w:tcPr>
          <w:p>
            <w:pPr>
              <w:widowControl/>
              <w:jc w:val="center"/>
              <w:rPr>
                <w:bCs/>
                <w:sz w:val="24"/>
              </w:rPr>
            </w:pPr>
            <w:r>
              <w:rPr>
                <w:rFonts w:hint="eastAsia"/>
                <w:bCs/>
                <w:sz w:val="24"/>
              </w:rPr>
              <w:t>技术参数</w:t>
            </w:r>
          </w:p>
          <w:p>
            <w:pPr>
              <w:widowControl/>
              <w:jc w:val="center"/>
              <w:rPr>
                <w:bCs/>
                <w:sz w:val="24"/>
              </w:rPr>
            </w:pPr>
            <w:r>
              <w:rPr>
                <w:rFonts w:hint="eastAsia"/>
                <w:bCs/>
                <w:sz w:val="24"/>
              </w:rPr>
              <w:t>响应</w:t>
            </w:r>
          </w:p>
        </w:tc>
        <w:tc>
          <w:tcPr>
            <w:tcW w:w="1275" w:type="dxa"/>
            <w:vAlign w:val="center"/>
          </w:tcPr>
          <w:p>
            <w:pPr>
              <w:widowControl/>
              <w:jc w:val="center"/>
              <w:rPr>
                <w:bCs/>
                <w:sz w:val="24"/>
              </w:rPr>
            </w:pPr>
            <w:r>
              <w:rPr>
                <w:rFonts w:hint="eastAsia"/>
                <w:bCs/>
                <w:sz w:val="24"/>
              </w:rPr>
              <w:t>偏离度</w:t>
            </w:r>
          </w:p>
        </w:tc>
        <w:tc>
          <w:tcPr>
            <w:tcW w:w="2095" w:type="dxa"/>
            <w:vAlign w:val="center"/>
          </w:tcPr>
          <w:p>
            <w:pPr>
              <w:widowControl/>
              <w:jc w:val="center"/>
              <w:rPr>
                <w:bCs/>
                <w:sz w:val="24"/>
              </w:rPr>
            </w:pPr>
            <w:r>
              <w:rPr>
                <w:rFonts w:hint="eastAsia"/>
                <w:bCs/>
                <w:sz w:val="24"/>
              </w:rPr>
              <w:t>文件名称</w:t>
            </w:r>
            <w:r>
              <w:rPr>
                <w:rFonts w:hint="eastAsia" w:ascii="宋体" w:hAnsi="宋体"/>
                <w:bCs/>
                <w:sz w:val="24"/>
              </w:rPr>
              <w:t>∕页码</w:t>
            </w:r>
          </w:p>
        </w:tc>
        <w:tc>
          <w:tcPr>
            <w:tcW w:w="1024" w:type="dxa"/>
            <w:vAlign w:val="center"/>
          </w:tcPr>
          <w:p>
            <w:pPr>
              <w:widowControl/>
              <w:jc w:val="center"/>
              <w:rPr>
                <w:bCs/>
                <w:sz w:val="24"/>
              </w:rPr>
            </w:pPr>
            <w:r>
              <w:rPr>
                <w:rFonts w:hint="eastAsia"/>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exact"/>
        </w:trPr>
        <w:tc>
          <w:tcPr>
            <w:tcW w:w="709"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eastAsia="宋体" w:cs="宋体"/>
                <w:color w:val="000000"/>
                <w:sz w:val="21"/>
                <w:szCs w:val="21"/>
                <w:lang w:val="en-US" w:eastAsia="zh-CN" w:bidi="zh-CN"/>
              </w:rPr>
              <w:t>1</w:t>
            </w:r>
          </w:p>
        </w:tc>
        <w:tc>
          <w:tcPr>
            <w:tcW w:w="1418"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default" w:ascii="宋体" w:hAnsi="宋体" w:eastAsia="宋体" w:cs="宋体"/>
                <w:color w:val="000000"/>
                <w:sz w:val="21"/>
                <w:szCs w:val="21"/>
                <w:lang w:val="en-US" w:eastAsia="zh-CN" w:bidi="zh-CN"/>
              </w:rPr>
              <w:t>产品用途及使用范围</w:t>
            </w:r>
          </w:p>
        </w:tc>
        <w:tc>
          <w:tcPr>
            <w:tcW w:w="1275" w:type="dxa"/>
          </w:tcPr>
          <w:p>
            <w:pPr>
              <w:rPr>
                <w:bCs/>
                <w:sz w:val="24"/>
              </w:rPr>
            </w:pPr>
          </w:p>
        </w:tc>
        <w:tc>
          <w:tcPr>
            <w:tcW w:w="1560" w:type="dxa"/>
          </w:tcPr>
          <w:p>
            <w:pPr>
              <w:rPr>
                <w:bCs/>
                <w:sz w:val="24"/>
              </w:rPr>
            </w:pPr>
          </w:p>
        </w:tc>
        <w:tc>
          <w:tcPr>
            <w:tcW w:w="1275" w:type="dxa"/>
          </w:tcPr>
          <w:p>
            <w:pPr>
              <w:rPr>
                <w:bCs/>
                <w:sz w:val="24"/>
              </w:rPr>
            </w:pPr>
          </w:p>
        </w:tc>
        <w:tc>
          <w:tcPr>
            <w:tcW w:w="2095" w:type="dxa"/>
          </w:tcPr>
          <w:p>
            <w:pPr>
              <w:rPr>
                <w:bCs/>
                <w:sz w:val="24"/>
              </w:rPr>
            </w:pPr>
          </w:p>
        </w:tc>
        <w:tc>
          <w:tcPr>
            <w:tcW w:w="1024" w:type="dxa"/>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2</w:t>
            </w:r>
          </w:p>
        </w:tc>
        <w:tc>
          <w:tcPr>
            <w:tcW w:w="1418"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安装场地</w:t>
            </w:r>
          </w:p>
        </w:tc>
        <w:tc>
          <w:tcPr>
            <w:tcW w:w="1275" w:type="dxa"/>
          </w:tcPr>
          <w:p>
            <w:pPr>
              <w:rPr>
                <w:bCs/>
                <w:sz w:val="24"/>
              </w:rPr>
            </w:pPr>
          </w:p>
        </w:tc>
        <w:tc>
          <w:tcPr>
            <w:tcW w:w="1560" w:type="dxa"/>
          </w:tcPr>
          <w:p>
            <w:pPr>
              <w:rPr>
                <w:bCs/>
                <w:sz w:val="24"/>
              </w:rPr>
            </w:pPr>
          </w:p>
        </w:tc>
        <w:tc>
          <w:tcPr>
            <w:tcW w:w="1275" w:type="dxa"/>
          </w:tcPr>
          <w:p>
            <w:pPr>
              <w:rPr>
                <w:bCs/>
                <w:sz w:val="24"/>
              </w:rPr>
            </w:pPr>
          </w:p>
        </w:tc>
        <w:tc>
          <w:tcPr>
            <w:tcW w:w="2095" w:type="dxa"/>
          </w:tcPr>
          <w:p>
            <w:pPr>
              <w:rPr>
                <w:bCs/>
                <w:sz w:val="24"/>
              </w:rPr>
            </w:pPr>
          </w:p>
        </w:tc>
        <w:tc>
          <w:tcPr>
            <w:tcW w:w="1024" w:type="dxa"/>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3</w:t>
            </w:r>
          </w:p>
        </w:tc>
        <w:tc>
          <w:tcPr>
            <w:tcW w:w="1418"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使用环境</w:t>
            </w:r>
          </w:p>
        </w:tc>
        <w:tc>
          <w:tcPr>
            <w:tcW w:w="1275" w:type="dxa"/>
          </w:tcPr>
          <w:p>
            <w:pPr>
              <w:rPr>
                <w:bCs/>
                <w:sz w:val="24"/>
              </w:rPr>
            </w:pPr>
          </w:p>
        </w:tc>
        <w:tc>
          <w:tcPr>
            <w:tcW w:w="1560" w:type="dxa"/>
          </w:tcPr>
          <w:p>
            <w:pPr>
              <w:rPr>
                <w:bCs/>
                <w:sz w:val="24"/>
              </w:rPr>
            </w:pPr>
          </w:p>
        </w:tc>
        <w:tc>
          <w:tcPr>
            <w:tcW w:w="1275" w:type="dxa"/>
          </w:tcPr>
          <w:p>
            <w:pPr>
              <w:rPr>
                <w:bCs/>
                <w:sz w:val="24"/>
              </w:rPr>
            </w:pPr>
          </w:p>
        </w:tc>
        <w:tc>
          <w:tcPr>
            <w:tcW w:w="2095" w:type="dxa"/>
          </w:tcPr>
          <w:p>
            <w:pPr>
              <w:rPr>
                <w:bCs/>
                <w:sz w:val="24"/>
              </w:rPr>
            </w:pPr>
          </w:p>
        </w:tc>
        <w:tc>
          <w:tcPr>
            <w:tcW w:w="1024" w:type="dxa"/>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2" w:hRule="exact"/>
        </w:trPr>
        <w:tc>
          <w:tcPr>
            <w:tcW w:w="709"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4</w:t>
            </w:r>
          </w:p>
        </w:tc>
        <w:tc>
          <w:tcPr>
            <w:tcW w:w="1418"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具体性能与技术参数要求请供应商自行罗列</w:t>
            </w:r>
          </w:p>
        </w:tc>
        <w:tc>
          <w:tcPr>
            <w:tcW w:w="1275" w:type="dxa"/>
          </w:tcPr>
          <w:p>
            <w:pPr>
              <w:rPr>
                <w:bCs/>
                <w:sz w:val="24"/>
              </w:rPr>
            </w:pPr>
          </w:p>
        </w:tc>
        <w:tc>
          <w:tcPr>
            <w:tcW w:w="1560" w:type="dxa"/>
          </w:tcPr>
          <w:p>
            <w:pPr>
              <w:rPr>
                <w:bCs/>
                <w:sz w:val="24"/>
              </w:rPr>
            </w:pPr>
          </w:p>
        </w:tc>
        <w:tc>
          <w:tcPr>
            <w:tcW w:w="1275" w:type="dxa"/>
          </w:tcPr>
          <w:p>
            <w:pPr>
              <w:rPr>
                <w:bCs/>
                <w:sz w:val="24"/>
              </w:rPr>
            </w:pPr>
          </w:p>
        </w:tc>
        <w:tc>
          <w:tcPr>
            <w:tcW w:w="2095" w:type="dxa"/>
          </w:tcPr>
          <w:p>
            <w:pPr>
              <w:rPr>
                <w:bCs/>
                <w:sz w:val="24"/>
              </w:rPr>
            </w:pPr>
          </w:p>
        </w:tc>
        <w:tc>
          <w:tcPr>
            <w:tcW w:w="1024" w:type="dxa"/>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w:t>
            </w:r>
          </w:p>
        </w:tc>
        <w:tc>
          <w:tcPr>
            <w:tcW w:w="1418"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w:t>
            </w:r>
          </w:p>
        </w:tc>
        <w:tc>
          <w:tcPr>
            <w:tcW w:w="1275" w:type="dxa"/>
          </w:tcPr>
          <w:p>
            <w:pPr>
              <w:rPr>
                <w:bCs/>
                <w:sz w:val="24"/>
              </w:rPr>
            </w:pPr>
          </w:p>
        </w:tc>
        <w:tc>
          <w:tcPr>
            <w:tcW w:w="1560" w:type="dxa"/>
          </w:tcPr>
          <w:p>
            <w:pPr>
              <w:rPr>
                <w:bCs/>
                <w:sz w:val="24"/>
              </w:rPr>
            </w:pPr>
          </w:p>
        </w:tc>
        <w:tc>
          <w:tcPr>
            <w:tcW w:w="1275" w:type="dxa"/>
          </w:tcPr>
          <w:p>
            <w:pPr>
              <w:rPr>
                <w:bCs/>
                <w:sz w:val="24"/>
              </w:rPr>
            </w:pPr>
          </w:p>
        </w:tc>
        <w:tc>
          <w:tcPr>
            <w:tcW w:w="2095" w:type="dxa"/>
          </w:tcPr>
          <w:p>
            <w:pPr>
              <w:rPr>
                <w:bCs/>
                <w:sz w:val="24"/>
              </w:rPr>
            </w:pPr>
          </w:p>
        </w:tc>
        <w:tc>
          <w:tcPr>
            <w:tcW w:w="1024" w:type="dxa"/>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w:t>
            </w:r>
          </w:p>
        </w:tc>
        <w:tc>
          <w:tcPr>
            <w:tcW w:w="1418"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配置需求</w:t>
            </w:r>
          </w:p>
        </w:tc>
        <w:tc>
          <w:tcPr>
            <w:tcW w:w="1275" w:type="dxa"/>
          </w:tcPr>
          <w:p>
            <w:pPr>
              <w:rPr>
                <w:bCs/>
                <w:sz w:val="24"/>
              </w:rPr>
            </w:pPr>
          </w:p>
        </w:tc>
        <w:tc>
          <w:tcPr>
            <w:tcW w:w="1560" w:type="dxa"/>
          </w:tcPr>
          <w:p>
            <w:pPr>
              <w:rPr>
                <w:bCs/>
                <w:sz w:val="24"/>
              </w:rPr>
            </w:pPr>
          </w:p>
        </w:tc>
        <w:tc>
          <w:tcPr>
            <w:tcW w:w="1275" w:type="dxa"/>
          </w:tcPr>
          <w:p>
            <w:pPr>
              <w:rPr>
                <w:bCs/>
                <w:sz w:val="24"/>
              </w:rPr>
            </w:pPr>
          </w:p>
        </w:tc>
        <w:tc>
          <w:tcPr>
            <w:tcW w:w="2095" w:type="dxa"/>
          </w:tcPr>
          <w:p>
            <w:pPr>
              <w:rPr>
                <w:bCs/>
                <w:sz w:val="24"/>
              </w:rPr>
            </w:pPr>
          </w:p>
        </w:tc>
        <w:tc>
          <w:tcPr>
            <w:tcW w:w="1024" w:type="dxa"/>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vAlign w:val="center"/>
          </w:tcPr>
          <w:p>
            <w:pPr>
              <w:keepNext w:val="0"/>
              <w:keepLines w:val="0"/>
              <w:widowControl/>
              <w:suppressLineNumbers w:val="0"/>
              <w:spacing w:before="0" w:beforeAutospacing="0" w:after="0" w:afterAutospacing="0"/>
              <w:ind w:left="0" w:leftChars="0" w:right="0" w:rightChars="0"/>
              <w:jc w:val="center"/>
              <w:rPr>
                <w:bCs/>
                <w:sz w:val="24"/>
              </w:rPr>
            </w:pPr>
          </w:p>
        </w:tc>
        <w:tc>
          <w:tcPr>
            <w:tcW w:w="1418"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w:t>
            </w:r>
          </w:p>
        </w:tc>
        <w:tc>
          <w:tcPr>
            <w:tcW w:w="1275" w:type="dxa"/>
          </w:tcPr>
          <w:p>
            <w:pPr>
              <w:rPr>
                <w:bCs/>
                <w:sz w:val="24"/>
              </w:rPr>
            </w:pPr>
          </w:p>
        </w:tc>
        <w:tc>
          <w:tcPr>
            <w:tcW w:w="1560" w:type="dxa"/>
          </w:tcPr>
          <w:p>
            <w:pPr>
              <w:rPr>
                <w:bCs/>
                <w:sz w:val="24"/>
              </w:rPr>
            </w:pPr>
          </w:p>
        </w:tc>
        <w:tc>
          <w:tcPr>
            <w:tcW w:w="1275" w:type="dxa"/>
          </w:tcPr>
          <w:p>
            <w:pPr>
              <w:rPr>
                <w:bCs/>
                <w:sz w:val="24"/>
              </w:rPr>
            </w:pPr>
          </w:p>
        </w:tc>
        <w:tc>
          <w:tcPr>
            <w:tcW w:w="2095" w:type="dxa"/>
          </w:tcPr>
          <w:p>
            <w:pPr>
              <w:rPr>
                <w:bCs/>
                <w:sz w:val="24"/>
              </w:rPr>
            </w:pPr>
          </w:p>
        </w:tc>
        <w:tc>
          <w:tcPr>
            <w:tcW w:w="1024" w:type="dxa"/>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8" w:hRule="exact"/>
        </w:trPr>
        <w:tc>
          <w:tcPr>
            <w:tcW w:w="9356" w:type="dxa"/>
            <w:gridSpan w:val="7"/>
          </w:tcPr>
          <w:p>
            <w:pPr>
              <w:spacing w:line="276" w:lineRule="auto"/>
              <w:rPr>
                <w:bCs/>
                <w:sz w:val="24"/>
              </w:rPr>
            </w:pPr>
            <w:r>
              <w:rPr>
                <w:rFonts w:hint="eastAsia"/>
                <w:bCs/>
                <w:sz w:val="24"/>
              </w:rPr>
              <w:t>说明：投标供应商应当对照专用文件规定的技术要求，逐条如实填写所投物资的具体技术评审参数，注明无偏离、正偏离或负偏离，并在备注中注明偏离的具体内容。</w:t>
            </w:r>
            <w:r>
              <w:rPr>
                <w:rFonts w:hint="eastAsia"/>
                <w:b/>
                <w:bCs w:val="0"/>
                <w:color w:val="FF0000"/>
                <w:sz w:val="24"/>
              </w:rPr>
              <w:t>技术指标参数响应栏如果原文完全复制招标文件技术要求，作无效投标处理。</w:t>
            </w:r>
            <w:r>
              <w:rPr>
                <w:rFonts w:hint="eastAsia"/>
                <w:bCs/>
                <w:sz w:val="24"/>
              </w:rPr>
              <w:t>负偏离应当如实注明。</w:t>
            </w:r>
            <w:r>
              <w:rPr>
                <w:rFonts w:hint="eastAsia"/>
                <w:b/>
                <w:bCs w:val="0"/>
                <w:color w:val="FF0000"/>
                <w:sz w:val="24"/>
              </w:rPr>
              <w:t>本表中带“★”号条款出现负偏离，视为无效投标。</w:t>
            </w:r>
          </w:p>
        </w:tc>
      </w:tr>
    </w:tbl>
    <w:p>
      <w:pPr>
        <w:pStyle w:val="16"/>
      </w:pPr>
    </w:p>
    <w:p>
      <w:pPr>
        <w:rPr>
          <w:bCs/>
        </w:rPr>
      </w:pPr>
    </w:p>
    <w:p>
      <w:pPr>
        <w:spacing w:line="560" w:lineRule="exact"/>
        <w:ind w:firstLine="3836" w:firstLineChars="1400"/>
        <w:rPr>
          <w:bCs/>
          <w:sz w:val="28"/>
          <w:szCs w:val="28"/>
        </w:rPr>
      </w:pPr>
      <w:r>
        <w:rPr>
          <w:rFonts w:hint="eastAsia"/>
          <w:bCs/>
          <w:sz w:val="28"/>
          <w:szCs w:val="28"/>
        </w:rPr>
        <w:t>投标供应商全称：（盖章）</w:t>
      </w:r>
    </w:p>
    <w:p>
      <w:pPr>
        <w:spacing w:line="560" w:lineRule="exact"/>
        <w:ind w:firstLine="3836" w:firstLineChars="1400"/>
        <w:rPr>
          <w:bCs/>
          <w:sz w:val="28"/>
          <w:szCs w:val="28"/>
        </w:rPr>
      </w:pPr>
      <w:r>
        <w:rPr>
          <w:rFonts w:hint="eastAsia"/>
          <w:bCs/>
          <w:sz w:val="28"/>
          <w:szCs w:val="28"/>
        </w:rPr>
        <w:t>法定代表人（或授权代表）：（签字）</w:t>
      </w:r>
    </w:p>
    <w:p>
      <w:pPr>
        <w:spacing w:line="560" w:lineRule="exact"/>
        <w:ind w:firstLine="6302" w:firstLineChars="2300"/>
        <w:rPr>
          <w:bCs/>
          <w:sz w:val="28"/>
          <w:szCs w:val="28"/>
        </w:rPr>
      </w:pP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ind w:firstLine="408" w:firstLineChars="200"/>
        <w:jc w:val="center"/>
      </w:pPr>
    </w:p>
    <w:p>
      <w:pPr>
        <w:widowControl/>
        <w:jc w:val="left"/>
        <w:rPr>
          <w:rFonts w:ascii="Arial" w:hAnsi="Arial" w:eastAsia="黑体"/>
          <w:bCs/>
          <w:sz w:val="28"/>
          <w:szCs w:val="28"/>
        </w:rPr>
      </w:pPr>
      <w:r>
        <w:rPr>
          <w:b/>
        </w:rPr>
        <w:br w:type="page"/>
      </w:r>
    </w:p>
    <w:p>
      <w:pPr>
        <w:pStyle w:val="5"/>
        <w:spacing w:before="194" w:beforeLines="50" w:after="194" w:afterLines="50"/>
      </w:pPr>
      <w:r>
        <w:rPr>
          <w:rFonts w:hint="eastAsia"/>
          <w:b w:val="0"/>
        </w:rPr>
        <w:t>附件</w:t>
      </w:r>
      <w:r>
        <w:rPr>
          <w:b w:val="0"/>
        </w:rPr>
        <w:t xml:space="preserve">2-7 </w:t>
      </w:r>
      <w:r>
        <w:rPr>
          <w:rFonts w:hint="eastAsia"/>
          <w:b w:val="0"/>
        </w:rPr>
        <w:t>交货清单</w:t>
      </w:r>
    </w:p>
    <w:p>
      <w:pPr>
        <w:spacing w:before="194" w:beforeLines="50" w:after="194" w:afterLines="50" w:line="560" w:lineRule="exact"/>
        <w:jc w:val="center"/>
        <w:rPr>
          <w:rFonts w:ascii="黑体" w:hAnsi="黑体" w:eastAsia="黑体" w:cs="黑体"/>
          <w:bCs/>
          <w:sz w:val="36"/>
          <w:szCs w:val="36"/>
          <w:lang w:val="zh-CN"/>
        </w:rPr>
      </w:pPr>
      <w:r>
        <w:rPr>
          <w:rFonts w:ascii="黑体" w:hAnsi="黑体" w:eastAsia="黑体" w:cs="黑体"/>
          <w:bCs/>
          <w:sz w:val="36"/>
          <w:szCs w:val="36"/>
          <w:lang w:val="zh-CN"/>
        </w:rPr>
        <w:t>交货清单</w:t>
      </w:r>
    </w:p>
    <w:p>
      <w:pPr>
        <w:rPr>
          <w:snapToGrid w:val="0"/>
          <w:sz w:val="28"/>
          <w:szCs w:val="28"/>
          <w:lang w:val="zh-CN"/>
        </w:rPr>
      </w:pPr>
      <w:r>
        <w:rPr>
          <w:sz w:val="28"/>
          <w:szCs w:val="28"/>
        </w:rPr>
        <w:t>项目名称：</w:t>
      </w:r>
      <w:r>
        <w:rPr>
          <w:sz w:val="28"/>
          <w:szCs w:val="28"/>
          <w:u w:val="single"/>
        </w:rPr>
        <w:t xml:space="preserve">          </w:t>
      </w:r>
      <w:r>
        <w:rPr>
          <w:sz w:val="28"/>
          <w:szCs w:val="28"/>
        </w:rPr>
        <w:t xml:space="preserve">    项目编号：</w:t>
      </w:r>
      <w:r>
        <w:rPr>
          <w:sz w:val="28"/>
          <w:szCs w:val="28"/>
          <w:u w:val="single"/>
        </w:rPr>
        <w:t xml:space="preserve">            </w:t>
      </w:r>
      <w:r>
        <w:rPr>
          <w:sz w:val="28"/>
          <w:szCs w:val="28"/>
        </w:rPr>
        <w:t xml:space="preserve">   </w:t>
      </w:r>
    </w:p>
    <w:tbl>
      <w:tblPr>
        <w:tblStyle w:val="42"/>
        <w:tblW w:w="95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94"/>
        <w:gridCol w:w="882"/>
        <w:gridCol w:w="1369"/>
        <w:gridCol w:w="808"/>
        <w:gridCol w:w="1034"/>
        <w:gridCol w:w="1106"/>
        <w:gridCol w:w="754"/>
        <w:gridCol w:w="754"/>
        <w:gridCol w:w="7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rPr>
                <w:sz w:val="24"/>
              </w:rPr>
            </w:pPr>
            <w:r>
              <w:rPr>
                <w:sz w:val="24"/>
              </w:rPr>
              <w:t>序号</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center"/>
              <w:rPr>
                <w:sz w:val="24"/>
              </w:rPr>
            </w:pPr>
            <w:r>
              <w:rPr>
                <w:rFonts w:hint="eastAsia"/>
                <w:sz w:val="24"/>
              </w:rPr>
              <w:t>物资名称</w:t>
            </w:r>
          </w:p>
        </w:tc>
        <w:tc>
          <w:tcPr>
            <w:tcW w:w="882" w:type="dxa"/>
            <w:tcBorders>
              <w:top w:val="single" w:color="000000" w:sz="4" w:space="0"/>
              <w:left w:val="single" w:color="000000" w:sz="4" w:space="0"/>
              <w:bottom w:val="single" w:color="000000" w:sz="4" w:space="0"/>
              <w:right w:val="single" w:color="000000" w:sz="4" w:space="0"/>
            </w:tcBorders>
            <w:vAlign w:val="center"/>
          </w:tcPr>
          <w:p>
            <w:pPr>
              <w:widowControl/>
              <w:jc w:val="center"/>
              <w:rPr>
                <w:sz w:val="24"/>
              </w:rPr>
            </w:pPr>
            <w:r>
              <w:rPr>
                <w:sz w:val="24"/>
              </w:rPr>
              <w:t>品牌</w:t>
            </w: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center"/>
              <w:rPr>
                <w:sz w:val="24"/>
              </w:rPr>
            </w:pPr>
            <w:r>
              <w:rPr>
                <w:sz w:val="24"/>
              </w:rPr>
              <w:t>规格型号</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rPr>
                <w:sz w:val="24"/>
              </w:rPr>
            </w:pPr>
            <w:r>
              <w:rPr>
                <w:sz w:val="24"/>
              </w:rPr>
              <w:t>单位</w:t>
            </w:r>
          </w:p>
        </w:tc>
        <w:tc>
          <w:tcPr>
            <w:tcW w:w="1034" w:type="dxa"/>
            <w:tcBorders>
              <w:top w:val="single" w:color="000000" w:sz="4" w:space="0"/>
              <w:left w:val="single" w:color="auto" w:sz="4" w:space="0"/>
              <w:bottom w:val="single" w:color="000000" w:sz="4" w:space="0"/>
              <w:right w:val="single" w:color="auto" w:sz="4" w:space="0"/>
            </w:tcBorders>
            <w:vAlign w:val="center"/>
          </w:tcPr>
          <w:p>
            <w:pPr>
              <w:widowControl/>
              <w:jc w:val="center"/>
              <w:rPr>
                <w:sz w:val="24"/>
              </w:rPr>
            </w:pPr>
            <w:r>
              <w:rPr>
                <w:rFonts w:hint="eastAsia"/>
                <w:sz w:val="24"/>
              </w:rPr>
              <w:t>数量</w:t>
            </w:r>
          </w:p>
        </w:tc>
        <w:tc>
          <w:tcPr>
            <w:tcW w:w="1106" w:type="dxa"/>
            <w:tcBorders>
              <w:top w:val="single" w:color="000000" w:sz="4" w:space="0"/>
              <w:left w:val="single" w:color="auto" w:sz="4" w:space="0"/>
              <w:bottom w:val="single" w:color="000000" w:sz="4" w:space="0"/>
              <w:right w:val="single" w:color="000000" w:sz="4" w:space="0"/>
            </w:tcBorders>
            <w:vAlign w:val="center"/>
          </w:tcPr>
          <w:p>
            <w:pPr>
              <w:widowControl/>
              <w:jc w:val="center"/>
              <w:rPr>
                <w:sz w:val="24"/>
              </w:rPr>
            </w:pPr>
            <w:r>
              <w:rPr>
                <w:sz w:val="24"/>
              </w:rPr>
              <w:t>原产地</w:t>
            </w:r>
          </w:p>
        </w:tc>
        <w:tc>
          <w:tcPr>
            <w:tcW w:w="754" w:type="dxa"/>
            <w:tcBorders>
              <w:top w:val="single" w:color="000000" w:sz="4" w:space="0"/>
              <w:left w:val="single" w:color="auto" w:sz="4" w:space="0"/>
              <w:bottom w:val="single" w:color="000000" w:sz="4" w:space="0"/>
              <w:right w:val="single" w:color="000000" w:sz="4" w:space="0"/>
            </w:tcBorders>
            <w:vAlign w:val="center"/>
          </w:tcPr>
          <w:p>
            <w:pPr>
              <w:widowControl/>
              <w:jc w:val="center"/>
              <w:rPr>
                <w:sz w:val="24"/>
              </w:rPr>
            </w:pPr>
            <w:r>
              <w:rPr>
                <w:rFonts w:hint="eastAsia"/>
                <w:snapToGrid w:val="0"/>
                <w:sz w:val="24"/>
              </w:rPr>
              <w:t>交货时间</w:t>
            </w:r>
          </w:p>
        </w:tc>
        <w:tc>
          <w:tcPr>
            <w:tcW w:w="754" w:type="dxa"/>
            <w:tcBorders>
              <w:top w:val="single" w:color="000000" w:sz="4" w:space="0"/>
              <w:left w:val="single" w:color="auto" w:sz="4" w:space="0"/>
              <w:bottom w:val="single" w:color="000000" w:sz="4" w:space="0"/>
              <w:right w:val="single" w:color="000000" w:sz="4" w:space="0"/>
            </w:tcBorders>
            <w:vAlign w:val="center"/>
          </w:tcPr>
          <w:p>
            <w:pPr>
              <w:widowControl/>
              <w:jc w:val="center"/>
              <w:rPr>
                <w:sz w:val="24"/>
              </w:rPr>
            </w:pPr>
            <w:r>
              <w:rPr>
                <w:rFonts w:hint="eastAsia"/>
                <w:snapToGrid w:val="0"/>
                <w:sz w:val="24"/>
              </w:rPr>
              <w:t>交货地点</w:t>
            </w:r>
          </w:p>
        </w:tc>
        <w:tc>
          <w:tcPr>
            <w:tcW w:w="752" w:type="dxa"/>
            <w:tcBorders>
              <w:top w:val="single" w:color="000000" w:sz="4" w:space="0"/>
              <w:left w:val="single" w:color="auto" w:sz="4" w:space="0"/>
              <w:bottom w:val="single" w:color="000000" w:sz="4" w:space="0"/>
              <w:right w:val="single" w:color="000000" w:sz="4" w:space="0"/>
            </w:tcBorders>
            <w:vAlign w:val="center"/>
          </w:tcPr>
          <w:p>
            <w:pPr>
              <w:widowControl/>
              <w:jc w:val="center"/>
              <w:rPr>
                <w:sz w:val="24"/>
              </w:rPr>
            </w:pPr>
            <w:r>
              <w:rPr>
                <w:rFonts w:hint="eastAsia"/>
                <w:snapToGrid w:val="0"/>
                <w:sz w:val="24"/>
              </w:rPr>
              <w:t>交货方式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1294"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882"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1369"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1034" w:type="dxa"/>
            <w:tcBorders>
              <w:top w:val="single" w:color="000000" w:sz="4" w:space="0"/>
              <w:left w:val="single" w:color="auto" w:sz="4" w:space="0"/>
              <w:bottom w:val="single" w:color="000000" w:sz="4" w:space="0"/>
              <w:right w:val="single" w:color="auto" w:sz="4" w:space="0"/>
            </w:tcBorders>
          </w:tcPr>
          <w:p>
            <w:pPr>
              <w:jc w:val="center"/>
              <w:rPr>
                <w:snapToGrid w:val="0"/>
                <w:sz w:val="24"/>
              </w:rPr>
            </w:pPr>
          </w:p>
        </w:tc>
        <w:tc>
          <w:tcPr>
            <w:tcW w:w="1106" w:type="dxa"/>
            <w:tcBorders>
              <w:top w:val="single" w:color="000000" w:sz="4" w:space="0"/>
              <w:left w:val="single" w:color="auto" w:sz="4" w:space="0"/>
              <w:bottom w:val="single" w:color="000000" w:sz="4" w:space="0"/>
              <w:right w:val="single" w:color="000000" w:sz="4" w:space="0"/>
            </w:tcBorders>
            <w:vAlign w:val="center"/>
          </w:tcPr>
          <w:p>
            <w:pPr>
              <w:jc w:val="center"/>
              <w:rPr>
                <w:snapToGrid w:val="0"/>
                <w:sz w:val="24"/>
              </w:rPr>
            </w:pPr>
          </w:p>
        </w:tc>
        <w:tc>
          <w:tcPr>
            <w:tcW w:w="754" w:type="dxa"/>
            <w:tcBorders>
              <w:top w:val="single" w:color="000000" w:sz="4" w:space="0"/>
              <w:left w:val="single" w:color="auto" w:sz="4" w:space="0"/>
              <w:bottom w:val="single" w:color="000000" w:sz="4" w:space="0"/>
              <w:right w:val="single" w:color="000000" w:sz="4" w:space="0"/>
            </w:tcBorders>
          </w:tcPr>
          <w:p>
            <w:pPr>
              <w:jc w:val="center"/>
              <w:rPr>
                <w:snapToGrid w:val="0"/>
                <w:sz w:val="24"/>
              </w:rPr>
            </w:pPr>
          </w:p>
        </w:tc>
        <w:tc>
          <w:tcPr>
            <w:tcW w:w="754" w:type="dxa"/>
            <w:tcBorders>
              <w:top w:val="single" w:color="000000" w:sz="4" w:space="0"/>
              <w:left w:val="single" w:color="auto" w:sz="4" w:space="0"/>
              <w:bottom w:val="single" w:color="000000" w:sz="4" w:space="0"/>
              <w:right w:val="single" w:color="000000" w:sz="4" w:space="0"/>
            </w:tcBorders>
          </w:tcPr>
          <w:p>
            <w:pPr>
              <w:jc w:val="center"/>
              <w:rPr>
                <w:snapToGrid w:val="0"/>
                <w:sz w:val="24"/>
              </w:rPr>
            </w:pPr>
          </w:p>
        </w:tc>
        <w:tc>
          <w:tcPr>
            <w:tcW w:w="752" w:type="dxa"/>
            <w:tcBorders>
              <w:top w:val="single" w:color="000000" w:sz="4" w:space="0"/>
              <w:left w:val="single" w:color="auto" w:sz="4" w:space="0"/>
              <w:bottom w:val="single" w:color="000000" w:sz="4" w:space="0"/>
              <w:right w:val="single" w:color="000000" w:sz="4" w:space="0"/>
            </w:tcBorders>
          </w:tcPr>
          <w:p>
            <w:pPr>
              <w:jc w:val="center"/>
              <w:rPr>
                <w:snapToGrid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1294"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882"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1369"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1034" w:type="dxa"/>
            <w:tcBorders>
              <w:top w:val="single" w:color="000000" w:sz="4" w:space="0"/>
              <w:left w:val="single" w:color="auto" w:sz="4" w:space="0"/>
              <w:bottom w:val="single" w:color="000000" w:sz="4" w:space="0"/>
              <w:right w:val="single" w:color="auto" w:sz="4" w:space="0"/>
            </w:tcBorders>
          </w:tcPr>
          <w:p>
            <w:pPr>
              <w:jc w:val="center"/>
              <w:rPr>
                <w:snapToGrid w:val="0"/>
                <w:sz w:val="24"/>
              </w:rPr>
            </w:pPr>
          </w:p>
        </w:tc>
        <w:tc>
          <w:tcPr>
            <w:tcW w:w="1106" w:type="dxa"/>
            <w:tcBorders>
              <w:top w:val="single" w:color="000000" w:sz="4" w:space="0"/>
              <w:left w:val="single" w:color="auto" w:sz="4" w:space="0"/>
              <w:bottom w:val="single" w:color="000000" w:sz="4" w:space="0"/>
              <w:right w:val="single" w:color="000000" w:sz="4" w:space="0"/>
            </w:tcBorders>
            <w:vAlign w:val="center"/>
          </w:tcPr>
          <w:p>
            <w:pPr>
              <w:jc w:val="center"/>
              <w:rPr>
                <w:snapToGrid w:val="0"/>
                <w:sz w:val="24"/>
              </w:rPr>
            </w:pPr>
          </w:p>
        </w:tc>
        <w:tc>
          <w:tcPr>
            <w:tcW w:w="754" w:type="dxa"/>
            <w:tcBorders>
              <w:top w:val="single" w:color="000000" w:sz="4" w:space="0"/>
              <w:left w:val="single" w:color="auto" w:sz="4" w:space="0"/>
              <w:bottom w:val="single" w:color="000000" w:sz="4" w:space="0"/>
              <w:right w:val="single" w:color="000000" w:sz="4" w:space="0"/>
            </w:tcBorders>
          </w:tcPr>
          <w:p>
            <w:pPr>
              <w:jc w:val="center"/>
              <w:rPr>
                <w:snapToGrid w:val="0"/>
                <w:sz w:val="24"/>
              </w:rPr>
            </w:pPr>
          </w:p>
        </w:tc>
        <w:tc>
          <w:tcPr>
            <w:tcW w:w="754" w:type="dxa"/>
            <w:tcBorders>
              <w:top w:val="single" w:color="000000" w:sz="4" w:space="0"/>
              <w:left w:val="single" w:color="auto" w:sz="4" w:space="0"/>
              <w:bottom w:val="single" w:color="000000" w:sz="4" w:space="0"/>
              <w:right w:val="single" w:color="000000" w:sz="4" w:space="0"/>
            </w:tcBorders>
          </w:tcPr>
          <w:p>
            <w:pPr>
              <w:jc w:val="center"/>
              <w:rPr>
                <w:snapToGrid w:val="0"/>
                <w:sz w:val="24"/>
              </w:rPr>
            </w:pPr>
          </w:p>
        </w:tc>
        <w:tc>
          <w:tcPr>
            <w:tcW w:w="752" w:type="dxa"/>
            <w:tcBorders>
              <w:top w:val="single" w:color="000000" w:sz="4" w:space="0"/>
              <w:left w:val="single" w:color="auto" w:sz="4" w:space="0"/>
              <w:bottom w:val="single" w:color="000000" w:sz="4" w:space="0"/>
              <w:right w:val="single" w:color="000000" w:sz="4" w:space="0"/>
            </w:tcBorders>
          </w:tcPr>
          <w:p>
            <w:pPr>
              <w:jc w:val="center"/>
              <w:rPr>
                <w:snapToGrid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1294"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882"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1369"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1034" w:type="dxa"/>
            <w:tcBorders>
              <w:top w:val="single" w:color="000000" w:sz="4" w:space="0"/>
              <w:left w:val="single" w:color="auto" w:sz="4" w:space="0"/>
              <w:bottom w:val="single" w:color="000000" w:sz="4" w:space="0"/>
              <w:right w:val="single" w:color="auto" w:sz="4" w:space="0"/>
            </w:tcBorders>
          </w:tcPr>
          <w:p>
            <w:pPr>
              <w:jc w:val="center"/>
              <w:rPr>
                <w:snapToGrid w:val="0"/>
                <w:sz w:val="24"/>
              </w:rPr>
            </w:pPr>
          </w:p>
        </w:tc>
        <w:tc>
          <w:tcPr>
            <w:tcW w:w="1106" w:type="dxa"/>
            <w:tcBorders>
              <w:top w:val="single" w:color="000000" w:sz="4" w:space="0"/>
              <w:left w:val="single" w:color="auto" w:sz="4" w:space="0"/>
              <w:bottom w:val="single" w:color="000000" w:sz="4" w:space="0"/>
              <w:right w:val="single" w:color="000000" w:sz="4" w:space="0"/>
            </w:tcBorders>
            <w:vAlign w:val="center"/>
          </w:tcPr>
          <w:p>
            <w:pPr>
              <w:jc w:val="center"/>
              <w:rPr>
                <w:snapToGrid w:val="0"/>
                <w:sz w:val="24"/>
              </w:rPr>
            </w:pPr>
          </w:p>
        </w:tc>
        <w:tc>
          <w:tcPr>
            <w:tcW w:w="754" w:type="dxa"/>
            <w:tcBorders>
              <w:top w:val="single" w:color="000000" w:sz="4" w:space="0"/>
              <w:left w:val="single" w:color="auto" w:sz="4" w:space="0"/>
              <w:bottom w:val="single" w:color="000000" w:sz="4" w:space="0"/>
              <w:right w:val="single" w:color="000000" w:sz="4" w:space="0"/>
            </w:tcBorders>
          </w:tcPr>
          <w:p>
            <w:pPr>
              <w:jc w:val="center"/>
              <w:rPr>
                <w:snapToGrid w:val="0"/>
                <w:sz w:val="24"/>
              </w:rPr>
            </w:pPr>
          </w:p>
        </w:tc>
        <w:tc>
          <w:tcPr>
            <w:tcW w:w="754" w:type="dxa"/>
            <w:tcBorders>
              <w:top w:val="single" w:color="000000" w:sz="4" w:space="0"/>
              <w:left w:val="single" w:color="auto" w:sz="4" w:space="0"/>
              <w:bottom w:val="single" w:color="000000" w:sz="4" w:space="0"/>
              <w:right w:val="single" w:color="000000" w:sz="4" w:space="0"/>
            </w:tcBorders>
          </w:tcPr>
          <w:p>
            <w:pPr>
              <w:jc w:val="center"/>
              <w:rPr>
                <w:snapToGrid w:val="0"/>
                <w:sz w:val="24"/>
              </w:rPr>
            </w:pPr>
          </w:p>
        </w:tc>
        <w:tc>
          <w:tcPr>
            <w:tcW w:w="752" w:type="dxa"/>
            <w:tcBorders>
              <w:top w:val="single" w:color="000000" w:sz="4" w:space="0"/>
              <w:left w:val="single" w:color="auto" w:sz="4" w:space="0"/>
              <w:bottom w:val="single" w:color="000000" w:sz="4" w:space="0"/>
              <w:right w:val="single" w:color="000000" w:sz="4" w:space="0"/>
            </w:tcBorders>
          </w:tcPr>
          <w:p>
            <w:pPr>
              <w:jc w:val="center"/>
              <w:rPr>
                <w:snapToGrid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1294"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882"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1369"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1034" w:type="dxa"/>
            <w:tcBorders>
              <w:top w:val="single" w:color="000000" w:sz="4" w:space="0"/>
              <w:left w:val="single" w:color="auto" w:sz="4" w:space="0"/>
              <w:bottom w:val="single" w:color="000000" w:sz="4" w:space="0"/>
              <w:right w:val="single" w:color="auto" w:sz="4" w:space="0"/>
            </w:tcBorders>
          </w:tcPr>
          <w:p>
            <w:pPr>
              <w:jc w:val="center"/>
              <w:rPr>
                <w:snapToGrid w:val="0"/>
                <w:sz w:val="24"/>
              </w:rPr>
            </w:pPr>
          </w:p>
        </w:tc>
        <w:tc>
          <w:tcPr>
            <w:tcW w:w="1106" w:type="dxa"/>
            <w:tcBorders>
              <w:top w:val="single" w:color="000000" w:sz="4" w:space="0"/>
              <w:left w:val="single" w:color="auto" w:sz="4" w:space="0"/>
              <w:bottom w:val="single" w:color="000000" w:sz="4" w:space="0"/>
              <w:right w:val="single" w:color="000000" w:sz="4" w:space="0"/>
            </w:tcBorders>
            <w:vAlign w:val="center"/>
          </w:tcPr>
          <w:p>
            <w:pPr>
              <w:jc w:val="center"/>
              <w:rPr>
                <w:snapToGrid w:val="0"/>
                <w:sz w:val="24"/>
              </w:rPr>
            </w:pPr>
          </w:p>
        </w:tc>
        <w:tc>
          <w:tcPr>
            <w:tcW w:w="754" w:type="dxa"/>
            <w:tcBorders>
              <w:top w:val="single" w:color="000000" w:sz="4" w:space="0"/>
              <w:left w:val="single" w:color="auto" w:sz="4" w:space="0"/>
              <w:bottom w:val="single" w:color="000000" w:sz="4" w:space="0"/>
              <w:right w:val="single" w:color="000000" w:sz="4" w:space="0"/>
            </w:tcBorders>
          </w:tcPr>
          <w:p>
            <w:pPr>
              <w:jc w:val="center"/>
              <w:rPr>
                <w:snapToGrid w:val="0"/>
                <w:sz w:val="24"/>
              </w:rPr>
            </w:pPr>
          </w:p>
        </w:tc>
        <w:tc>
          <w:tcPr>
            <w:tcW w:w="754" w:type="dxa"/>
            <w:tcBorders>
              <w:top w:val="single" w:color="000000" w:sz="4" w:space="0"/>
              <w:left w:val="single" w:color="auto" w:sz="4" w:space="0"/>
              <w:bottom w:val="single" w:color="000000" w:sz="4" w:space="0"/>
              <w:right w:val="single" w:color="000000" w:sz="4" w:space="0"/>
            </w:tcBorders>
          </w:tcPr>
          <w:p>
            <w:pPr>
              <w:jc w:val="center"/>
              <w:rPr>
                <w:snapToGrid w:val="0"/>
                <w:sz w:val="24"/>
              </w:rPr>
            </w:pPr>
          </w:p>
        </w:tc>
        <w:tc>
          <w:tcPr>
            <w:tcW w:w="752" w:type="dxa"/>
            <w:tcBorders>
              <w:top w:val="single" w:color="000000" w:sz="4" w:space="0"/>
              <w:left w:val="single" w:color="auto" w:sz="4" w:space="0"/>
              <w:bottom w:val="single" w:color="000000" w:sz="4" w:space="0"/>
              <w:right w:val="single" w:color="000000" w:sz="4" w:space="0"/>
            </w:tcBorders>
          </w:tcPr>
          <w:p>
            <w:pPr>
              <w:jc w:val="center"/>
              <w:rPr>
                <w:snapToGrid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1294"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882"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1369"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1034" w:type="dxa"/>
            <w:tcBorders>
              <w:top w:val="single" w:color="000000" w:sz="4" w:space="0"/>
              <w:left w:val="single" w:color="auto" w:sz="4" w:space="0"/>
              <w:bottom w:val="single" w:color="000000" w:sz="4" w:space="0"/>
              <w:right w:val="single" w:color="auto" w:sz="4" w:space="0"/>
            </w:tcBorders>
          </w:tcPr>
          <w:p>
            <w:pPr>
              <w:jc w:val="center"/>
              <w:rPr>
                <w:snapToGrid w:val="0"/>
                <w:sz w:val="24"/>
              </w:rPr>
            </w:pPr>
          </w:p>
        </w:tc>
        <w:tc>
          <w:tcPr>
            <w:tcW w:w="1106" w:type="dxa"/>
            <w:tcBorders>
              <w:top w:val="single" w:color="000000" w:sz="4" w:space="0"/>
              <w:left w:val="single" w:color="auto" w:sz="4" w:space="0"/>
              <w:bottom w:val="single" w:color="000000" w:sz="4" w:space="0"/>
              <w:right w:val="single" w:color="000000" w:sz="4" w:space="0"/>
            </w:tcBorders>
            <w:vAlign w:val="center"/>
          </w:tcPr>
          <w:p>
            <w:pPr>
              <w:jc w:val="center"/>
              <w:rPr>
                <w:snapToGrid w:val="0"/>
                <w:sz w:val="24"/>
              </w:rPr>
            </w:pPr>
          </w:p>
        </w:tc>
        <w:tc>
          <w:tcPr>
            <w:tcW w:w="754" w:type="dxa"/>
            <w:tcBorders>
              <w:top w:val="single" w:color="000000" w:sz="4" w:space="0"/>
              <w:left w:val="single" w:color="auto" w:sz="4" w:space="0"/>
              <w:bottom w:val="single" w:color="000000" w:sz="4" w:space="0"/>
              <w:right w:val="single" w:color="000000" w:sz="4" w:space="0"/>
            </w:tcBorders>
          </w:tcPr>
          <w:p>
            <w:pPr>
              <w:jc w:val="center"/>
              <w:rPr>
                <w:snapToGrid w:val="0"/>
                <w:sz w:val="24"/>
              </w:rPr>
            </w:pPr>
          </w:p>
        </w:tc>
        <w:tc>
          <w:tcPr>
            <w:tcW w:w="754" w:type="dxa"/>
            <w:tcBorders>
              <w:top w:val="single" w:color="000000" w:sz="4" w:space="0"/>
              <w:left w:val="single" w:color="auto" w:sz="4" w:space="0"/>
              <w:bottom w:val="single" w:color="000000" w:sz="4" w:space="0"/>
              <w:right w:val="single" w:color="000000" w:sz="4" w:space="0"/>
            </w:tcBorders>
          </w:tcPr>
          <w:p>
            <w:pPr>
              <w:jc w:val="center"/>
              <w:rPr>
                <w:snapToGrid w:val="0"/>
                <w:sz w:val="24"/>
              </w:rPr>
            </w:pPr>
          </w:p>
        </w:tc>
        <w:tc>
          <w:tcPr>
            <w:tcW w:w="752" w:type="dxa"/>
            <w:tcBorders>
              <w:top w:val="single" w:color="000000" w:sz="4" w:space="0"/>
              <w:left w:val="single" w:color="auto" w:sz="4" w:space="0"/>
              <w:bottom w:val="single" w:color="000000" w:sz="4" w:space="0"/>
              <w:right w:val="single" w:color="000000" w:sz="4" w:space="0"/>
            </w:tcBorders>
          </w:tcPr>
          <w:p>
            <w:pPr>
              <w:jc w:val="center"/>
              <w:rPr>
                <w:snapToGrid w:val="0"/>
                <w:sz w:val="24"/>
              </w:rPr>
            </w:pPr>
          </w:p>
        </w:tc>
      </w:tr>
    </w:tbl>
    <w:p>
      <w:pPr>
        <w:rPr>
          <w:snapToGrid w:val="0"/>
          <w:sz w:val="32"/>
          <w:szCs w:val="32"/>
        </w:rPr>
      </w:pPr>
    </w:p>
    <w:p>
      <w:pPr>
        <w:rPr>
          <w:snapToGrid w:val="0"/>
          <w:sz w:val="32"/>
          <w:szCs w:val="32"/>
        </w:rPr>
      </w:pPr>
    </w:p>
    <w:p>
      <w:pPr>
        <w:spacing w:line="560" w:lineRule="exact"/>
        <w:ind w:firstLine="3836" w:firstLineChars="1400"/>
        <w:rPr>
          <w:bCs/>
          <w:sz w:val="28"/>
          <w:szCs w:val="28"/>
        </w:rPr>
      </w:pPr>
      <w:r>
        <w:rPr>
          <w:rFonts w:hint="eastAsia"/>
          <w:bCs/>
          <w:sz w:val="28"/>
          <w:szCs w:val="28"/>
        </w:rPr>
        <w:t>投标供应商全称：（盖章）</w:t>
      </w:r>
    </w:p>
    <w:p>
      <w:pPr>
        <w:spacing w:line="560" w:lineRule="exact"/>
        <w:ind w:firstLine="3836" w:firstLineChars="1400"/>
        <w:rPr>
          <w:bCs/>
          <w:sz w:val="28"/>
          <w:szCs w:val="28"/>
        </w:rPr>
      </w:pPr>
      <w:r>
        <w:rPr>
          <w:rFonts w:hint="eastAsia"/>
          <w:bCs/>
          <w:sz w:val="28"/>
          <w:szCs w:val="28"/>
        </w:rPr>
        <w:t>法定代表人（或授权代表）：（签字）</w:t>
      </w:r>
    </w:p>
    <w:p>
      <w:pPr>
        <w:spacing w:line="560" w:lineRule="exact"/>
        <w:ind w:firstLine="6302" w:firstLineChars="2300"/>
        <w:rPr>
          <w:bCs/>
          <w:sz w:val="28"/>
          <w:szCs w:val="28"/>
        </w:rPr>
      </w:pP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jc w:val="right"/>
      </w:pPr>
    </w:p>
    <w:p>
      <w:pPr>
        <w:pStyle w:val="5"/>
        <w:spacing w:before="194" w:beforeLines="50" w:after="194" w:afterLines="50"/>
        <w:rPr>
          <w:b w:val="0"/>
        </w:rPr>
      </w:pPr>
      <w:r>
        <w:br w:type="page"/>
      </w:r>
      <w:bookmarkStart w:id="335" w:name="_Toc10471"/>
      <w:bookmarkStart w:id="336" w:name="_Toc9284"/>
      <w:bookmarkStart w:id="337" w:name="_Toc18434"/>
      <w:bookmarkStart w:id="338" w:name="_Toc22054"/>
      <w:bookmarkStart w:id="339" w:name="_Toc22641"/>
      <w:bookmarkStart w:id="340" w:name="_Toc12480"/>
      <w:bookmarkStart w:id="341" w:name="_Toc5291"/>
      <w:bookmarkStart w:id="342" w:name="_Toc1560"/>
      <w:r>
        <w:rPr>
          <w:rFonts w:hint="eastAsia"/>
          <w:b w:val="0"/>
        </w:rPr>
        <w:t>附件</w:t>
      </w:r>
      <w:r>
        <w:rPr>
          <w:b w:val="0"/>
        </w:rPr>
        <w:t xml:space="preserve">2-8 </w:t>
      </w:r>
      <w:r>
        <w:rPr>
          <w:rFonts w:hint="eastAsia"/>
          <w:b w:val="0"/>
        </w:rPr>
        <w:t>易损易耗件清单</w:t>
      </w:r>
      <w:bookmarkEnd w:id="335"/>
      <w:bookmarkEnd w:id="336"/>
      <w:bookmarkEnd w:id="337"/>
      <w:bookmarkEnd w:id="338"/>
    </w:p>
    <w:p>
      <w:pPr>
        <w:spacing w:before="194" w:beforeLines="50" w:after="194" w:afterLines="50" w:line="560" w:lineRule="exact"/>
        <w:jc w:val="center"/>
        <w:rPr>
          <w:rFonts w:ascii="黑体" w:hAnsi="黑体" w:eastAsia="黑体" w:cs="黑体"/>
          <w:bCs/>
          <w:sz w:val="36"/>
          <w:szCs w:val="36"/>
        </w:rPr>
      </w:pPr>
      <w:r>
        <w:rPr>
          <w:rFonts w:hint="eastAsia" w:ascii="黑体" w:hAnsi="黑体" w:eastAsia="黑体" w:cs="黑体"/>
          <w:bCs/>
          <w:sz w:val="36"/>
          <w:szCs w:val="36"/>
          <w:lang w:val="zh-CN"/>
        </w:rPr>
        <w:t>易损易耗件清单</w:t>
      </w:r>
    </w:p>
    <w:p>
      <w:pPr>
        <w:rPr>
          <w:bCs/>
          <w:sz w:val="28"/>
          <w:szCs w:val="28"/>
        </w:rPr>
      </w:pPr>
      <w:r>
        <w:rPr>
          <w:rFonts w:hint="eastAsia"/>
          <w:bCs/>
          <w:sz w:val="28"/>
          <w:szCs w:val="28"/>
        </w:rPr>
        <w:t>项目名称：</w:t>
      </w:r>
      <w:r>
        <w:rPr>
          <w:bCs/>
          <w:sz w:val="28"/>
          <w:szCs w:val="28"/>
          <w:u w:val="single"/>
        </w:rPr>
        <w:t xml:space="preserve">          </w:t>
      </w:r>
      <w:r>
        <w:rPr>
          <w:bCs/>
          <w:sz w:val="28"/>
          <w:szCs w:val="28"/>
        </w:rPr>
        <w:t xml:space="preserve">  </w:t>
      </w:r>
      <w:r>
        <w:rPr>
          <w:rFonts w:hint="eastAsia"/>
          <w:bCs/>
          <w:sz w:val="28"/>
          <w:szCs w:val="28"/>
        </w:rPr>
        <w:t>项目编号：</w:t>
      </w:r>
      <w:r>
        <w:rPr>
          <w:bCs/>
          <w:sz w:val="28"/>
          <w:szCs w:val="28"/>
          <w:u w:val="single"/>
        </w:rPr>
        <w:t xml:space="preserve">        </w:t>
      </w:r>
      <w:r>
        <w:rPr>
          <w:bCs/>
          <w:sz w:val="28"/>
          <w:szCs w:val="28"/>
        </w:rPr>
        <w:t xml:space="preserve">   </w:t>
      </w:r>
      <w:r>
        <w:rPr>
          <w:rFonts w:hint="eastAsia"/>
          <w:bCs/>
          <w:sz w:val="28"/>
          <w:szCs w:val="28"/>
        </w:rPr>
        <w:t>金额：元</w:t>
      </w:r>
    </w:p>
    <w:tbl>
      <w:tblPr>
        <w:tblStyle w:val="42"/>
        <w:tblW w:w="92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1946"/>
        <w:gridCol w:w="1417"/>
        <w:gridCol w:w="1134"/>
        <w:gridCol w:w="709"/>
        <w:gridCol w:w="1134"/>
        <w:gridCol w:w="1134"/>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exact"/>
        </w:trPr>
        <w:tc>
          <w:tcPr>
            <w:tcW w:w="748" w:type="dxa"/>
            <w:tcBorders>
              <w:top w:val="single" w:color="auto" w:sz="4" w:space="0"/>
              <w:left w:val="single" w:color="auto" w:sz="4" w:space="0"/>
              <w:bottom w:val="single" w:color="auto" w:sz="4" w:space="0"/>
              <w:right w:val="single" w:color="auto" w:sz="4" w:space="0"/>
            </w:tcBorders>
            <w:vAlign w:val="center"/>
          </w:tcPr>
          <w:p>
            <w:pPr>
              <w:widowControl/>
              <w:jc w:val="center"/>
              <w:rPr>
                <w:bCs/>
                <w:sz w:val="24"/>
              </w:rPr>
            </w:pPr>
            <w:r>
              <w:rPr>
                <w:rFonts w:hint="eastAsia"/>
                <w:bCs/>
                <w:sz w:val="24"/>
              </w:rPr>
              <w:t>序号</w:t>
            </w:r>
          </w:p>
        </w:tc>
        <w:tc>
          <w:tcPr>
            <w:tcW w:w="1946" w:type="dxa"/>
            <w:tcBorders>
              <w:top w:val="single" w:color="auto" w:sz="4" w:space="0"/>
              <w:left w:val="single" w:color="auto" w:sz="4" w:space="0"/>
              <w:bottom w:val="single" w:color="auto" w:sz="4" w:space="0"/>
              <w:right w:val="single" w:color="auto" w:sz="4" w:space="0"/>
            </w:tcBorders>
            <w:vAlign w:val="center"/>
          </w:tcPr>
          <w:p>
            <w:pPr>
              <w:widowControl/>
              <w:jc w:val="center"/>
              <w:rPr>
                <w:bCs/>
                <w:sz w:val="24"/>
              </w:rPr>
            </w:pPr>
            <w:r>
              <w:rPr>
                <w:rFonts w:hint="eastAsia"/>
                <w:bCs/>
                <w:sz w:val="24"/>
              </w:rPr>
              <w:t>易损易耗件名称</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bCs/>
                <w:sz w:val="24"/>
              </w:rPr>
            </w:pPr>
            <w:r>
              <w:rPr>
                <w:rFonts w:hint="eastAsia"/>
                <w:bCs/>
                <w:sz w:val="24"/>
              </w:rPr>
              <w:t>规格型号</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bCs/>
                <w:sz w:val="24"/>
              </w:rPr>
            </w:pPr>
            <w:r>
              <w:rPr>
                <w:rFonts w:hint="eastAsia"/>
                <w:bCs/>
                <w:sz w:val="24"/>
              </w:rPr>
              <w:t>品牌</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单位</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bCs/>
                <w:sz w:val="24"/>
              </w:rPr>
            </w:pPr>
            <w:r>
              <w:rPr>
                <w:rFonts w:hint="eastAsia"/>
                <w:bCs/>
                <w:sz w:val="24"/>
              </w:rPr>
              <w:t>单价</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bCs/>
                <w:sz w:val="24"/>
              </w:rPr>
            </w:pPr>
            <w:r>
              <w:rPr>
                <w:rFonts w:hint="eastAsia"/>
                <w:bCs/>
                <w:sz w:val="24"/>
              </w:rPr>
              <w:t>原产地</w:t>
            </w: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946"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bl>
    <w:p>
      <w:pPr>
        <w:ind w:firstLine="548" w:firstLineChars="200"/>
        <w:rPr>
          <w:bCs/>
          <w:sz w:val="28"/>
          <w:szCs w:val="28"/>
        </w:rPr>
      </w:pPr>
    </w:p>
    <w:p>
      <w:pPr>
        <w:spacing w:line="560" w:lineRule="exact"/>
        <w:rPr>
          <w:bCs/>
          <w:sz w:val="28"/>
          <w:szCs w:val="28"/>
        </w:rPr>
      </w:pPr>
    </w:p>
    <w:p>
      <w:pPr>
        <w:spacing w:line="560" w:lineRule="exact"/>
        <w:ind w:firstLine="548" w:firstLineChars="200"/>
        <w:jc w:val="center"/>
        <w:rPr>
          <w:bCs/>
          <w:sz w:val="28"/>
          <w:szCs w:val="28"/>
          <w:lang w:val="zh-CN"/>
        </w:rPr>
      </w:pPr>
      <w:r>
        <w:rPr>
          <w:bCs/>
          <w:sz w:val="28"/>
          <w:szCs w:val="28"/>
          <w:lang w:val="zh-CN"/>
        </w:rPr>
        <w:t xml:space="preserve">    </w:t>
      </w:r>
      <w:r>
        <w:rPr>
          <w:rFonts w:hint="eastAsia"/>
          <w:bCs/>
          <w:sz w:val="28"/>
          <w:szCs w:val="28"/>
          <w:lang w:val="zh-CN"/>
        </w:rPr>
        <w:t>投标供应商全称：（盖章）</w:t>
      </w:r>
    </w:p>
    <w:p>
      <w:pPr>
        <w:spacing w:line="560" w:lineRule="exact"/>
        <w:ind w:firstLine="548" w:firstLineChars="200"/>
        <w:jc w:val="center"/>
        <w:rPr>
          <w:bCs/>
          <w:sz w:val="28"/>
          <w:szCs w:val="28"/>
          <w:lang w:val="zh-CN"/>
        </w:rPr>
      </w:pPr>
      <w:r>
        <w:rPr>
          <w:bCs/>
          <w:sz w:val="28"/>
          <w:szCs w:val="28"/>
          <w:lang w:val="zh-CN"/>
        </w:rPr>
        <w:t xml:space="preserve">              </w:t>
      </w:r>
      <w:r>
        <w:rPr>
          <w:rFonts w:hint="eastAsia"/>
          <w:bCs/>
          <w:sz w:val="28"/>
          <w:szCs w:val="28"/>
          <w:lang w:val="zh-CN"/>
        </w:rPr>
        <w:t>法定代表人（或授权代表）：（签字）</w:t>
      </w:r>
    </w:p>
    <w:p>
      <w:pPr>
        <w:spacing w:line="560" w:lineRule="exact"/>
        <w:ind w:firstLine="548" w:firstLineChars="200"/>
        <w:jc w:val="center"/>
        <w:rPr>
          <w:bCs/>
          <w:sz w:val="28"/>
          <w:szCs w:val="28"/>
        </w:rPr>
      </w:pPr>
      <w:r>
        <w:rPr>
          <w:bCs/>
          <w:sz w:val="28"/>
          <w:szCs w:val="28"/>
          <w:lang w:val="zh-CN"/>
        </w:rPr>
        <w:t xml:space="preserve">                               </w:t>
      </w: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rPr>
          <w:bCs/>
        </w:rPr>
      </w:pPr>
    </w:p>
    <w:p>
      <w:pPr>
        <w:rPr>
          <w:bCs/>
        </w:rPr>
      </w:pPr>
    </w:p>
    <w:p>
      <w:pPr>
        <w:ind w:firstLine="408" w:firstLineChars="200"/>
        <w:rPr>
          <w:bCs/>
        </w:rPr>
      </w:pPr>
      <w:r>
        <w:rPr>
          <w:bCs/>
        </w:rPr>
        <w:br w:type="page"/>
      </w:r>
    </w:p>
    <w:bookmarkEnd w:id="339"/>
    <w:bookmarkEnd w:id="340"/>
    <w:bookmarkEnd w:id="341"/>
    <w:bookmarkEnd w:id="342"/>
    <w:p>
      <w:pPr>
        <w:pStyle w:val="5"/>
        <w:spacing w:before="194" w:beforeLines="50" w:after="194" w:afterLines="50"/>
        <w:rPr>
          <w:rFonts w:ascii="宋体" w:hAnsi="宋体"/>
          <w:b w:val="0"/>
        </w:rPr>
      </w:pPr>
      <w:bookmarkStart w:id="343" w:name="_Toc895"/>
      <w:bookmarkStart w:id="344" w:name="_Toc2915"/>
      <w:bookmarkStart w:id="345" w:name="_Toc24602"/>
      <w:bookmarkStart w:id="346" w:name="_Toc9205"/>
      <w:r>
        <w:rPr>
          <w:rFonts w:hint="eastAsia"/>
          <w:b w:val="0"/>
        </w:rPr>
        <w:t>附件</w:t>
      </w:r>
      <w:r>
        <w:rPr>
          <w:b w:val="0"/>
        </w:rPr>
        <w:t xml:space="preserve">2-9 </w:t>
      </w:r>
      <w:r>
        <w:rPr>
          <w:rFonts w:hint="eastAsia"/>
          <w:b w:val="0"/>
        </w:rPr>
        <w:t>售后服务方案</w:t>
      </w:r>
      <w:bookmarkEnd w:id="343"/>
      <w:bookmarkEnd w:id="344"/>
      <w:bookmarkEnd w:id="345"/>
      <w:bookmarkEnd w:id="346"/>
    </w:p>
    <w:p>
      <w:pPr>
        <w:spacing w:before="194" w:beforeLines="50" w:after="194"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售后服务方案</w:t>
      </w:r>
    </w:p>
    <w:p>
      <w:pPr>
        <w:spacing w:line="360" w:lineRule="auto"/>
        <w:ind w:firstLine="548" w:firstLineChars="200"/>
        <w:jc w:val="left"/>
        <w:rPr>
          <w:bCs/>
          <w:sz w:val="28"/>
          <w:szCs w:val="28"/>
          <w:lang w:val="zh-CN"/>
        </w:rPr>
      </w:pPr>
      <w:r>
        <w:rPr>
          <w:rFonts w:hint="eastAsia"/>
          <w:bCs/>
          <w:sz w:val="28"/>
          <w:szCs w:val="28"/>
          <w:lang w:val="zh-CN"/>
        </w:rPr>
        <w:t>（由投标供应商根据项目需求及技术评审表中“售后服务”评审细则自行拟定）</w:t>
      </w: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pStyle w:val="5"/>
        <w:spacing w:before="194" w:beforeLines="50" w:after="194" w:afterLines="50"/>
        <w:rPr>
          <w:bCs w:val="0"/>
        </w:rPr>
      </w:pPr>
      <w:r>
        <w:rPr>
          <w:b w:val="0"/>
          <w:lang w:val="zh-CN"/>
        </w:rPr>
        <w:br w:type="page"/>
      </w:r>
    </w:p>
    <w:p>
      <w:pPr>
        <w:pStyle w:val="5"/>
        <w:spacing w:before="194" w:beforeLines="50" w:after="194" w:afterLines="50"/>
        <w:rPr>
          <w:b w:val="0"/>
        </w:rPr>
      </w:pPr>
      <w:bookmarkStart w:id="347" w:name="_Toc18148"/>
      <w:bookmarkStart w:id="348" w:name="_Toc20867"/>
      <w:bookmarkStart w:id="349" w:name="_Toc9575"/>
      <w:bookmarkStart w:id="350" w:name="_Toc27617"/>
      <w:r>
        <w:rPr>
          <w:rFonts w:hint="eastAsia"/>
          <w:b w:val="0"/>
        </w:rPr>
        <w:t>附件</w:t>
      </w:r>
      <w:r>
        <w:rPr>
          <w:b w:val="0"/>
        </w:rPr>
        <w:t xml:space="preserve">2-10 </w:t>
      </w:r>
      <w:r>
        <w:rPr>
          <w:rFonts w:hint="eastAsia"/>
          <w:b w:val="0"/>
        </w:rPr>
        <w:t>技术方案和所投标产品技术支持</w:t>
      </w:r>
      <w:r>
        <w:rPr>
          <w:rFonts w:hint="eastAsia" w:ascii="宋体" w:hAnsi="宋体"/>
          <w:b w:val="0"/>
        </w:rPr>
        <w:t>材料</w:t>
      </w:r>
      <w:bookmarkEnd w:id="347"/>
      <w:bookmarkEnd w:id="348"/>
      <w:bookmarkEnd w:id="349"/>
      <w:bookmarkEnd w:id="350"/>
    </w:p>
    <w:p>
      <w:pPr>
        <w:spacing w:before="194" w:beforeLines="50" w:after="194" w:afterLines="50" w:line="560" w:lineRule="exact"/>
        <w:jc w:val="center"/>
        <w:rPr>
          <w:rFonts w:ascii="黑体" w:hAnsi="黑体" w:eastAsia="黑体" w:cs="黑体"/>
          <w:bCs/>
          <w:sz w:val="36"/>
          <w:szCs w:val="36"/>
          <w:lang w:val="zh-CN"/>
        </w:rPr>
      </w:pPr>
      <w:bookmarkStart w:id="351" w:name="_Toc285612608"/>
      <w:r>
        <w:rPr>
          <w:rFonts w:hint="eastAsia" w:ascii="黑体" w:hAnsi="黑体" w:eastAsia="黑体" w:cs="黑体"/>
          <w:bCs/>
          <w:sz w:val="36"/>
          <w:szCs w:val="36"/>
          <w:lang w:val="zh-CN"/>
        </w:rPr>
        <w:t>技术方案</w:t>
      </w:r>
      <w:bookmarkEnd w:id="351"/>
      <w:r>
        <w:rPr>
          <w:rFonts w:hint="eastAsia" w:ascii="黑体" w:hAnsi="黑体" w:eastAsia="黑体" w:cs="黑体"/>
          <w:bCs/>
          <w:sz w:val="36"/>
          <w:szCs w:val="36"/>
          <w:lang w:val="zh-CN"/>
        </w:rPr>
        <w:t>和所投标产品技术支持材料</w:t>
      </w:r>
    </w:p>
    <w:p>
      <w:pPr>
        <w:spacing w:line="560" w:lineRule="exact"/>
        <w:ind w:firstLine="548" w:firstLineChars="200"/>
        <w:rPr>
          <w:bCs/>
          <w:sz w:val="28"/>
          <w:szCs w:val="28"/>
          <w:lang w:val="zh-CN"/>
        </w:rPr>
      </w:pPr>
      <w:r>
        <w:rPr>
          <w:rFonts w:hint="eastAsia"/>
          <w:bCs/>
          <w:sz w:val="28"/>
          <w:szCs w:val="28"/>
          <w:lang w:val="zh-CN"/>
        </w:rPr>
        <w:t>（由投标供应商自行拟制技术方案，并按技术评审标准附相关证明材料，例如：生产、加工、制造、工艺控制及质量控制等。）</w:t>
      </w: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pStyle w:val="5"/>
        <w:spacing w:before="194" w:beforeLines="50" w:after="194" w:afterLines="50"/>
        <w:rPr>
          <w:rFonts w:ascii="宋体" w:hAnsi="宋体"/>
          <w:b w:val="0"/>
        </w:rPr>
      </w:pPr>
      <w:r>
        <w:rPr>
          <w:b w:val="0"/>
          <w:lang w:val="zh-CN"/>
        </w:rPr>
        <w:br w:type="page"/>
      </w:r>
      <w:bookmarkStart w:id="352" w:name="_Toc16214"/>
      <w:bookmarkStart w:id="353" w:name="_Toc8834"/>
      <w:bookmarkStart w:id="354" w:name="_Toc9822"/>
      <w:bookmarkStart w:id="355" w:name="_Toc11724"/>
      <w:bookmarkStart w:id="356" w:name="_Toc299"/>
      <w:bookmarkStart w:id="357" w:name="_Toc15725"/>
      <w:bookmarkStart w:id="358" w:name="_Toc19897"/>
      <w:bookmarkStart w:id="359" w:name="_Toc25244"/>
      <w:r>
        <w:rPr>
          <w:rFonts w:hint="eastAsia"/>
          <w:b w:val="0"/>
        </w:rPr>
        <w:t>附件</w:t>
      </w:r>
      <w:r>
        <w:rPr>
          <w:b w:val="0"/>
        </w:rPr>
        <w:t>2-1</w:t>
      </w:r>
      <w:r>
        <w:rPr>
          <w:rFonts w:hint="eastAsia"/>
          <w:b w:val="0"/>
          <w:lang w:val="en-US" w:eastAsia="zh-CN"/>
        </w:rPr>
        <w:t>1</w:t>
      </w:r>
      <w:r>
        <w:rPr>
          <w:b w:val="0"/>
        </w:rPr>
        <w:t xml:space="preserve"> </w:t>
      </w:r>
      <w:r>
        <w:rPr>
          <w:rFonts w:hint="eastAsia"/>
          <w:b w:val="0"/>
        </w:rPr>
        <w:t>技术力量清单及证明材料</w:t>
      </w:r>
      <w:bookmarkEnd w:id="352"/>
      <w:bookmarkEnd w:id="353"/>
      <w:bookmarkEnd w:id="354"/>
      <w:bookmarkEnd w:id="355"/>
    </w:p>
    <w:p>
      <w:pPr>
        <w:spacing w:before="194" w:beforeLines="50" w:after="194"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技术力量清单及证明材料</w:t>
      </w:r>
    </w:p>
    <w:p>
      <w:pPr>
        <w:spacing w:line="360" w:lineRule="auto"/>
        <w:ind w:firstLine="548" w:firstLineChars="200"/>
        <w:jc w:val="left"/>
        <w:rPr>
          <w:bCs/>
          <w:sz w:val="28"/>
          <w:szCs w:val="28"/>
          <w:lang w:val="zh-CN"/>
        </w:rPr>
      </w:pPr>
      <w:r>
        <w:rPr>
          <w:rFonts w:hint="eastAsia"/>
          <w:bCs/>
          <w:sz w:val="28"/>
          <w:szCs w:val="28"/>
          <w:lang w:val="zh-CN"/>
        </w:rPr>
        <w:t>（由投标供应商根据项目需求及技术评审标准表中“技术力量”评审标准自行拟定，并后附评审标准要求的证明</w:t>
      </w:r>
      <w:r>
        <w:rPr>
          <w:rFonts w:hint="eastAsia" w:ascii="宋体" w:hAnsi="宋体"/>
          <w:bCs/>
          <w:sz w:val="28"/>
          <w:szCs w:val="28"/>
        </w:rPr>
        <w:t>材料。</w:t>
      </w:r>
      <w:r>
        <w:rPr>
          <w:rFonts w:hint="eastAsia"/>
          <w:bCs/>
          <w:sz w:val="28"/>
          <w:szCs w:val="28"/>
          <w:lang w:val="zh-CN"/>
        </w:rPr>
        <w:t>）</w:t>
      </w: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ind w:firstLine="548" w:firstLineChars="200"/>
        <w:jc w:val="center"/>
        <w:rPr>
          <w:bCs/>
          <w:sz w:val="36"/>
          <w:szCs w:val="36"/>
        </w:rPr>
      </w:pPr>
      <w:r>
        <w:rPr>
          <w:bCs/>
          <w:snapToGrid w:val="0"/>
          <w:sz w:val="28"/>
          <w:szCs w:val="28"/>
          <w:lang w:val="zh-CN"/>
        </w:rPr>
        <w:br w:type="page"/>
      </w:r>
    </w:p>
    <w:bookmarkEnd w:id="356"/>
    <w:bookmarkEnd w:id="357"/>
    <w:bookmarkEnd w:id="358"/>
    <w:bookmarkEnd w:id="359"/>
    <w:p>
      <w:pPr>
        <w:pStyle w:val="5"/>
        <w:spacing w:before="194" w:beforeLines="50" w:after="194" w:afterLines="50"/>
        <w:rPr>
          <w:rFonts w:ascii="宋体" w:hAnsi="宋体"/>
          <w:b w:val="0"/>
        </w:rPr>
      </w:pPr>
      <w:bookmarkStart w:id="360" w:name="_Toc2615"/>
      <w:bookmarkStart w:id="361" w:name="_Toc10912"/>
      <w:bookmarkStart w:id="362" w:name="_Toc19663"/>
      <w:bookmarkStart w:id="363" w:name="_Toc25966"/>
      <w:r>
        <w:rPr>
          <w:rFonts w:hint="eastAsia"/>
          <w:b w:val="0"/>
        </w:rPr>
        <w:t>附件</w:t>
      </w:r>
      <w:r>
        <w:rPr>
          <w:b w:val="0"/>
        </w:rPr>
        <w:t>2-1</w:t>
      </w:r>
      <w:r>
        <w:rPr>
          <w:rFonts w:hint="eastAsia"/>
          <w:b w:val="0"/>
          <w:lang w:val="en-US" w:eastAsia="zh-CN"/>
        </w:rPr>
        <w:t>2</w:t>
      </w:r>
      <w:r>
        <w:rPr>
          <w:rFonts w:hint="eastAsia"/>
          <w:b w:val="0"/>
        </w:rPr>
        <w:t>同类项目业绩</w:t>
      </w:r>
    </w:p>
    <w:p>
      <w:pPr>
        <w:spacing w:before="194" w:beforeLines="50" w:after="194"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同类项目业绩</w:t>
      </w:r>
    </w:p>
    <w:p>
      <w:pPr>
        <w:rPr>
          <w:bCs/>
          <w:sz w:val="28"/>
          <w:szCs w:val="28"/>
        </w:rPr>
      </w:pPr>
      <w:r>
        <w:rPr>
          <w:rFonts w:hint="eastAsia"/>
          <w:bCs/>
          <w:sz w:val="28"/>
          <w:szCs w:val="28"/>
        </w:rPr>
        <w:t>项目名称：</w:t>
      </w:r>
      <w:r>
        <w:rPr>
          <w:bCs/>
          <w:sz w:val="28"/>
          <w:szCs w:val="28"/>
          <w:u w:val="single"/>
        </w:rPr>
        <w:t xml:space="preserve">          </w:t>
      </w:r>
      <w:r>
        <w:rPr>
          <w:bCs/>
          <w:sz w:val="28"/>
          <w:szCs w:val="28"/>
        </w:rPr>
        <w:t xml:space="preserve">    </w:t>
      </w:r>
      <w:r>
        <w:rPr>
          <w:rFonts w:hint="eastAsia"/>
          <w:bCs/>
          <w:sz w:val="28"/>
          <w:szCs w:val="28"/>
        </w:rPr>
        <w:t>项目编号：</w:t>
      </w:r>
      <w:r>
        <w:rPr>
          <w:bCs/>
          <w:sz w:val="28"/>
          <w:szCs w:val="28"/>
          <w:u w:val="single"/>
        </w:rPr>
        <w:t xml:space="preserve">            </w:t>
      </w:r>
      <w:r>
        <w:rPr>
          <w:bCs/>
          <w:sz w:val="28"/>
          <w:szCs w:val="28"/>
        </w:rPr>
        <w:t xml:space="preserve">   </w:t>
      </w:r>
    </w:p>
    <w:tbl>
      <w:tblPr>
        <w:tblStyle w:val="42"/>
        <w:tblW w:w="9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92"/>
        <w:gridCol w:w="1123"/>
        <w:gridCol w:w="1670"/>
        <w:gridCol w:w="1679"/>
        <w:gridCol w:w="710"/>
        <w:gridCol w:w="1297"/>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exac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序号</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用户</w:t>
            </w:r>
          </w:p>
          <w:p>
            <w:pPr>
              <w:jc w:val="center"/>
              <w:rPr>
                <w:bCs/>
                <w:sz w:val="24"/>
              </w:rPr>
            </w:pPr>
            <w:r>
              <w:rPr>
                <w:rFonts w:hint="eastAsia"/>
                <w:bCs/>
                <w:sz w:val="24"/>
              </w:rPr>
              <w:t>名称</w:t>
            </w:r>
          </w:p>
        </w:tc>
        <w:tc>
          <w:tcPr>
            <w:tcW w:w="1123"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项目</w:t>
            </w:r>
          </w:p>
          <w:p>
            <w:pPr>
              <w:jc w:val="center"/>
              <w:rPr>
                <w:bCs/>
                <w:sz w:val="24"/>
              </w:rPr>
            </w:pPr>
            <w:r>
              <w:rPr>
                <w:rFonts w:hint="eastAsia"/>
                <w:bCs/>
                <w:sz w:val="24"/>
              </w:rPr>
              <w:t>名称</w:t>
            </w:r>
          </w:p>
        </w:tc>
        <w:tc>
          <w:tcPr>
            <w:tcW w:w="1670"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项目内容</w:t>
            </w:r>
          </w:p>
        </w:tc>
        <w:tc>
          <w:tcPr>
            <w:tcW w:w="1679"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合同有效金额（万元）</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签订日期</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用户联系人及电话</w:t>
            </w:r>
          </w:p>
        </w:tc>
        <w:tc>
          <w:tcPr>
            <w:tcW w:w="1137"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51" w:type="dxa"/>
            <w:tcBorders>
              <w:top w:val="single" w:color="auto" w:sz="4" w:space="0"/>
              <w:left w:val="single" w:color="auto" w:sz="4" w:space="0"/>
              <w:bottom w:val="single" w:color="auto" w:sz="4" w:space="0"/>
              <w:right w:val="single" w:color="auto" w:sz="4" w:space="0"/>
            </w:tcBorders>
          </w:tcPr>
          <w:p>
            <w:pPr>
              <w:rPr>
                <w:bCs/>
                <w:sz w:val="24"/>
              </w:rPr>
            </w:pPr>
          </w:p>
        </w:tc>
        <w:tc>
          <w:tcPr>
            <w:tcW w:w="892" w:type="dxa"/>
            <w:tcBorders>
              <w:top w:val="single" w:color="auto" w:sz="4" w:space="0"/>
              <w:left w:val="single" w:color="auto" w:sz="4" w:space="0"/>
              <w:bottom w:val="single" w:color="auto" w:sz="4" w:space="0"/>
              <w:right w:val="single" w:color="auto" w:sz="4" w:space="0"/>
            </w:tcBorders>
          </w:tcPr>
          <w:p>
            <w:pPr>
              <w:rPr>
                <w:bCs/>
                <w:sz w:val="24"/>
              </w:rPr>
            </w:pPr>
          </w:p>
        </w:tc>
        <w:tc>
          <w:tcPr>
            <w:tcW w:w="1123" w:type="dxa"/>
            <w:tcBorders>
              <w:top w:val="single" w:color="auto" w:sz="4" w:space="0"/>
              <w:left w:val="single" w:color="auto" w:sz="4" w:space="0"/>
              <w:bottom w:val="single" w:color="auto" w:sz="4" w:space="0"/>
              <w:right w:val="single" w:color="auto" w:sz="4" w:space="0"/>
            </w:tcBorders>
          </w:tcPr>
          <w:p>
            <w:pPr>
              <w:rPr>
                <w:bCs/>
                <w:sz w:val="24"/>
              </w:rPr>
            </w:pPr>
          </w:p>
        </w:tc>
        <w:tc>
          <w:tcPr>
            <w:tcW w:w="1670" w:type="dxa"/>
            <w:tcBorders>
              <w:top w:val="single" w:color="auto" w:sz="4" w:space="0"/>
              <w:left w:val="single" w:color="auto" w:sz="4" w:space="0"/>
              <w:bottom w:val="single" w:color="auto" w:sz="4" w:space="0"/>
              <w:right w:val="single" w:color="auto" w:sz="4" w:space="0"/>
            </w:tcBorders>
          </w:tcPr>
          <w:p>
            <w:pPr>
              <w:rPr>
                <w:bCs/>
                <w:sz w:val="24"/>
              </w:rPr>
            </w:pPr>
          </w:p>
        </w:tc>
        <w:tc>
          <w:tcPr>
            <w:tcW w:w="1679" w:type="dxa"/>
            <w:tcBorders>
              <w:top w:val="single" w:color="auto" w:sz="4" w:space="0"/>
              <w:left w:val="single" w:color="auto" w:sz="4" w:space="0"/>
              <w:bottom w:val="single" w:color="auto" w:sz="4" w:space="0"/>
              <w:right w:val="single" w:color="auto" w:sz="4" w:space="0"/>
            </w:tcBorders>
          </w:tcPr>
          <w:p>
            <w:pPr>
              <w:rPr>
                <w:bCs/>
                <w:sz w:val="24"/>
              </w:rPr>
            </w:pPr>
          </w:p>
        </w:tc>
        <w:tc>
          <w:tcPr>
            <w:tcW w:w="710" w:type="dxa"/>
            <w:tcBorders>
              <w:top w:val="single" w:color="auto" w:sz="4" w:space="0"/>
              <w:left w:val="single" w:color="auto" w:sz="4" w:space="0"/>
              <w:bottom w:val="single" w:color="auto" w:sz="4" w:space="0"/>
              <w:right w:val="single" w:color="auto" w:sz="4" w:space="0"/>
            </w:tcBorders>
          </w:tcPr>
          <w:p>
            <w:pPr>
              <w:rPr>
                <w:bCs/>
                <w:sz w:val="24"/>
              </w:rPr>
            </w:pPr>
          </w:p>
        </w:tc>
        <w:tc>
          <w:tcPr>
            <w:tcW w:w="1297" w:type="dxa"/>
            <w:tcBorders>
              <w:top w:val="single" w:color="auto" w:sz="4" w:space="0"/>
              <w:left w:val="single" w:color="auto" w:sz="4" w:space="0"/>
              <w:bottom w:val="single" w:color="auto" w:sz="4" w:space="0"/>
              <w:right w:val="single" w:color="auto" w:sz="4" w:space="0"/>
            </w:tcBorders>
          </w:tcPr>
          <w:p>
            <w:pPr>
              <w:rPr>
                <w:bCs/>
                <w:sz w:val="24"/>
              </w:rPr>
            </w:pPr>
          </w:p>
        </w:tc>
        <w:tc>
          <w:tcPr>
            <w:tcW w:w="1137"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51" w:type="dxa"/>
            <w:tcBorders>
              <w:top w:val="single" w:color="auto" w:sz="4" w:space="0"/>
              <w:left w:val="single" w:color="auto" w:sz="4" w:space="0"/>
              <w:bottom w:val="single" w:color="auto" w:sz="4" w:space="0"/>
              <w:right w:val="single" w:color="auto" w:sz="4" w:space="0"/>
            </w:tcBorders>
          </w:tcPr>
          <w:p>
            <w:pPr>
              <w:rPr>
                <w:bCs/>
                <w:sz w:val="24"/>
              </w:rPr>
            </w:pPr>
          </w:p>
        </w:tc>
        <w:tc>
          <w:tcPr>
            <w:tcW w:w="892" w:type="dxa"/>
            <w:tcBorders>
              <w:top w:val="single" w:color="auto" w:sz="4" w:space="0"/>
              <w:left w:val="single" w:color="auto" w:sz="4" w:space="0"/>
              <w:bottom w:val="single" w:color="auto" w:sz="4" w:space="0"/>
              <w:right w:val="single" w:color="auto" w:sz="4" w:space="0"/>
            </w:tcBorders>
          </w:tcPr>
          <w:p>
            <w:pPr>
              <w:rPr>
                <w:bCs/>
                <w:sz w:val="24"/>
              </w:rPr>
            </w:pPr>
          </w:p>
        </w:tc>
        <w:tc>
          <w:tcPr>
            <w:tcW w:w="1123" w:type="dxa"/>
            <w:tcBorders>
              <w:top w:val="single" w:color="auto" w:sz="4" w:space="0"/>
              <w:left w:val="single" w:color="auto" w:sz="4" w:space="0"/>
              <w:bottom w:val="single" w:color="auto" w:sz="4" w:space="0"/>
              <w:right w:val="single" w:color="auto" w:sz="4" w:space="0"/>
            </w:tcBorders>
          </w:tcPr>
          <w:p>
            <w:pPr>
              <w:rPr>
                <w:bCs/>
                <w:sz w:val="24"/>
              </w:rPr>
            </w:pPr>
          </w:p>
        </w:tc>
        <w:tc>
          <w:tcPr>
            <w:tcW w:w="1670" w:type="dxa"/>
            <w:tcBorders>
              <w:top w:val="single" w:color="auto" w:sz="4" w:space="0"/>
              <w:left w:val="single" w:color="auto" w:sz="4" w:space="0"/>
              <w:bottom w:val="single" w:color="auto" w:sz="4" w:space="0"/>
              <w:right w:val="single" w:color="auto" w:sz="4" w:space="0"/>
            </w:tcBorders>
          </w:tcPr>
          <w:p>
            <w:pPr>
              <w:rPr>
                <w:bCs/>
                <w:sz w:val="24"/>
              </w:rPr>
            </w:pPr>
          </w:p>
        </w:tc>
        <w:tc>
          <w:tcPr>
            <w:tcW w:w="1679" w:type="dxa"/>
            <w:tcBorders>
              <w:top w:val="single" w:color="auto" w:sz="4" w:space="0"/>
              <w:left w:val="single" w:color="auto" w:sz="4" w:space="0"/>
              <w:bottom w:val="single" w:color="auto" w:sz="4" w:space="0"/>
              <w:right w:val="single" w:color="auto" w:sz="4" w:space="0"/>
            </w:tcBorders>
          </w:tcPr>
          <w:p>
            <w:pPr>
              <w:rPr>
                <w:bCs/>
                <w:sz w:val="24"/>
              </w:rPr>
            </w:pPr>
          </w:p>
        </w:tc>
        <w:tc>
          <w:tcPr>
            <w:tcW w:w="710" w:type="dxa"/>
            <w:tcBorders>
              <w:top w:val="single" w:color="auto" w:sz="4" w:space="0"/>
              <w:left w:val="single" w:color="auto" w:sz="4" w:space="0"/>
              <w:bottom w:val="single" w:color="auto" w:sz="4" w:space="0"/>
              <w:right w:val="single" w:color="auto" w:sz="4" w:space="0"/>
            </w:tcBorders>
          </w:tcPr>
          <w:p>
            <w:pPr>
              <w:rPr>
                <w:bCs/>
                <w:sz w:val="24"/>
              </w:rPr>
            </w:pPr>
          </w:p>
        </w:tc>
        <w:tc>
          <w:tcPr>
            <w:tcW w:w="1297" w:type="dxa"/>
            <w:tcBorders>
              <w:top w:val="single" w:color="auto" w:sz="4" w:space="0"/>
              <w:left w:val="single" w:color="auto" w:sz="4" w:space="0"/>
              <w:bottom w:val="single" w:color="auto" w:sz="4" w:space="0"/>
              <w:right w:val="single" w:color="auto" w:sz="4" w:space="0"/>
            </w:tcBorders>
          </w:tcPr>
          <w:p>
            <w:pPr>
              <w:rPr>
                <w:bCs/>
                <w:sz w:val="24"/>
              </w:rPr>
            </w:pPr>
          </w:p>
        </w:tc>
        <w:tc>
          <w:tcPr>
            <w:tcW w:w="1137"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51" w:type="dxa"/>
            <w:tcBorders>
              <w:top w:val="single" w:color="auto" w:sz="4" w:space="0"/>
              <w:left w:val="single" w:color="auto" w:sz="4" w:space="0"/>
              <w:bottom w:val="single" w:color="auto" w:sz="4" w:space="0"/>
              <w:right w:val="single" w:color="auto" w:sz="4" w:space="0"/>
            </w:tcBorders>
          </w:tcPr>
          <w:p>
            <w:pPr>
              <w:rPr>
                <w:bCs/>
                <w:sz w:val="24"/>
              </w:rPr>
            </w:pPr>
          </w:p>
        </w:tc>
        <w:tc>
          <w:tcPr>
            <w:tcW w:w="892" w:type="dxa"/>
            <w:tcBorders>
              <w:top w:val="single" w:color="auto" w:sz="4" w:space="0"/>
              <w:left w:val="single" w:color="auto" w:sz="4" w:space="0"/>
              <w:bottom w:val="single" w:color="auto" w:sz="4" w:space="0"/>
              <w:right w:val="single" w:color="auto" w:sz="4" w:space="0"/>
            </w:tcBorders>
          </w:tcPr>
          <w:p>
            <w:pPr>
              <w:rPr>
                <w:bCs/>
                <w:sz w:val="24"/>
              </w:rPr>
            </w:pPr>
          </w:p>
        </w:tc>
        <w:tc>
          <w:tcPr>
            <w:tcW w:w="1123" w:type="dxa"/>
            <w:tcBorders>
              <w:top w:val="single" w:color="auto" w:sz="4" w:space="0"/>
              <w:left w:val="single" w:color="auto" w:sz="4" w:space="0"/>
              <w:bottom w:val="single" w:color="auto" w:sz="4" w:space="0"/>
              <w:right w:val="single" w:color="auto" w:sz="4" w:space="0"/>
            </w:tcBorders>
          </w:tcPr>
          <w:p>
            <w:pPr>
              <w:rPr>
                <w:bCs/>
                <w:sz w:val="24"/>
              </w:rPr>
            </w:pPr>
          </w:p>
        </w:tc>
        <w:tc>
          <w:tcPr>
            <w:tcW w:w="1670" w:type="dxa"/>
            <w:tcBorders>
              <w:top w:val="single" w:color="auto" w:sz="4" w:space="0"/>
              <w:left w:val="single" w:color="auto" w:sz="4" w:space="0"/>
              <w:bottom w:val="single" w:color="auto" w:sz="4" w:space="0"/>
              <w:right w:val="single" w:color="auto" w:sz="4" w:space="0"/>
            </w:tcBorders>
          </w:tcPr>
          <w:p>
            <w:pPr>
              <w:rPr>
                <w:bCs/>
                <w:sz w:val="24"/>
              </w:rPr>
            </w:pPr>
          </w:p>
        </w:tc>
        <w:tc>
          <w:tcPr>
            <w:tcW w:w="1679" w:type="dxa"/>
            <w:tcBorders>
              <w:top w:val="single" w:color="auto" w:sz="4" w:space="0"/>
              <w:left w:val="single" w:color="auto" w:sz="4" w:space="0"/>
              <w:bottom w:val="single" w:color="auto" w:sz="4" w:space="0"/>
              <w:right w:val="single" w:color="auto" w:sz="4" w:space="0"/>
            </w:tcBorders>
          </w:tcPr>
          <w:p>
            <w:pPr>
              <w:rPr>
                <w:bCs/>
                <w:sz w:val="24"/>
              </w:rPr>
            </w:pPr>
          </w:p>
        </w:tc>
        <w:tc>
          <w:tcPr>
            <w:tcW w:w="710" w:type="dxa"/>
            <w:tcBorders>
              <w:top w:val="single" w:color="auto" w:sz="4" w:space="0"/>
              <w:left w:val="single" w:color="auto" w:sz="4" w:space="0"/>
              <w:bottom w:val="single" w:color="auto" w:sz="4" w:space="0"/>
              <w:right w:val="single" w:color="auto" w:sz="4" w:space="0"/>
            </w:tcBorders>
          </w:tcPr>
          <w:p>
            <w:pPr>
              <w:rPr>
                <w:bCs/>
                <w:sz w:val="24"/>
              </w:rPr>
            </w:pPr>
          </w:p>
        </w:tc>
        <w:tc>
          <w:tcPr>
            <w:tcW w:w="1297" w:type="dxa"/>
            <w:tcBorders>
              <w:top w:val="single" w:color="auto" w:sz="4" w:space="0"/>
              <w:left w:val="single" w:color="auto" w:sz="4" w:space="0"/>
              <w:bottom w:val="single" w:color="auto" w:sz="4" w:space="0"/>
              <w:right w:val="single" w:color="auto" w:sz="4" w:space="0"/>
            </w:tcBorders>
          </w:tcPr>
          <w:p>
            <w:pPr>
              <w:rPr>
                <w:bCs/>
                <w:sz w:val="24"/>
              </w:rPr>
            </w:pPr>
          </w:p>
        </w:tc>
        <w:tc>
          <w:tcPr>
            <w:tcW w:w="1137"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exac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合计</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670"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679"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137"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1" w:hRule="exact"/>
        </w:trPr>
        <w:tc>
          <w:tcPr>
            <w:tcW w:w="9359" w:type="dxa"/>
            <w:gridSpan w:val="8"/>
            <w:tcBorders>
              <w:top w:val="single" w:color="auto" w:sz="4" w:space="0"/>
              <w:left w:val="single" w:color="auto" w:sz="4" w:space="0"/>
              <w:bottom w:val="single" w:color="auto" w:sz="4" w:space="0"/>
              <w:right w:val="single" w:color="auto" w:sz="4" w:space="0"/>
            </w:tcBorders>
            <w:vAlign w:val="center"/>
          </w:tcPr>
          <w:p>
            <w:pPr>
              <w:widowControl/>
              <w:spacing w:line="276" w:lineRule="auto"/>
              <w:ind w:left="1" w:leftChars="-56" w:hanging="115" w:hangingChars="49"/>
              <w:jc w:val="left"/>
              <w:rPr>
                <w:rFonts w:ascii="宋体" w:hAnsi="宋体"/>
                <w:bCs/>
                <w:sz w:val="24"/>
              </w:rPr>
            </w:pPr>
            <w:r>
              <w:rPr>
                <w:rFonts w:ascii="宋体" w:hAnsi="宋体"/>
                <w:bCs/>
                <w:sz w:val="24"/>
              </w:rPr>
              <w:t>备注：</w:t>
            </w:r>
          </w:p>
          <w:p>
            <w:pPr>
              <w:widowControl/>
              <w:spacing w:line="276" w:lineRule="auto"/>
              <w:ind w:firstLine="468" w:firstLineChars="200"/>
              <w:jc w:val="left"/>
              <w:rPr>
                <w:rFonts w:ascii="黑体" w:hAnsi="黑体" w:eastAsia="黑体" w:cs="宋体"/>
                <w:bCs/>
                <w:sz w:val="24"/>
              </w:rPr>
            </w:pPr>
            <w:r>
              <w:rPr>
                <w:rFonts w:ascii="宋体" w:hAnsi="宋体" w:cs="宋体"/>
                <w:bCs/>
                <w:sz w:val="24"/>
              </w:rPr>
              <w:t>1.</w:t>
            </w:r>
            <w:r>
              <w:rPr>
                <w:rFonts w:hint="eastAsia" w:ascii="宋体" w:hAnsi="宋体" w:cs="宋体"/>
                <w:bCs/>
                <w:sz w:val="24"/>
              </w:rPr>
              <w:t>同类项目指本次招标的产品或同类产品</w:t>
            </w:r>
            <w:r>
              <w:rPr>
                <w:rFonts w:hint="eastAsia" w:ascii="宋体" w:hAnsi="宋体"/>
                <w:bCs/>
                <w:sz w:val="28"/>
                <w:szCs w:val="28"/>
              </w:rPr>
              <w:t>，</w:t>
            </w:r>
            <w:r>
              <w:rPr>
                <w:rFonts w:hint="eastAsia" w:ascii="宋体" w:hAnsi="宋体" w:cs="宋体"/>
                <w:bCs/>
                <w:sz w:val="24"/>
              </w:rPr>
              <w:t>具体在评审标准中明确范围。合同有效金额是指合同中本次招标的相同产品或同类产品金额。</w:t>
            </w:r>
            <w:r>
              <w:rPr>
                <w:rFonts w:hint="eastAsia" w:ascii="黑体" w:hAnsi="黑体" w:eastAsia="黑体" w:cs="宋体"/>
                <w:bCs/>
                <w:sz w:val="24"/>
              </w:rPr>
              <w:t>该表严格按照《商务评审标准表》明确的相关要求填报。</w:t>
            </w:r>
          </w:p>
          <w:p>
            <w:pPr>
              <w:pStyle w:val="16"/>
              <w:spacing w:after="0" w:line="276" w:lineRule="auto"/>
              <w:ind w:firstLine="468" w:firstLineChars="200"/>
              <w:rPr>
                <w:rFonts w:ascii="宋体" w:hAnsi="宋体"/>
                <w:sz w:val="24"/>
              </w:rPr>
            </w:pPr>
            <w:r>
              <w:rPr>
                <w:rFonts w:ascii="宋体" w:hAnsi="宋体"/>
                <w:sz w:val="24"/>
              </w:rPr>
              <w:t>2.</w:t>
            </w:r>
            <w:r>
              <w:rPr>
                <w:rFonts w:hint="eastAsia" w:ascii="宋体" w:hAnsi="宋体"/>
                <w:bCs/>
                <w:sz w:val="24"/>
              </w:rPr>
              <w:t>项目内容包括同类项目，产品名称、型号等。</w:t>
            </w:r>
          </w:p>
          <w:p>
            <w:pPr>
              <w:widowControl/>
              <w:spacing w:line="276" w:lineRule="auto"/>
              <w:ind w:firstLine="468" w:firstLineChars="200"/>
              <w:jc w:val="left"/>
              <w:rPr>
                <w:rFonts w:ascii="宋体" w:hAnsi="宋体" w:cs="宋体"/>
                <w:bCs/>
                <w:sz w:val="24"/>
              </w:rPr>
            </w:pPr>
            <w:r>
              <w:rPr>
                <w:rFonts w:ascii="宋体" w:hAnsi="宋体" w:cs="宋体"/>
                <w:bCs/>
                <w:sz w:val="24"/>
              </w:rPr>
              <w:t>3.“页码”栏中填写</w:t>
            </w:r>
            <w:r>
              <w:rPr>
                <w:rFonts w:hint="eastAsia" w:ascii="宋体" w:hAnsi="宋体" w:cs="宋体"/>
                <w:bCs/>
                <w:sz w:val="24"/>
              </w:rPr>
              <w:t>业绩材料</w:t>
            </w:r>
            <w:r>
              <w:rPr>
                <w:rFonts w:ascii="宋体" w:hAnsi="宋体" w:cs="宋体"/>
                <w:bCs/>
                <w:sz w:val="24"/>
              </w:rPr>
              <w:t>所在“商务技术文件”中的页码位置。</w:t>
            </w:r>
          </w:p>
          <w:p>
            <w:pPr>
              <w:widowControl/>
              <w:spacing w:line="276" w:lineRule="auto"/>
              <w:ind w:firstLine="468" w:firstLineChars="200"/>
              <w:jc w:val="left"/>
              <w:rPr>
                <w:rFonts w:ascii="宋体" w:hAnsi="宋体" w:cs="宋体"/>
                <w:bCs/>
                <w:sz w:val="24"/>
              </w:rPr>
            </w:pPr>
            <w:r>
              <w:rPr>
                <w:rFonts w:ascii="宋体" w:hAnsi="宋体" w:cs="宋体"/>
                <w:bCs/>
                <w:sz w:val="24"/>
              </w:rPr>
              <w:t>4</w:t>
            </w:r>
            <w:r>
              <w:rPr>
                <w:rFonts w:hint="eastAsia" w:ascii="宋体" w:hAnsi="宋体" w:cs="宋体"/>
                <w:bCs/>
                <w:sz w:val="24"/>
              </w:rPr>
              <w:t>.合同缔约方存在控股或管理关系的，该合同无效。</w:t>
            </w:r>
          </w:p>
          <w:p>
            <w:pPr>
              <w:widowControl/>
              <w:spacing w:line="276" w:lineRule="auto"/>
              <w:ind w:firstLine="468" w:firstLineChars="200"/>
              <w:jc w:val="left"/>
              <w:rPr>
                <w:rFonts w:ascii="宋体" w:hAnsi="宋体" w:cs="宋体"/>
                <w:bCs/>
                <w:sz w:val="24"/>
              </w:rPr>
            </w:pPr>
            <w:r>
              <w:rPr>
                <w:rFonts w:ascii="宋体" w:hAnsi="宋体" w:cs="宋体"/>
                <w:bCs/>
                <w:sz w:val="24"/>
              </w:rPr>
              <w:t>5.投标供应商提供虚假合同的，按虚假投标处理。</w:t>
            </w:r>
          </w:p>
          <w:p>
            <w:pPr>
              <w:ind w:firstLine="468" w:firstLineChars="200"/>
              <w:jc w:val="left"/>
              <w:rPr>
                <w:bCs/>
                <w:sz w:val="24"/>
              </w:rPr>
            </w:pPr>
            <w:r>
              <w:rPr>
                <w:rFonts w:ascii="宋体" w:hAnsi="宋体"/>
                <w:sz w:val="24"/>
              </w:rPr>
              <w:t>6</w:t>
            </w:r>
            <w:r>
              <w:rPr>
                <w:rFonts w:hint="eastAsia" w:ascii="宋体" w:hAnsi="宋体"/>
                <w:sz w:val="24"/>
              </w:rPr>
              <w:t>.合同中涉及总价、单价、规格、</w:t>
            </w:r>
            <w:r>
              <w:rPr>
                <w:rFonts w:hint="eastAsia" w:ascii="宋体" w:hAnsi="宋体" w:cs="宋体"/>
                <w:bCs/>
                <w:sz w:val="24"/>
              </w:rPr>
              <w:t>缔约方</w:t>
            </w:r>
            <w:r>
              <w:rPr>
                <w:rFonts w:hint="eastAsia" w:ascii="宋体" w:hAnsi="宋体"/>
                <w:sz w:val="24"/>
              </w:rPr>
              <w:t>签字盖章等关键信息应当清晰可辨，否则视为无效合同。</w:t>
            </w:r>
          </w:p>
        </w:tc>
      </w:tr>
    </w:tbl>
    <w:p>
      <w:pPr>
        <w:pStyle w:val="16"/>
        <w:widowControl/>
        <w:spacing w:after="0" w:line="560" w:lineRule="exact"/>
        <w:ind w:firstLine="548" w:firstLineChars="200"/>
        <w:jc w:val="left"/>
        <w:rPr>
          <w:bCs/>
          <w:sz w:val="28"/>
          <w:szCs w:val="28"/>
          <w:lang w:val="zh-CN"/>
        </w:rPr>
      </w:pPr>
    </w:p>
    <w:p>
      <w:pPr>
        <w:spacing w:line="560" w:lineRule="exact"/>
        <w:ind w:firstLine="548" w:firstLineChars="200"/>
        <w:jc w:val="center"/>
        <w:rPr>
          <w:bCs/>
          <w:sz w:val="28"/>
          <w:szCs w:val="28"/>
        </w:rPr>
      </w:pPr>
      <w:r>
        <w:rPr>
          <w:rFonts w:hint="eastAsia"/>
          <w:bCs/>
          <w:sz w:val="28"/>
          <w:szCs w:val="28"/>
          <w:lang w:val="zh-CN"/>
        </w:rPr>
        <w:t xml:space="preserve"> </w:t>
      </w:r>
    </w:p>
    <w:p>
      <w:pPr>
        <w:spacing w:line="560" w:lineRule="exact"/>
        <w:ind w:firstLine="6028" w:firstLineChars="2200"/>
        <w:rPr>
          <w:rFonts w:eastAsia="黑体"/>
          <w:bCs/>
          <w:sz w:val="28"/>
          <w:szCs w:val="28"/>
        </w:rPr>
      </w:pPr>
      <w:r>
        <w:rPr>
          <w:bCs/>
          <w:sz w:val="28"/>
          <w:szCs w:val="28"/>
        </w:rPr>
        <w:br w:type="page"/>
      </w:r>
    </w:p>
    <w:p>
      <w:pPr>
        <w:pStyle w:val="5"/>
        <w:spacing w:before="194" w:beforeLines="50" w:after="194" w:afterLines="50"/>
        <w:rPr>
          <w:b w:val="0"/>
          <w:snapToGrid w:val="0"/>
          <w:lang w:val="zh-CN"/>
        </w:rPr>
      </w:pPr>
      <w:r>
        <w:rPr>
          <w:rFonts w:hint="eastAsia"/>
          <w:b w:val="0"/>
        </w:rPr>
        <w:t>附件</w:t>
      </w:r>
      <w:r>
        <w:rPr>
          <w:b w:val="0"/>
        </w:rPr>
        <w:t>2-1</w:t>
      </w:r>
      <w:r>
        <w:rPr>
          <w:rFonts w:hint="eastAsia"/>
          <w:b w:val="0"/>
          <w:lang w:val="en-US" w:eastAsia="zh-CN"/>
        </w:rPr>
        <w:t>3</w:t>
      </w:r>
      <w:r>
        <w:rPr>
          <w:b w:val="0"/>
        </w:rPr>
        <w:t xml:space="preserve"> </w:t>
      </w:r>
      <w:r>
        <w:rPr>
          <w:rFonts w:hint="eastAsia"/>
          <w:b w:val="0"/>
        </w:rPr>
        <w:t>财务社保数据统计表</w:t>
      </w:r>
    </w:p>
    <w:tbl>
      <w:tblPr>
        <w:tblStyle w:val="42"/>
        <w:tblW w:w="9373" w:type="dxa"/>
        <w:tblInd w:w="0" w:type="dxa"/>
        <w:tblLayout w:type="fixed"/>
        <w:tblCellMar>
          <w:top w:w="0" w:type="dxa"/>
          <w:left w:w="0" w:type="dxa"/>
          <w:bottom w:w="0" w:type="dxa"/>
          <w:right w:w="0" w:type="dxa"/>
        </w:tblCellMar>
      </w:tblPr>
      <w:tblGrid>
        <w:gridCol w:w="2569"/>
        <w:gridCol w:w="1276"/>
        <w:gridCol w:w="1275"/>
        <w:gridCol w:w="1276"/>
        <w:gridCol w:w="1276"/>
        <w:gridCol w:w="1701"/>
      </w:tblGrid>
      <w:tr>
        <w:tblPrEx>
          <w:tblCellMar>
            <w:top w:w="0" w:type="dxa"/>
            <w:left w:w="0" w:type="dxa"/>
            <w:bottom w:w="0" w:type="dxa"/>
            <w:right w:w="0" w:type="dxa"/>
          </w:tblCellMar>
        </w:tblPrEx>
        <w:trPr>
          <w:trHeight w:val="687" w:hRule="atLeast"/>
        </w:trPr>
        <w:tc>
          <w:tcPr>
            <w:tcW w:w="9373" w:type="dxa"/>
            <w:gridSpan w:val="6"/>
            <w:tcBorders>
              <w:top w:val="nil"/>
              <w:left w:val="nil"/>
              <w:bottom w:val="nil"/>
              <w:right w:val="nil"/>
            </w:tcBorders>
            <w:tcMar>
              <w:top w:w="17" w:type="dxa"/>
              <w:left w:w="17" w:type="dxa"/>
              <w:bottom w:w="0" w:type="dxa"/>
              <w:right w:w="17" w:type="dxa"/>
            </w:tcMar>
            <w:vAlign w:val="center"/>
          </w:tcPr>
          <w:p>
            <w:pPr>
              <w:spacing w:line="360" w:lineRule="auto"/>
              <w:jc w:val="center"/>
              <w:rPr>
                <w:rFonts w:ascii="华文中宋" w:hAnsi="华文中宋" w:eastAsia="华文中宋" w:cs="宋体"/>
                <w:bCs/>
                <w:sz w:val="40"/>
                <w:szCs w:val="40"/>
              </w:rPr>
            </w:pPr>
            <w:r>
              <w:rPr>
                <w:rFonts w:hint="eastAsia" w:ascii="黑体" w:hAnsi="黑体" w:eastAsia="黑体" w:cs="黑体"/>
                <w:bCs/>
                <w:sz w:val="36"/>
                <w:szCs w:val="36"/>
              </w:rPr>
              <w:t>财务社保数据统计表</w:t>
            </w:r>
          </w:p>
        </w:tc>
      </w:tr>
      <w:tr>
        <w:tblPrEx>
          <w:tblCellMar>
            <w:top w:w="0" w:type="dxa"/>
            <w:left w:w="0" w:type="dxa"/>
            <w:bottom w:w="0" w:type="dxa"/>
            <w:right w:w="0" w:type="dxa"/>
          </w:tblCellMar>
        </w:tblPrEx>
        <w:trPr>
          <w:trHeight w:val="855" w:hRule="atLeast"/>
        </w:trPr>
        <w:tc>
          <w:tcPr>
            <w:tcW w:w="2569"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rPr>
                <w:rFonts w:ascii="宋体" w:hAnsi="宋体"/>
                <w:bCs/>
                <w:sz w:val="24"/>
              </w:rPr>
            </w:pPr>
            <w:r>
              <w:rPr>
                <w:rFonts w:ascii="宋体" w:hAnsi="宋体"/>
                <w:bCs/>
                <w:sz w:val="24"/>
              </w:rPr>
              <mc:AlternateContent>
                <mc:Choice Requires="wps">
                  <w:drawing>
                    <wp:anchor distT="0" distB="0" distL="114300" distR="114300" simplePos="0" relativeHeight="251661312" behindDoc="0" locked="0" layoutInCell="1" allowOverlap="1">
                      <wp:simplePos x="0" y="0"/>
                      <wp:positionH relativeFrom="column">
                        <wp:posOffset>6350</wp:posOffset>
                      </wp:positionH>
                      <wp:positionV relativeFrom="paragraph">
                        <wp:posOffset>-12065</wp:posOffset>
                      </wp:positionV>
                      <wp:extent cx="1616075" cy="553085"/>
                      <wp:effectExtent l="11430" t="13335" r="10795" b="5080"/>
                      <wp:wrapNone/>
                      <wp:docPr id="6" name="直接箭头连接符 6"/>
                      <wp:cNvGraphicFramePr/>
                      <a:graphic xmlns:a="http://schemas.openxmlformats.org/drawingml/2006/main">
                        <a:graphicData uri="http://schemas.microsoft.com/office/word/2010/wordprocessingShape">
                          <wps:wsp>
                            <wps:cNvCnPr>
                              <a:cxnSpLocks noChangeShapeType="1"/>
                            </wps:cNvCnPr>
                            <wps:spPr bwMode="auto">
                              <a:xfrm>
                                <a:off x="0" y="0"/>
                                <a:ext cx="1616075" cy="55308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0.5pt;margin-top:-0.95pt;height:43.55pt;width:127.25pt;z-index:251661312;mso-width-relative:page;mso-height-relative:page;" filled="f" stroked="t" coordsize="21600,21600" o:gfxdata="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KEWEyNYAAAAHAQAADwAAAAAAAAABACAAAAAiAAAAZHJzL2Rvd25yZXYueG1s&#10;UEsBAhQAFAAAAAgAh07iQAklRBj6AQAAwwMAAA4AAAAAAAAAAQAgAAAAJQEAAGRycy9lMm9Eb2Mu&#10;eG1sUEsFBgAAAAAGAAYAWQEAAJEFAAAAAA==&#10;">
                      <v:fill on="f" focussize="0,0"/>
                      <v:stroke color="#000000" joinstyle="round"/>
                      <v:imagedata o:title=""/>
                      <o:lock v:ext="edit" aspectratio="f"/>
                    </v:shape>
                  </w:pict>
                </mc:Fallback>
              </mc:AlternateContent>
            </w:r>
            <w:r>
              <w:rPr>
                <w:rFonts w:ascii="宋体" w:hAnsi="宋体"/>
                <w:bCs/>
                <w:sz w:val="24"/>
              </w:rPr>
              <w:t xml:space="preserve">                </w:t>
            </w:r>
            <w:r>
              <w:rPr>
                <w:rFonts w:hint="eastAsia" w:ascii="宋体" w:hAnsi="宋体"/>
                <w:bCs/>
                <w:sz w:val="24"/>
              </w:rPr>
              <w:t>年</w:t>
            </w:r>
            <w:r>
              <w:rPr>
                <w:rFonts w:ascii="宋体" w:hAnsi="宋体"/>
                <w:bCs/>
                <w:sz w:val="24"/>
              </w:rPr>
              <w:t xml:space="preserve"> </w:t>
            </w:r>
            <w:r>
              <w:rPr>
                <w:rFonts w:hint="eastAsia" w:ascii="宋体" w:hAnsi="宋体"/>
                <w:bCs/>
                <w:sz w:val="24"/>
              </w:rPr>
              <w:t>度</w:t>
            </w:r>
            <w:r>
              <w:rPr>
                <w:rFonts w:ascii="宋体" w:hAnsi="宋体"/>
                <w:bCs/>
                <w:sz w:val="24"/>
              </w:rPr>
              <w:br w:type="textWrapping"/>
            </w:r>
            <w:r>
              <w:rPr>
                <w:rFonts w:hint="eastAsia" w:ascii="宋体" w:hAnsi="宋体"/>
                <w:bCs/>
                <w:sz w:val="24"/>
              </w:rPr>
              <w:t>数据项目</w:t>
            </w:r>
          </w:p>
        </w:tc>
        <w:tc>
          <w:tcPr>
            <w:tcW w:w="1276" w:type="dxa"/>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rFonts w:ascii="宋体" w:hAnsi="宋体" w:cs="宋体"/>
                <w:bCs/>
                <w:sz w:val="24"/>
              </w:rPr>
            </w:pPr>
            <w:r>
              <w:rPr>
                <w:rFonts w:ascii="宋体" w:hAnsi="宋体"/>
                <w:bCs/>
                <w:sz w:val="24"/>
                <w:u w:val="single"/>
              </w:rPr>
              <w:t xml:space="preserve">    </w:t>
            </w:r>
            <w:r>
              <w:rPr>
                <w:rFonts w:hint="eastAsia" w:ascii="宋体" w:hAnsi="宋体"/>
                <w:bCs/>
                <w:sz w:val="24"/>
              </w:rPr>
              <w:t>年度</w:t>
            </w:r>
          </w:p>
        </w:tc>
        <w:tc>
          <w:tcPr>
            <w:tcW w:w="1275" w:type="dxa"/>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rFonts w:ascii="宋体" w:hAnsi="宋体" w:cs="宋体"/>
                <w:bCs/>
                <w:sz w:val="24"/>
              </w:rPr>
            </w:pPr>
            <w:r>
              <w:rPr>
                <w:rFonts w:ascii="宋体" w:hAnsi="宋体"/>
                <w:bCs/>
                <w:sz w:val="24"/>
                <w:u w:val="single"/>
              </w:rPr>
              <w:t xml:space="preserve">    </w:t>
            </w:r>
            <w:r>
              <w:rPr>
                <w:rFonts w:hint="eastAsia" w:ascii="宋体" w:hAnsi="宋体"/>
                <w:bCs/>
                <w:sz w:val="24"/>
              </w:rPr>
              <w:t>年度</w:t>
            </w:r>
          </w:p>
        </w:tc>
        <w:tc>
          <w:tcPr>
            <w:tcW w:w="1276" w:type="dxa"/>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rFonts w:ascii="宋体" w:hAnsi="宋体" w:cs="宋体"/>
                <w:bCs/>
                <w:sz w:val="24"/>
              </w:rPr>
            </w:pPr>
            <w:r>
              <w:rPr>
                <w:rFonts w:ascii="宋体" w:hAnsi="宋体"/>
                <w:bCs/>
                <w:sz w:val="24"/>
                <w:u w:val="single"/>
              </w:rPr>
              <w:t xml:space="preserve">    </w:t>
            </w:r>
            <w:r>
              <w:rPr>
                <w:rFonts w:hint="eastAsia" w:ascii="宋体" w:hAnsi="宋体"/>
                <w:bCs/>
                <w:sz w:val="24"/>
              </w:rPr>
              <w:t>年度</w:t>
            </w:r>
          </w:p>
        </w:tc>
        <w:tc>
          <w:tcPr>
            <w:tcW w:w="1276" w:type="dxa"/>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rFonts w:ascii="宋体" w:hAnsi="宋体" w:cs="宋体"/>
                <w:bCs/>
                <w:sz w:val="24"/>
              </w:rPr>
            </w:pPr>
            <w:r>
              <w:rPr>
                <w:rFonts w:ascii="宋体" w:hAnsi="宋体"/>
                <w:bCs/>
                <w:sz w:val="24"/>
              </w:rPr>
              <w:t>3</w:t>
            </w:r>
            <w:r>
              <w:rPr>
                <w:rFonts w:hint="eastAsia" w:ascii="宋体" w:hAnsi="宋体"/>
                <w:bCs/>
                <w:sz w:val="24"/>
              </w:rPr>
              <w:t>年平均数</w:t>
            </w:r>
          </w:p>
        </w:tc>
        <w:tc>
          <w:tcPr>
            <w:tcW w:w="1701" w:type="dxa"/>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rFonts w:ascii="宋体" w:hAnsi="宋体"/>
                <w:bCs/>
                <w:sz w:val="24"/>
              </w:rPr>
            </w:pPr>
            <w:r>
              <w:rPr>
                <w:rFonts w:hint="eastAsia" w:ascii="宋体" w:hAnsi="宋体"/>
                <w:bCs/>
                <w:sz w:val="24"/>
              </w:rPr>
              <w:t>文件名称</w:t>
            </w:r>
          </w:p>
          <w:p>
            <w:pPr>
              <w:jc w:val="center"/>
              <w:rPr>
                <w:rFonts w:ascii="宋体" w:hAnsi="宋体" w:cs="宋体"/>
                <w:bCs/>
                <w:sz w:val="24"/>
              </w:rPr>
            </w:pPr>
            <w:r>
              <w:rPr>
                <w:rFonts w:hint="eastAsia" w:ascii="宋体" w:hAnsi="宋体"/>
                <w:bCs/>
                <w:sz w:val="24"/>
              </w:rPr>
              <w:t>∕页码</w:t>
            </w:r>
          </w:p>
        </w:tc>
      </w:tr>
      <w:tr>
        <w:tblPrEx>
          <w:tblCellMar>
            <w:top w:w="0" w:type="dxa"/>
            <w:left w:w="0" w:type="dxa"/>
            <w:bottom w:w="0" w:type="dxa"/>
            <w:right w:w="0" w:type="dxa"/>
          </w:tblCellMar>
        </w:tblPrEx>
        <w:trPr>
          <w:trHeight w:val="549" w:hRule="atLeast"/>
        </w:trPr>
        <w:tc>
          <w:tcPr>
            <w:tcW w:w="2569"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宋体" w:hAnsi="宋体" w:cs="宋体"/>
                <w:bCs/>
                <w:sz w:val="24"/>
              </w:rPr>
            </w:pPr>
            <w:r>
              <w:rPr>
                <w:rFonts w:hint="eastAsia"/>
                <w:bCs/>
                <w:sz w:val="24"/>
              </w:rPr>
              <w:t>资产总额（万元）</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275"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701"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r>
      <w:tr>
        <w:tblPrEx>
          <w:tblCellMar>
            <w:top w:w="0" w:type="dxa"/>
            <w:left w:w="0" w:type="dxa"/>
            <w:bottom w:w="0" w:type="dxa"/>
            <w:right w:w="0" w:type="dxa"/>
          </w:tblCellMar>
        </w:tblPrEx>
        <w:trPr>
          <w:trHeight w:val="543" w:hRule="atLeast"/>
        </w:trPr>
        <w:tc>
          <w:tcPr>
            <w:tcW w:w="2569"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宋体" w:hAnsi="宋体" w:cs="宋体"/>
                <w:bCs/>
                <w:sz w:val="24"/>
              </w:rPr>
            </w:pPr>
            <w:r>
              <w:rPr>
                <w:rFonts w:hint="eastAsia"/>
                <w:bCs/>
                <w:sz w:val="24"/>
              </w:rPr>
              <w:t>净资产（万元）</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275"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701"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r>
      <w:tr>
        <w:tblPrEx>
          <w:tblCellMar>
            <w:top w:w="0" w:type="dxa"/>
            <w:left w:w="0" w:type="dxa"/>
            <w:bottom w:w="0" w:type="dxa"/>
            <w:right w:w="0" w:type="dxa"/>
          </w:tblCellMar>
        </w:tblPrEx>
        <w:trPr>
          <w:trHeight w:val="551" w:hRule="atLeast"/>
        </w:trPr>
        <w:tc>
          <w:tcPr>
            <w:tcW w:w="2569"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宋体" w:hAnsi="宋体" w:cs="宋体"/>
                <w:bCs/>
                <w:sz w:val="24"/>
              </w:rPr>
            </w:pPr>
            <w:r>
              <w:rPr>
                <w:rFonts w:hint="eastAsia"/>
                <w:bCs/>
                <w:sz w:val="24"/>
              </w:rPr>
              <w:t>净利润（万元）</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275"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701"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r>
      <w:tr>
        <w:tblPrEx>
          <w:tblCellMar>
            <w:top w:w="0" w:type="dxa"/>
            <w:left w:w="0" w:type="dxa"/>
            <w:bottom w:w="0" w:type="dxa"/>
            <w:right w:w="0" w:type="dxa"/>
          </w:tblCellMar>
        </w:tblPrEx>
        <w:trPr>
          <w:trHeight w:val="559" w:hRule="atLeast"/>
        </w:trPr>
        <w:tc>
          <w:tcPr>
            <w:tcW w:w="2569"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宋体" w:hAnsi="宋体" w:cs="宋体"/>
                <w:bCs/>
                <w:sz w:val="24"/>
              </w:rPr>
            </w:pPr>
            <w:r>
              <w:rPr>
                <w:rFonts w:hint="eastAsia"/>
                <w:bCs/>
                <w:sz w:val="24"/>
              </w:rPr>
              <w:t>主营业务收入（万元）</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275"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701"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r>
      <w:tr>
        <w:tblPrEx>
          <w:tblCellMar>
            <w:top w:w="0" w:type="dxa"/>
            <w:left w:w="0" w:type="dxa"/>
            <w:bottom w:w="0" w:type="dxa"/>
            <w:right w:w="0" w:type="dxa"/>
          </w:tblCellMar>
        </w:tblPrEx>
        <w:trPr>
          <w:trHeight w:val="539" w:hRule="atLeast"/>
        </w:trPr>
        <w:tc>
          <w:tcPr>
            <w:tcW w:w="2569"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宋体" w:hAnsi="宋体" w:cs="宋体"/>
                <w:bCs/>
                <w:sz w:val="24"/>
              </w:rPr>
            </w:pPr>
            <w:r>
              <w:rPr>
                <w:rFonts w:hint="eastAsia"/>
                <w:bCs/>
                <w:sz w:val="24"/>
              </w:rPr>
              <w:t>资产负债率</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275"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701"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r>
      <w:tr>
        <w:tblPrEx>
          <w:tblCellMar>
            <w:top w:w="0" w:type="dxa"/>
            <w:left w:w="0" w:type="dxa"/>
            <w:bottom w:w="0" w:type="dxa"/>
            <w:right w:w="0" w:type="dxa"/>
          </w:tblCellMar>
        </w:tblPrEx>
        <w:trPr>
          <w:trHeight w:val="963" w:hRule="atLeast"/>
        </w:trPr>
        <w:tc>
          <w:tcPr>
            <w:tcW w:w="2569"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ind w:firstLine="234" w:firstLineChars="100"/>
              <w:rPr>
                <w:bCs/>
                <w:sz w:val="24"/>
              </w:rPr>
            </w:pPr>
            <w:r>
              <w:rPr>
                <w:rFonts w:ascii="黑体" w:hAnsi="黑体" w:eastAsia="黑体"/>
                <w:bCs/>
                <w:sz w:val="24"/>
                <w:u w:val="single"/>
              </w:rPr>
              <w:t xml:space="preserve">    </w:t>
            </w:r>
            <w:r>
              <w:rPr>
                <w:rFonts w:hint="eastAsia"/>
                <w:bCs/>
                <w:sz w:val="24"/>
              </w:rPr>
              <w:t>年度纳税总金额</w:t>
            </w:r>
          </w:p>
          <w:p>
            <w:pPr>
              <w:ind w:firstLine="468"/>
              <w:jc w:val="center"/>
              <w:rPr>
                <w:rFonts w:ascii="宋体" w:hAnsi="宋体" w:cs="宋体"/>
                <w:bCs/>
                <w:sz w:val="24"/>
              </w:rPr>
            </w:pPr>
            <w:r>
              <w:rPr>
                <w:rFonts w:hint="eastAsia"/>
                <w:bCs/>
                <w:sz w:val="24"/>
              </w:rPr>
              <w:t>（万元）</w:t>
            </w:r>
          </w:p>
        </w:tc>
        <w:tc>
          <w:tcPr>
            <w:tcW w:w="5103" w:type="dxa"/>
            <w:gridSpan w:val="4"/>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bCs/>
                <w:sz w:val="24"/>
              </w:rPr>
            </w:pPr>
            <w:r>
              <w:rPr>
                <w:rFonts w:hint="eastAsia"/>
                <w:bCs/>
                <w:sz w:val="24"/>
              </w:rPr>
              <w:t>　</w:t>
            </w:r>
          </w:p>
        </w:tc>
        <w:tc>
          <w:tcPr>
            <w:tcW w:w="1701"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r>
      <w:tr>
        <w:tblPrEx>
          <w:tblCellMar>
            <w:top w:w="0" w:type="dxa"/>
            <w:left w:w="0" w:type="dxa"/>
            <w:bottom w:w="0" w:type="dxa"/>
            <w:right w:w="0" w:type="dxa"/>
          </w:tblCellMar>
        </w:tblPrEx>
        <w:trPr>
          <w:trHeight w:val="839" w:hRule="atLeast"/>
        </w:trPr>
        <w:tc>
          <w:tcPr>
            <w:tcW w:w="2569"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宋体" w:hAnsi="宋体" w:cs="宋体"/>
                <w:bCs/>
                <w:sz w:val="24"/>
              </w:rPr>
            </w:pPr>
            <w:r>
              <w:rPr>
                <w:rFonts w:ascii="黑体" w:hAnsi="黑体" w:eastAsia="黑体"/>
                <w:bCs/>
                <w:sz w:val="24"/>
                <w:u w:val="single"/>
              </w:rPr>
              <w:t xml:space="preserve">    </w:t>
            </w:r>
            <w:r>
              <w:rPr>
                <w:rFonts w:hint="eastAsia"/>
                <w:bCs/>
                <w:sz w:val="24"/>
              </w:rPr>
              <w:t>年度缴纳社保金额（万元）</w:t>
            </w:r>
          </w:p>
        </w:tc>
        <w:tc>
          <w:tcPr>
            <w:tcW w:w="5103" w:type="dxa"/>
            <w:gridSpan w:val="4"/>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bCs/>
                <w:sz w:val="24"/>
              </w:rPr>
            </w:pPr>
            <w:r>
              <w:rPr>
                <w:rFonts w:hint="eastAsia"/>
                <w:bCs/>
                <w:sz w:val="24"/>
              </w:rPr>
              <w:t>　</w:t>
            </w:r>
          </w:p>
        </w:tc>
        <w:tc>
          <w:tcPr>
            <w:tcW w:w="1701"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r>
      <w:tr>
        <w:tblPrEx>
          <w:tblCellMar>
            <w:top w:w="0" w:type="dxa"/>
            <w:left w:w="0" w:type="dxa"/>
            <w:bottom w:w="0" w:type="dxa"/>
            <w:right w:w="0" w:type="dxa"/>
          </w:tblCellMar>
        </w:tblPrEx>
        <w:trPr>
          <w:trHeight w:val="823" w:hRule="atLeast"/>
        </w:trPr>
        <w:tc>
          <w:tcPr>
            <w:tcW w:w="2569"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rPr>
                <w:rFonts w:ascii="宋体" w:hAnsi="宋体" w:cs="宋体"/>
                <w:bCs/>
                <w:sz w:val="24"/>
              </w:rPr>
            </w:pPr>
            <w:r>
              <w:rPr>
                <w:rFonts w:ascii="黑体" w:hAnsi="黑体" w:eastAsia="黑体"/>
                <w:bCs/>
                <w:sz w:val="24"/>
                <w:u w:val="single"/>
              </w:rPr>
              <w:t xml:space="preserve">    </w:t>
            </w:r>
            <w:r>
              <w:rPr>
                <w:rFonts w:hint="eastAsia"/>
                <w:bCs/>
                <w:sz w:val="24"/>
              </w:rPr>
              <w:t>年度缴纳社保人数</w:t>
            </w:r>
          </w:p>
        </w:tc>
        <w:tc>
          <w:tcPr>
            <w:tcW w:w="5103" w:type="dxa"/>
            <w:gridSpan w:val="4"/>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bCs/>
                <w:sz w:val="24"/>
              </w:rPr>
            </w:pPr>
            <w:r>
              <w:rPr>
                <w:rFonts w:hint="eastAsia"/>
                <w:bCs/>
                <w:sz w:val="24"/>
              </w:rPr>
              <w:t>　</w:t>
            </w:r>
          </w:p>
        </w:tc>
        <w:tc>
          <w:tcPr>
            <w:tcW w:w="1701"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r>
      <w:tr>
        <w:tblPrEx>
          <w:tblCellMar>
            <w:top w:w="0" w:type="dxa"/>
            <w:left w:w="0" w:type="dxa"/>
            <w:bottom w:w="0" w:type="dxa"/>
            <w:right w:w="0" w:type="dxa"/>
          </w:tblCellMar>
        </w:tblPrEx>
        <w:trPr>
          <w:trHeight w:val="967" w:hRule="atLeast"/>
        </w:trPr>
        <w:tc>
          <w:tcPr>
            <w:tcW w:w="2569"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宋体" w:hAnsi="宋体" w:cs="宋体"/>
                <w:bCs/>
                <w:sz w:val="24"/>
              </w:rPr>
            </w:pPr>
            <w:r>
              <w:rPr>
                <w:rFonts w:ascii="黑体" w:hAnsi="黑体" w:eastAsia="黑体"/>
                <w:bCs/>
                <w:sz w:val="24"/>
                <w:u w:val="single"/>
              </w:rPr>
              <w:t xml:space="preserve">    </w:t>
            </w:r>
            <w:r>
              <w:rPr>
                <w:rFonts w:hint="eastAsia"/>
                <w:bCs/>
                <w:sz w:val="24"/>
              </w:rPr>
              <w:t>年度人均社保金额（元）</w:t>
            </w:r>
          </w:p>
        </w:tc>
        <w:tc>
          <w:tcPr>
            <w:tcW w:w="5103" w:type="dxa"/>
            <w:gridSpan w:val="4"/>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bCs/>
                <w:sz w:val="24"/>
              </w:rPr>
            </w:pPr>
            <w:r>
              <w:rPr>
                <w:rFonts w:hint="eastAsia"/>
                <w:bCs/>
                <w:sz w:val="24"/>
              </w:rPr>
              <w:t>　</w:t>
            </w:r>
          </w:p>
        </w:tc>
        <w:tc>
          <w:tcPr>
            <w:tcW w:w="1701"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r>
      <w:tr>
        <w:tblPrEx>
          <w:tblCellMar>
            <w:top w:w="0" w:type="dxa"/>
            <w:left w:w="0" w:type="dxa"/>
            <w:bottom w:w="0" w:type="dxa"/>
            <w:right w:w="0" w:type="dxa"/>
          </w:tblCellMar>
        </w:tblPrEx>
        <w:trPr>
          <w:trHeight w:val="47" w:hRule="atLeast"/>
        </w:trPr>
        <w:tc>
          <w:tcPr>
            <w:tcW w:w="9373" w:type="dxa"/>
            <w:gridSpan w:val="6"/>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76" w:lineRule="auto"/>
              <w:rPr>
                <w:bCs/>
                <w:sz w:val="24"/>
              </w:rPr>
            </w:pPr>
            <w:r>
              <w:rPr>
                <w:rFonts w:hint="eastAsia"/>
                <w:bCs/>
                <w:sz w:val="24"/>
              </w:rPr>
              <w:t>说明：</w:t>
            </w:r>
          </w:p>
          <w:p>
            <w:pPr>
              <w:spacing w:line="276" w:lineRule="auto"/>
              <w:ind w:firstLine="468" w:firstLineChars="200"/>
              <w:rPr>
                <w:rFonts w:ascii="宋体" w:hAnsi="宋体"/>
                <w:bCs/>
                <w:sz w:val="24"/>
              </w:rPr>
            </w:pPr>
            <w:r>
              <w:rPr>
                <w:rFonts w:hint="eastAsia" w:ascii="宋体" w:hAnsi="宋体"/>
                <w:bCs/>
                <w:sz w:val="24"/>
                <w:lang w:val="en-US" w:eastAsia="zh-CN"/>
              </w:rPr>
              <w:t>1</w:t>
            </w:r>
            <w:r>
              <w:rPr>
                <w:rFonts w:ascii="宋体" w:hAnsi="宋体"/>
                <w:bCs/>
                <w:sz w:val="24"/>
              </w:rPr>
              <w:t>.</w:t>
            </w:r>
            <w:r>
              <w:rPr>
                <w:rFonts w:hint="eastAsia" w:ascii="宋体" w:hAnsi="宋体"/>
                <w:bCs/>
                <w:sz w:val="24"/>
              </w:rPr>
              <w:t>纳税和社保情况依据税务（社保）</w:t>
            </w:r>
            <w:r>
              <w:rPr>
                <w:rFonts w:hint="eastAsia" w:ascii="宋体" w:hAnsi="宋体"/>
                <w:sz w:val="24"/>
              </w:rPr>
              <w:t>部门或银行出具的相关凭证如实填写</w:t>
            </w:r>
            <w:r>
              <w:rPr>
                <w:rFonts w:hint="eastAsia" w:ascii="宋体" w:hAnsi="宋体"/>
                <w:bCs/>
                <w:sz w:val="24"/>
              </w:rPr>
              <w:t>，相关凭证复印件附后。其他内容依据会计师事务所出具的《审计报告》中相关数据如实填写。</w:t>
            </w:r>
          </w:p>
          <w:p>
            <w:pPr>
              <w:spacing w:line="276" w:lineRule="auto"/>
              <w:ind w:firstLine="468" w:firstLineChars="200"/>
              <w:rPr>
                <w:rFonts w:ascii="宋体" w:hAnsi="宋体"/>
                <w:bCs/>
                <w:sz w:val="24"/>
              </w:rPr>
            </w:pPr>
            <w:r>
              <w:rPr>
                <w:rFonts w:hint="eastAsia" w:ascii="宋体" w:hAnsi="宋体"/>
                <w:bCs/>
                <w:sz w:val="24"/>
                <w:lang w:val="en-US" w:eastAsia="zh-CN"/>
              </w:rPr>
              <w:t>2</w:t>
            </w:r>
            <w:r>
              <w:rPr>
                <w:rFonts w:ascii="宋体" w:hAnsi="宋体"/>
                <w:bCs/>
                <w:sz w:val="24"/>
              </w:rPr>
              <w:t>.</w:t>
            </w:r>
            <w:r>
              <w:rPr>
                <w:rFonts w:hint="eastAsia" w:ascii="宋体" w:hAnsi="宋体"/>
                <w:bCs/>
                <w:sz w:val="24"/>
              </w:rPr>
              <w:t>“页码”栏中填写数据所在《商务技术文件》或《资格证明文件》中的页码位置。</w:t>
            </w:r>
          </w:p>
          <w:p>
            <w:pPr>
              <w:spacing w:line="276" w:lineRule="auto"/>
              <w:ind w:firstLine="468" w:firstLineChars="200"/>
              <w:rPr>
                <w:rFonts w:ascii="宋体" w:hAnsi="宋体" w:cs="宋体"/>
                <w:bCs/>
                <w:sz w:val="24"/>
              </w:rPr>
            </w:pPr>
            <w:r>
              <w:rPr>
                <w:rFonts w:hint="eastAsia" w:ascii="宋体" w:hAnsi="宋体"/>
                <w:bCs/>
                <w:sz w:val="24"/>
                <w:lang w:val="en-US" w:eastAsia="zh-CN"/>
              </w:rPr>
              <w:t>3</w:t>
            </w:r>
            <w:r>
              <w:rPr>
                <w:rFonts w:ascii="宋体" w:hAnsi="宋体"/>
                <w:bCs/>
                <w:sz w:val="24"/>
              </w:rPr>
              <w:t>.</w:t>
            </w:r>
            <w:r>
              <w:rPr>
                <w:rFonts w:hint="eastAsia" w:ascii="宋体" w:hAnsi="宋体"/>
                <w:bCs/>
                <w:sz w:val="24"/>
              </w:rPr>
              <w:t>评审委员会审核发现《财务社保数据统计表》与《审计报告》等证明材料中数据不一致的，以证明材料实际数据为准。</w:t>
            </w:r>
          </w:p>
        </w:tc>
      </w:tr>
    </w:tbl>
    <w:p>
      <w:pPr>
        <w:pStyle w:val="5"/>
        <w:spacing w:before="194" w:beforeLines="50" w:after="194" w:afterLines="50"/>
        <w:rPr>
          <w:b w:val="0"/>
          <w:snapToGrid w:val="0"/>
        </w:rPr>
      </w:pPr>
    </w:p>
    <w:p>
      <w:pPr>
        <w:rPr>
          <w:b w:val="0"/>
          <w:snapToGrid w:val="0"/>
        </w:rPr>
      </w:pPr>
    </w:p>
    <w:p>
      <w:pPr>
        <w:rPr>
          <w:b w:val="0"/>
          <w:snapToGrid w:val="0"/>
        </w:rPr>
      </w:pPr>
    </w:p>
    <w:p>
      <w:pPr>
        <w:pStyle w:val="5"/>
        <w:spacing w:before="194" w:beforeLines="50" w:after="194" w:afterLines="50"/>
        <w:rPr>
          <w:b w:val="0"/>
        </w:rPr>
      </w:pPr>
      <w:r>
        <w:rPr>
          <w:rFonts w:hint="eastAsia"/>
          <w:b w:val="0"/>
        </w:rPr>
        <w:t>附件</w:t>
      </w:r>
      <w:r>
        <w:rPr>
          <w:b w:val="0"/>
        </w:rPr>
        <w:t>2-1</w:t>
      </w:r>
      <w:r>
        <w:rPr>
          <w:rFonts w:hint="eastAsia"/>
          <w:b w:val="0"/>
          <w:lang w:val="en-US" w:eastAsia="zh-CN"/>
        </w:rPr>
        <w:t>4</w:t>
      </w:r>
      <w:r>
        <w:rPr>
          <w:rFonts w:hint="eastAsia"/>
          <w:b w:val="0"/>
        </w:rPr>
        <w:t>其他</w:t>
      </w:r>
      <w:r>
        <w:rPr>
          <w:rFonts w:hint="eastAsia" w:ascii="宋体" w:hAnsi="宋体"/>
          <w:b w:val="0"/>
        </w:rPr>
        <w:t>材料</w:t>
      </w:r>
      <w:bookmarkEnd w:id="360"/>
      <w:bookmarkEnd w:id="361"/>
      <w:bookmarkEnd w:id="362"/>
      <w:bookmarkEnd w:id="363"/>
    </w:p>
    <w:p>
      <w:pPr>
        <w:spacing w:before="194" w:beforeLines="50" w:after="194" w:afterLines="50" w:line="560" w:lineRule="exact"/>
        <w:jc w:val="center"/>
        <w:rPr>
          <w:rFonts w:ascii="黑体" w:hAnsi="黑体" w:eastAsia="黑体" w:cs="黑体"/>
          <w:bCs/>
          <w:sz w:val="36"/>
          <w:szCs w:val="36"/>
        </w:rPr>
      </w:pPr>
      <w:r>
        <w:rPr>
          <w:rFonts w:hint="eastAsia" w:ascii="黑体" w:hAnsi="黑体" w:eastAsia="黑体" w:cs="黑体"/>
          <w:bCs/>
          <w:sz w:val="36"/>
          <w:szCs w:val="36"/>
        </w:rPr>
        <w:t>其他材料</w:t>
      </w:r>
    </w:p>
    <w:p>
      <w:pPr>
        <w:jc w:val="center"/>
        <w:rPr>
          <w:bCs/>
          <w:sz w:val="28"/>
          <w:szCs w:val="28"/>
        </w:rPr>
      </w:pPr>
      <w:r>
        <w:rPr>
          <w:rFonts w:hint="eastAsia"/>
          <w:bCs/>
          <w:sz w:val="28"/>
          <w:szCs w:val="28"/>
        </w:rPr>
        <w:t>（投标供应商根据评审内容，自行添加其他资料）</w:t>
      </w:r>
    </w:p>
    <w:p>
      <w:pPr>
        <w:jc w:val="center"/>
        <w:rPr>
          <w:bCs/>
          <w:sz w:val="36"/>
          <w:szCs w:val="36"/>
        </w:rPr>
      </w:pPr>
    </w:p>
    <w:p>
      <w:pPr>
        <w:jc w:val="center"/>
        <w:rPr>
          <w:bCs/>
          <w:sz w:val="36"/>
          <w:szCs w:val="36"/>
        </w:rPr>
      </w:pPr>
    </w:p>
    <w:p>
      <w:pPr>
        <w:pStyle w:val="161"/>
        <w:jc w:val="both"/>
        <w:rPr>
          <w:rFonts w:hint="eastAsia"/>
        </w:rPr>
      </w:pPr>
    </w:p>
    <w:p>
      <w:pPr>
        <w:pStyle w:val="161"/>
        <w:jc w:val="both"/>
        <w:rPr>
          <w:rFonts w:hint="eastAsia"/>
        </w:rPr>
      </w:pPr>
    </w:p>
    <w:p>
      <w:pPr>
        <w:pStyle w:val="161"/>
        <w:jc w:val="both"/>
        <w:rPr>
          <w:rFonts w:hint="eastAsia"/>
        </w:rPr>
      </w:pPr>
    </w:p>
    <w:p>
      <w:pPr>
        <w:pStyle w:val="161"/>
        <w:jc w:val="both"/>
        <w:rPr>
          <w:rFonts w:hint="eastAsia"/>
        </w:rPr>
      </w:pPr>
    </w:p>
    <w:p>
      <w:pPr>
        <w:pStyle w:val="161"/>
        <w:jc w:val="both"/>
        <w:rPr>
          <w:rFonts w:hint="eastAsia"/>
        </w:rPr>
      </w:pPr>
    </w:p>
    <w:p>
      <w:pPr>
        <w:pStyle w:val="161"/>
        <w:jc w:val="both"/>
        <w:rPr>
          <w:rFonts w:hint="eastAsia"/>
        </w:rPr>
      </w:pPr>
    </w:p>
    <w:p>
      <w:pPr>
        <w:pStyle w:val="161"/>
        <w:jc w:val="both"/>
        <w:rPr>
          <w:rFonts w:hint="eastAsia"/>
        </w:rPr>
      </w:pPr>
    </w:p>
    <w:p>
      <w:pPr>
        <w:pStyle w:val="161"/>
        <w:jc w:val="both"/>
        <w:rPr>
          <w:rFonts w:hint="eastAsia"/>
        </w:rPr>
      </w:pPr>
    </w:p>
    <w:p>
      <w:pPr>
        <w:pStyle w:val="161"/>
        <w:jc w:val="both"/>
        <w:rPr>
          <w:rFonts w:hint="eastAsia"/>
        </w:rPr>
      </w:pPr>
    </w:p>
    <w:p>
      <w:pPr>
        <w:pStyle w:val="161"/>
        <w:jc w:val="both"/>
        <w:rPr>
          <w:rFonts w:hint="eastAsia"/>
        </w:rPr>
      </w:pPr>
    </w:p>
    <w:p>
      <w:pPr>
        <w:pStyle w:val="161"/>
        <w:jc w:val="both"/>
        <w:rPr>
          <w:rFonts w:hint="eastAsia"/>
        </w:rPr>
      </w:pPr>
    </w:p>
    <w:p>
      <w:pPr>
        <w:pStyle w:val="161"/>
        <w:jc w:val="both"/>
        <w:rPr>
          <w:rFonts w:hint="eastAsia"/>
        </w:rPr>
      </w:pPr>
    </w:p>
    <w:p>
      <w:pPr>
        <w:pStyle w:val="161"/>
        <w:jc w:val="both"/>
        <w:rPr>
          <w:rFonts w:hint="eastAsia"/>
        </w:rPr>
      </w:pPr>
    </w:p>
    <w:p>
      <w:pPr>
        <w:pStyle w:val="161"/>
        <w:jc w:val="both"/>
        <w:rPr>
          <w:rFonts w:hint="eastAsia"/>
        </w:rPr>
      </w:pPr>
    </w:p>
    <w:p>
      <w:pPr>
        <w:pStyle w:val="161"/>
        <w:jc w:val="both"/>
        <w:rPr>
          <w:rFonts w:hint="eastAsia"/>
        </w:rPr>
      </w:pPr>
    </w:p>
    <w:p>
      <w:pPr>
        <w:pStyle w:val="161"/>
        <w:jc w:val="both"/>
        <w:rPr>
          <w:rFonts w:hint="eastAsia"/>
        </w:rPr>
      </w:pPr>
    </w:p>
    <w:p>
      <w:pPr>
        <w:pStyle w:val="161"/>
        <w:jc w:val="both"/>
        <w:rPr>
          <w:rFonts w:hint="eastAsia"/>
        </w:rPr>
      </w:pPr>
    </w:p>
    <w:p>
      <w:pPr>
        <w:pStyle w:val="161"/>
        <w:jc w:val="both"/>
        <w:rPr>
          <w:rFonts w:hint="eastAsia"/>
        </w:rPr>
      </w:pPr>
    </w:p>
    <w:p>
      <w:pPr>
        <w:pStyle w:val="161"/>
        <w:jc w:val="center"/>
      </w:pPr>
      <w:r>
        <w:rPr>
          <w:rFonts w:hint="eastAsia"/>
        </w:rPr>
        <w:t>零配件全国统一报价表</w:t>
      </w:r>
    </w:p>
    <w:p>
      <w:pPr>
        <w:ind w:firstLine="0" w:firstLineChars="0"/>
      </w:pPr>
      <w:r>
        <w:rPr>
          <w:rFonts w:hint="eastAsia"/>
          <w:b/>
          <w:bCs/>
        </w:rPr>
        <w:t>项目名称：</w:t>
      </w:r>
      <w:r>
        <w:rPr>
          <w:rFonts w:hint="eastAsia"/>
          <w:b/>
          <w:bCs/>
          <w:u w:val="single"/>
        </w:rPr>
        <w:t xml:space="preserve">                  </w:t>
      </w:r>
      <w:r>
        <w:rPr>
          <w:rFonts w:hint="eastAsia"/>
          <w:b/>
          <w:bCs/>
        </w:rPr>
        <w:t>项目编号：</w:t>
      </w:r>
      <w:r>
        <w:rPr>
          <w:rFonts w:hint="eastAsia"/>
          <w:b/>
          <w:bCs/>
          <w:u w:val="single"/>
        </w:rPr>
        <w:t xml:space="preserve">               </w:t>
      </w:r>
      <w:r>
        <w:rPr>
          <w:rFonts w:hint="eastAsia"/>
          <w:b/>
          <w:bCs/>
        </w:rPr>
        <w:t xml:space="preserve"> 包号：</w:t>
      </w:r>
      <w:r>
        <w:rPr>
          <w:rFonts w:hint="eastAsia"/>
          <w:b/>
          <w:bCs/>
          <w:u w:val="single"/>
        </w:rPr>
        <w:t xml:space="preserve">       </w:t>
      </w:r>
      <w:r>
        <w:rPr>
          <w:rFonts w:hint="eastAsia"/>
        </w:rPr>
        <w:t xml:space="preserve">  </w:t>
      </w:r>
    </w:p>
    <w:tbl>
      <w:tblPr>
        <w:tblStyle w:val="42"/>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480"/>
        <w:gridCol w:w="1648"/>
        <w:gridCol w:w="967"/>
        <w:gridCol w:w="797"/>
        <w:gridCol w:w="880"/>
        <w:gridCol w:w="1234"/>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59"/>
              <w:jc w:val="center"/>
              <w:rPr>
                <w:b/>
                <w:bCs/>
              </w:rPr>
            </w:pPr>
            <w:r>
              <w:rPr>
                <w:rFonts w:hint="eastAsia"/>
                <w:b/>
                <w:bCs/>
              </w:rPr>
              <w:t>序号</w:t>
            </w:r>
          </w:p>
        </w:tc>
        <w:tc>
          <w:tcPr>
            <w:tcW w:w="1480" w:type="dxa"/>
            <w:tcBorders>
              <w:top w:val="single" w:color="auto" w:sz="4" w:space="0"/>
              <w:left w:val="single" w:color="auto" w:sz="4" w:space="0"/>
              <w:bottom w:val="single" w:color="auto" w:sz="4" w:space="0"/>
              <w:right w:val="single" w:color="auto" w:sz="4" w:space="0"/>
            </w:tcBorders>
            <w:vAlign w:val="center"/>
          </w:tcPr>
          <w:p>
            <w:pPr>
              <w:pStyle w:val="59"/>
              <w:jc w:val="center"/>
              <w:rPr>
                <w:b/>
                <w:bCs/>
              </w:rPr>
            </w:pPr>
            <w:r>
              <w:rPr>
                <w:rFonts w:hint="eastAsia"/>
                <w:b/>
                <w:bCs/>
              </w:rPr>
              <w:t>零配件名称</w:t>
            </w:r>
          </w:p>
        </w:tc>
        <w:tc>
          <w:tcPr>
            <w:tcW w:w="1648" w:type="dxa"/>
            <w:tcBorders>
              <w:top w:val="single" w:color="auto" w:sz="4" w:space="0"/>
              <w:left w:val="single" w:color="auto" w:sz="4" w:space="0"/>
              <w:bottom w:val="single" w:color="auto" w:sz="4" w:space="0"/>
              <w:right w:val="single" w:color="auto" w:sz="4" w:space="0"/>
            </w:tcBorders>
            <w:vAlign w:val="center"/>
          </w:tcPr>
          <w:p>
            <w:pPr>
              <w:pStyle w:val="59"/>
              <w:jc w:val="center"/>
              <w:rPr>
                <w:b/>
                <w:bCs/>
              </w:rPr>
            </w:pPr>
            <w:r>
              <w:rPr>
                <w:rFonts w:hint="eastAsia"/>
                <w:b/>
                <w:bCs/>
              </w:rPr>
              <w:t>规格型号</w:t>
            </w:r>
          </w:p>
        </w:tc>
        <w:tc>
          <w:tcPr>
            <w:tcW w:w="967" w:type="dxa"/>
            <w:tcBorders>
              <w:top w:val="single" w:color="auto" w:sz="4" w:space="0"/>
              <w:left w:val="single" w:color="auto" w:sz="4" w:space="0"/>
              <w:bottom w:val="single" w:color="auto" w:sz="4" w:space="0"/>
              <w:right w:val="single" w:color="auto" w:sz="4" w:space="0"/>
            </w:tcBorders>
            <w:vAlign w:val="center"/>
          </w:tcPr>
          <w:p>
            <w:pPr>
              <w:pStyle w:val="59"/>
              <w:jc w:val="center"/>
              <w:rPr>
                <w:b/>
                <w:bCs/>
              </w:rPr>
            </w:pPr>
            <w:r>
              <w:rPr>
                <w:rFonts w:hint="eastAsia"/>
                <w:b/>
                <w:bCs/>
              </w:rPr>
              <w:t>国别及品牌</w:t>
            </w:r>
          </w:p>
        </w:tc>
        <w:tc>
          <w:tcPr>
            <w:tcW w:w="797" w:type="dxa"/>
            <w:tcBorders>
              <w:top w:val="single" w:color="auto" w:sz="4" w:space="0"/>
              <w:left w:val="single" w:color="auto" w:sz="4" w:space="0"/>
              <w:bottom w:val="single" w:color="auto" w:sz="4" w:space="0"/>
              <w:right w:val="single" w:color="auto" w:sz="4" w:space="0"/>
            </w:tcBorders>
            <w:vAlign w:val="center"/>
          </w:tcPr>
          <w:p>
            <w:pPr>
              <w:pStyle w:val="59"/>
              <w:jc w:val="center"/>
              <w:rPr>
                <w:b/>
                <w:bCs/>
              </w:rPr>
            </w:pPr>
            <w:r>
              <w:rPr>
                <w:rFonts w:hint="eastAsia"/>
                <w:b/>
                <w:bCs/>
              </w:rPr>
              <w:t>数量</w:t>
            </w:r>
          </w:p>
        </w:tc>
        <w:tc>
          <w:tcPr>
            <w:tcW w:w="880" w:type="dxa"/>
            <w:tcBorders>
              <w:top w:val="single" w:color="auto" w:sz="4" w:space="0"/>
              <w:left w:val="single" w:color="auto" w:sz="4" w:space="0"/>
              <w:bottom w:val="single" w:color="auto" w:sz="4" w:space="0"/>
              <w:right w:val="single" w:color="auto" w:sz="4" w:space="0"/>
            </w:tcBorders>
            <w:vAlign w:val="center"/>
          </w:tcPr>
          <w:p>
            <w:pPr>
              <w:pStyle w:val="59"/>
              <w:jc w:val="center"/>
              <w:rPr>
                <w:b/>
                <w:bCs/>
              </w:rPr>
            </w:pPr>
            <w:r>
              <w:rPr>
                <w:rFonts w:hint="eastAsia"/>
                <w:b/>
                <w:bCs/>
              </w:rPr>
              <w:t>单价</w:t>
            </w:r>
          </w:p>
        </w:tc>
        <w:tc>
          <w:tcPr>
            <w:tcW w:w="1234" w:type="dxa"/>
            <w:tcBorders>
              <w:top w:val="single" w:color="auto" w:sz="4" w:space="0"/>
              <w:left w:val="single" w:color="auto" w:sz="4" w:space="0"/>
              <w:bottom w:val="single" w:color="auto" w:sz="4" w:space="0"/>
              <w:right w:val="single" w:color="auto" w:sz="4" w:space="0"/>
            </w:tcBorders>
            <w:vAlign w:val="center"/>
          </w:tcPr>
          <w:p>
            <w:pPr>
              <w:pStyle w:val="59"/>
              <w:jc w:val="center"/>
              <w:rPr>
                <w:b/>
                <w:bCs/>
              </w:rPr>
            </w:pPr>
            <w:r>
              <w:rPr>
                <w:rFonts w:hint="eastAsia"/>
                <w:b/>
                <w:bCs/>
              </w:rPr>
              <w:t>原产地</w:t>
            </w:r>
          </w:p>
        </w:tc>
        <w:tc>
          <w:tcPr>
            <w:tcW w:w="1529" w:type="dxa"/>
            <w:tcBorders>
              <w:top w:val="single" w:color="auto" w:sz="4" w:space="0"/>
              <w:left w:val="single" w:color="auto" w:sz="4" w:space="0"/>
              <w:bottom w:val="single" w:color="auto" w:sz="4" w:space="0"/>
              <w:right w:val="single" w:color="auto" w:sz="4" w:space="0"/>
            </w:tcBorders>
            <w:vAlign w:val="center"/>
          </w:tcPr>
          <w:p>
            <w:pPr>
              <w:pStyle w:val="59"/>
              <w:jc w:val="center"/>
              <w:rPr>
                <w:b/>
                <w:bCs/>
              </w:rPr>
            </w:pPr>
            <w:r>
              <w:rPr>
                <w:rFonts w:hint="eastAsia"/>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59"/>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59"/>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59"/>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59"/>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59"/>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59"/>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59"/>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59"/>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59"/>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59"/>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59"/>
              <w:jc w:val="center"/>
            </w:pPr>
          </w:p>
        </w:tc>
      </w:tr>
    </w:tbl>
    <w:p>
      <w:pPr>
        <w:ind w:firstLine="420"/>
      </w:pPr>
      <w:r>
        <w:rPr>
          <w:rFonts w:hint="eastAsia"/>
        </w:rPr>
        <w:t>我方承诺：</w:t>
      </w:r>
      <w:r>
        <w:rPr>
          <w:rFonts w:hint="eastAsia"/>
          <w:color w:val="FF0000"/>
          <w:u w:val="single"/>
        </w:rPr>
        <w:t>采购人更换配件价格不超过统一报价的70%（即采购人更换配件价格不超过上表价格的70%）</w:t>
      </w:r>
      <w:r>
        <w:rPr>
          <w:rFonts w:hint="eastAsia"/>
        </w:rPr>
        <w:t>。</w:t>
      </w:r>
    </w:p>
    <w:p>
      <w:pPr>
        <w:ind w:firstLine="3025" w:firstLineChars="1104"/>
        <w:rPr>
          <w:snapToGrid w:val="0"/>
          <w:sz w:val="28"/>
          <w:szCs w:val="28"/>
          <w:lang w:val="zh-CN"/>
        </w:rPr>
      </w:pPr>
    </w:p>
    <w:p>
      <w:pPr>
        <w:jc w:val="center"/>
        <w:rPr>
          <w:snapToGrid w:val="0"/>
          <w:sz w:val="28"/>
          <w:szCs w:val="28"/>
          <w:lang w:val="zh-CN"/>
        </w:rPr>
      </w:pPr>
      <w:r>
        <w:rPr>
          <w:rFonts w:hint="eastAsia"/>
          <w:snapToGrid w:val="0"/>
          <w:sz w:val="28"/>
          <w:szCs w:val="28"/>
          <w:lang w:val="en-US" w:eastAsia="zh-CN"/>
        </w:rPr>
        <w:t xml:space="preserve">       </w:t>
      </w:r>
      <w:r>
        <w:rPr>
          <w:snapToGrid w:val="0"/>
          <w:sz w:val="28"/>
          <w:szCs w:val="28"/>
          <w:lang w:val="zh-CN"/>
        </w:rPr>
        <w:t>投标供应商全称：（盖章）</w:t>
      </w:r>
    </w:p>
    <w:p>
      <w:pPr>
        <w:jc w:val="center"/>
        <w:rPr>
          <w:snapToGrid w:val="0"/>
          <w:sz w:val="28"/>
          <w:szCs w:val="28"/>
          <w:lang w:val="zh-CN"/>
        </w:rPr>
      </w:pPr>
      <w:r>
        <w:rPr>
          <w:snapToGrid w:val="0"/>
          <w:sz w:val="28"/>
          <w:szCs w:val="28"/>
          <w:lang w:val="zh-CN"/>
        </w:rPr>
        <w:t xml:space="preserve">              </w:t>
      </w:r>
      <w:r>
        <w:rPr>
          <w:rFonts w:hint="eastAsia"/>
          <w:snapToGrid w:val="0"/>
          <w:sz w:val="28"/>
          <w:szCs w:val="28"/>
          <w:lang w:val="en-US" w:eastAsia="zh-CN"/>
        </w:rPr>
        <w:t xml:space="preserve">    </w:t>
      </w:r>
      <w:r>
        <w:rPr>
          <w:snapToGrid w:val="0"/>
          <w:sz w:val="28"/>
          <w:szCs w:val="28"/>
          <w:lang w:val="zh-CN"/>
        </w:rPr>
        <w:t>法定代表人（或授权代表）：（签字）</w:t>
      </w:r>
    </w:p>
    <w:p>
      <w:r>
        <w:rPr>
          <w:snapToGrid w:val="0"/>
          <w:sz w:val="28"/>
          <w:szCs w:val="28"/>
          <w:lang w:val="zh-CN"/>
        </w:rPr>
        <w:t xml:space="preserve">                               </w:t>
      </w:r>
      <w:r>
        <w:rPr>
          <w:rFonts w:hint="eastAsia"/>
          <w:sz w:val="28"/>
          <w:szCs w:val="28"/>
          <w:u w:val="single"/>
        </w:rPr>
        <w:t xml:space="preserve">    </w:t>
      </w:r>
      <w:r>
        <w:rPr>
          <w:sz w:val="28"/>
          <w:szCs w:val="28"/>
        </w:rPr>
        <w:t>年</w:t>
      </w:r>
      <w:r>
        <w:rPr>
          <w:rFonts w:hint="eastAsia"/>
          <w:sz w:val="28"/>
          <w:szCs w:val="28"/>
          <w:u w:val="single"/>
        </w:rPr>
        <w:t xml:space="preserve"> </w:t>
      </w:r>
      <w:r>
        <w:rPr>
          <w:sz w:val="28"/>
          <w:szCs w:val="28"/>
          <w:u w:val="single"/>
        </w:rPr>
        <w:t xml:space="preserve">  </w:t>
      </w:r>
      <w:r>
        <w:rPr>
          <w:sz w:val="28"/>
          <w:szCs w:val="28"/>
        </w:rPr>
        <w:t>月</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日</w:t>
      </w:r>
    </w:p>
    <w:p>
      <w:pPr>
        <w:widowControl/>
        <w:jc w:val="left"/>
        <w:rPr>
          <w:bCs/>
          <w:sz w:val="48"/>
          <w:szCs w:val="48"/>
        </w:rPr>
      </w:pPr>
    </w:p>
    <w:p>
      <w:pPr>
        <w:spacing w:before="970" w:beforeLines="250" w:after="1552" w:afterLines="400" w:line="360" w:lineRule="auto"/>
        <w:jc w:val="center"/>
        <w:rPr>
          <w:rFonts w:ascii="方正小标宋简体" w:eastAsia="方正小标宋简体"/>
          <w:bCs/>
          <w:sz w:val="48"/>
          <w:szCs w:val="48"/>
        </w:rPr>
      </w:pPr>
    </w:p>
    <w:p>
      <w:pPr>
        <w:spacing w:before="970" w:beforeLines="250" w:line="480" w:lineRule="auto"/>
        <w:jc w:val="center"/>
        <w:rPr>
          <w:rFonts w:ascii="方正小标宋简体" w:eastAsia="方正小标宋简体"/>
          <w:bCs/>
          <w:sz w:val="44"/>
          <w:szCs w:val="44"/>
        </w:rPr>
      </w:pPr>
      <w:r>
        <w:rPr>
          <w:rFonts w:hint="eastAsia" w:ascii="方正小标宋简体" w:eastAsia="方正小标宋简体"/>
          <w:bCs/>
          <w:sz w:val="48"/>
          <w:szCs w:val="48"/>
        </w:rPr>
        <w:t>物资类项目公开招标</w:t>
      </w:r>
    </w:p>
    <w:p>
      <w:pPr>
        <w:spacing w:after="776" w:afterLines="200"/>
        <w:jc w:val="center"/>
        <w:rPr>
          <w:rFonts w:ascii="方正小标宋简体" w:eastAsia="方正小标宋简体"/>
          <w:bCs/>
        </w:rPr>
      </w:pPr>
      <w:r>
        <w:rPr>
          <w:rFonts w:hint="eastAsia" w:ascii="方正小标宋简体" w:eastAsia="方正小标宋简体"/>
          <w:bCs/>
          <w:sz w:val="84"/>
          <w:szCs w:val="84"/>
        </w:rPr>
        <w:t>投 标 文 件</w:t>
      </w:r>
    </w:p>
    <w:p>
      <w:pPr>
        <w:pStyle w:val="4"/>
        <w:jc w:val="center"/>
        <w:rPr>
          <w:rFonts w:ascii="方正小标宋简体" w:eastAsia="方正小标宋简体"/>
          <w:b w:val="0"/>
          <w:sz w:val="52"/>
          <w:szCs w:val="52"/>
        </w:rPr>
      </w:pPr>
      <w:bookmarkStart w:id="364" w:name="_Toc132190622"/>
      <w:r>
        <w:rPr>
          <w:rFonts w:hint="eastAsia" w:ascii="方正小标宋简体" w:eastAsia="方正小标宋简体"/>
          <w:b w:val="0"/>
          <w:sz w:val="52"/>
          <w:szCs w:val="52"/>
        </w:rPr>
        <w:t>三、资格证明文件</w:t>
      </w:r>
      <w:bookmarkEnd w:id="364"/>
    </w:p>
    <w:p>
      <w:pPr>
        <w:adjustRightInd w:val="0"/>
        <w:snapToGrid w:val="0"/>
        <w:spacing w:line="360" w:lineRule="auto"/>
        <w:rPr>
          <w:rFonts w:ascii="方正小标宋简体" w:hAnsi="黑体" w:eastAsia="方正小标宋简体"/>
          <w:bCs/>
          <w:sz w:val="32"/>
          <w:szCs w:val="32"/>
        </w:rPr>
      </w:pPr>
    </w:p>
    <w:p>
      <w:pPr>
        <w:spacing w:line="560" w:lineRule="exact"/>
        <w:ind w:firstLine="2124" w:firstLineChars="600"/>
        <w:rPr>
          <w:rFonts w:ascii="方正小标宋简体" w:eastAsia="方正小标宋简体"/>
          <w:bCs/>
          <w:sz w:val="36"/>
          <w:szCs w:val="36"/>
        </w:rPr>
      </w:pPr>
      <w:r>
        <w:rPr>
          <w:rFonts w:hint="eastAsia" w:ascii="方正小标宋简体" w:eastAsia="方正小标宋简体"/>
          <w:bCs/>
          <w:sz w:val="36"/>
          <w:szCs w:val="36"/>
        </w:rPr>
        <w:t>项目名称：</w:t>
      </w:r>
      <w:r>
        <w:rPr>
          <w:rFonts w:hint="eastAsia" w:ascii="方正小标宋简体" w:eastAsia="方正小标宋简体"/>
          <w:bCs/>
          <w:sz w:val="36"/>
          <w:szCs w:val="36"/>
          <w:u w:val="single"/>
        </w:rPr>
        <w:t xml:space="preserve">                </w:t>
      </w:r>
    </w:p>
    <w:p>
      <w:pPr>
        <w:spacing w:line="560" w:lineRule="exact"/>
        <w:ind w:firstLine="2124" w:firstLineChars="600"/>
        <w:rPr>
          <w:rFonts w:ascii="方正小标宋简体" w:eastAsia="方正小标宋简体"/>
          <w:bCs/>
          <w:sz w:val="36"/>
          <w:szCs w:val="36"/>
        </w:rPr>
      </w:pPr>
      <w:r>
        <w:rPr>
          <w:rFonts w:hint="eastAsia" w:ascii="方正小标宋简体" w:eastAsia="方正小标宋简体"/>
          <w:bCs/>
          <w:sz w:val="36"/>
          <w:szCs w:val="36"/>
        </w:rPr>
        <w:t>项目编号：</w:t>
      </w:r>
      <w:r>
        <w:rPr>
          <w:rFonts w:hint="eastAsia" w:ascii="方正小标宋简体" w:eastAsia="方正小标宋简体"/>
          <w:bCs/>
          <w:sz w:val="36"/>
          <w:szCs w:val="36"/>
          <w:u w:val="single"/>
        </w:rPr>
        <w:t xml:space="preserve">                </w:t>
      </w:r>
    </w:p>
    <w:p>
      <w:pPr>
        <w:jc w:val="center"/>
        <w:rPr>
          <w:rFonts w:ascii="方正小标宋简体" w:eastAsia="方正小标宋简体"/>
          <w:bCs/>
          <w:sz w:val="36"/>
          <w:szCs w:val="36"/>
        </w:rPr>
      </w:pPr>
    </w:p>
    <w:p>
      <w:pPr>
        <w:jc w:val="center"/>
        <w:rPr>
          <w:rFonts w:ascii="方正小标宋简体" w:eastAsia="方正小标宋简体"/>
          <w:bCs/>
          <w:sz w:val="36"/>
          <w:szCs w:val="36"/>
        </w:rPr>
      </w:pPr>
    </w:p>
    <w:p>
      <w:pPr>
        <w:jc w:val="center"/>
        <w:rPr>
          <w:rFonts w:ascii="方正小标宋简体" w:eastAsia="方正小标宋简体"/>
          <w:bCs/>
          <w:sz w:val="36"/>
          <w:szCs w:val="36"/>
        </w:rPr>
      </w:pPr>
    </w:p>
    <w:p>
      <w:pPr>
        <w:ind w:firstLine="708" w:firstLineChars="200"/>
        <w:jc w:val="center"/>
        <w:rPr>
          <w:rFonts w:ascii="方正小标宋简体" w:eastAsia="方正小标宋简体"/>
          <w:bCs/>
          <w:sz w:val="36"/>
          <w:szCs w:val="36"/>
        </w:rPr>
      </w:pPr>
      <w:r>
        <w:rPr>
          <w:rFonts w:hint="eastAsia" w:ascii="方正小标宋简体" w:eastAsia="方正小标宋简体"/>
          <w:bCs/>
          <w:sz w:val="36"/>
          <w:szCs w:val="36"/>
        </w:rPr>
        <w:t>投标供应商：</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（盖章）</w:t>
      </w:r>
    </w:p>
    <w:p>
      <w:pPr>
        <w:spacing w:before="388" w:beforeLines="100"/>
        <w:ind w:firstLine="708" w:firstLineChars="200"/>
        <w:jc w:val="center"/>
        <w:rPr>
          <w:rFonts w:ascii="方正小标宋简体" w:hAnsi="宋体" w:eastAsia="方正小标宋简体"/>
          <w:bCs/>
        </w:rPr>
      </w:pP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年</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月</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日</w:t>
      </w:r>
    </w:p>
    <w:p>
      <w:pPr>
        <w:spacing w:line="400" w:lineRule="exact"/>
        <w:ind w:firstLine="479" w:firstLineChars="235"/>
        <w:jc w:val="left"/>
        <w:rPr>
          <w:rFonts w:ascii="宋体" w:hAnsi="宋体"/>
          <w:bCs/>
        </w:rPr>
      </w:pPr>
    </w:p>
    <w:p>
      <w:pPr>
        <w:spacing w:line="400" w:lineRule="exact"/>
        <w:ind w:firstLine="479" w:firstLineChars="235"/>
        <w:jc w:val="left"/>
        <w:rPr>
          <w:rFonts w:ascii="宋体" w:hAnsi="宋体"/>
          <w:bCs/>
        </w:rPr>
      </w:pPr>
    </w:p>
    <w:p>
      <w:pPr>
        <w:pStyle w:val="5"/>
        <w:spacing w:before="194" w:beforeLines="50" w:after="194" w:afterLines="50"/>
        <w:rPr>
          <w:rFonts w:hint="eastAsia"/>
          <w:b w:val="0"/>
        </w:rPr>
      </w:pPr>
      <w:bookmarkStart w:id="365" w:name="_Toc29799"/>
      <w:bookmarkStart w:id="366" w:name="_Toc5900"/>
      <w:bookmarkStart w:id="367" w:name="_Toc19491"/>
      <w:bookmarkStart w:id="368" w:name="_Toc6540"/>
    </w:p>
    <w:p>
      <w:pPr>
        <w:pStyle w:val="5"/>
        <w:spacing w:before="194" w:beforeLines="50" w:after="194" w:afterLines="50"/>
        <w:rPr>
          <w:rFonts w:hint="eastAsia"/>
          <w:b w:val="0"/>
        </w:rPr>
      </w:pPr>
    </w:p>
    <w:p>
      <w:pPr>
        <w:pStyle w:val="5"/>
        <w:spacing w:before="194" w:beforeLines="50" w:after="194" w:afterLines="50"/>
        <w:rPr>
          <w:b w:val="0"/>
          <w:lang w:val="zh-CN"/>
        </w:rPr>
      </w:pPr>
      <w:r>
        <w:rPr>
          <w:rFonts w:hint="eastAsia"/>
          <w:b w:val="0"/>
        </w:rPr>
        <w:t>附件</w:t>
      </w:r>
      <w:r>
        <w:rPr>
          <w:b w:val="0"/>
        </w:rPr>
        <w:t xml:space="preserve">3-1 </w:t>
      </w:r>
      <w:r>
        <w:rPr>
          <w:rFonts w:hint="eastAsia"/>
          <w:b w:val="0"/>
        </w:rPr>
        <w:t>资格证明文件索引表</w:t>
      </w:r>
      <w:bookmarkEnd w:id="365"/>
      <w:bookmarkEnd w:id="366"/>
      <w:bookmarkEnd w:id="367"/>
      <w:bookmarkEnd w:id="368"/>
    </w:p>
    <w:p>
      <w:pPr>
        <w:spacing w:before="194" w:beforeLines="50" w:after="194" w:afterLines="50" w:line="560" w:lineRule="exact"/>
        <w:jc w:val="center"/>
        <w:rPr>
          <w:rFonts w:ascii="黑体" w:hAnsi="黑体" w:eastAsia="黑体" w:cs="黑体"/>
          <w:bCs/>
          <w:sz w:val="36"/>
          <w:szCs w:val="36"/>
        </w:rPr>
      </w:pPr>
      <w:r>
        <w:rPr>
          <w:rFonts w:hint="eastAsia" w:ascii="黑体" w:hAnsi="黑体" w:eastAsia="黑体" w:cs="黑体"/>
          <w:bCs/>
          <w:sz w:val="36"/>
          <w:szCs w:val="36"/>
        </w:rPr>
        <w:t>资格证明文件索引表</w:t>
      </w:r>
    </w:p>
    <w:p>
      <w:pPr>
        <w:spacing w:line="400" w:lineRule="exact"/>
        <w:rPr>
          <w:rFonts w:ascii="黑体" w:hAnsi="黑体" w:eastAsia="黑体"/>
          <w:bCs/>
          <w:sz w:val="28"/>
          <w:szCs w:val="28"/>
        </w:rPr>
      </w:pPr>
      <w:r>
        <w:rPr>
          <w:rFonts w:hint="eastAsia" w:ascii="黑体" w:hAnsi="黑体" w:eastAsia="黑体"/>
          <w:bCs/>
          <w:sz w:val="28"/>
          <w:szCs w:val="28"/>
        </w:rPr>
        <w:t>投标供应商务必在资格证明文件正文前制作本索引表。</w:t>
      </w:r>
    </w:p>
    <w:tbl>
      <w:tblPr>
        <w:tblStyle w:val="42"/>
        <w:tblW w:w="9570" w:type="dxa"/>
        <w:jc w:val="center"/>
        <w:tblLayout w:type="fixed"/>
        <w:tblCellMar>
          <w:top w:w="0" w:type="dxa"/>
          <w:left w:w="108" w:type="dxa"/>
          <w:bottom w:w="0" w:type="dxa"/>
          <w:right w:w="108" w:type="dxa"/>
        </w:tblCellMar>
      </w:tblPr>
      <w:tblGrid>
        <w:gridCol w:w="817"/>
        <w:gridCol w:w="7088"/>
        <w:gridCol w:w="1665"/>
      </w:tblGrid>
      <w:tr>
        <w:tblPrEx>
          <w:tblCellMar>
            <w:top w:w="0" w:type="dxa"/>
            <w:left w:w="108" w:type="dxa"/>
            <w:bottom w:w="0" w:type="dxa"/>
            <w:right w:w="108" w:type="dxa"/>
          </w:tblCellMar>
        </w:tblPrEx>
        <w:trPr>
          <w:trHeight w:val="549" w:hRule="atLeast"/>
          <w:jc w:val="center"/>
        </w:trPr>
        <w:tc>
          <w:tcPr>
            <w:tcW w:w="817" w:type="dxa"/>
            <w:vMerge w:val="restart"/>
            <w:tcBorders>
              <w:top w:val="single" w:color="auto" w:sz="4" w:space="0"/>
              <w:left w:val="single" w:color="auto" w:sz="4" w:space="0"/>
              <w:right w:val="single" w:color="auto" w:sz="4" w:space="0"/>
            </w:tcBorders>
            <w:vAlign w:val="center"/>
          </w:tcPr>
          <w:p>
            <w:pPr>
              <w:jc w:val="center"/>
              <w:rPr>
                <w:bCs/>
                <w:sz w:val="24"/>
              </w:rPr>
            </w:pPr>
            <w:r>
              <w:rPr>
                <w:rFonts w:hint="eastAsia"/>
                <w:bCs/>
                <w:sz w:val="24"/>
              </w:rPr>
              <w:t>序号</w:t>
            </w:r>
          </w:p>
        </w:tc>
        <w:tc>
          <w:tcPr>
            <w:tcW w:w="7088" w:type="dxa"/>
            <w:vMerge w:val="restart"/>
            <w:tcBorders>
              <w:top w:val="single" w:color="auto" w:sz="4" w:space="0"/>
              <w:left w:val="nil"/>
              <w:right w:val="single" w:color="auto" w:sz="4" w:space="0"/>
            </w:tcBorders>
            <w:vAlign w:val="center"/>
          </w:tcPr>
          <w:p>
            <w:pPr>
              <w:jc w:val="center"/>
              <w:rPr>
                <w:bCs/>
                <w:sz w:val="24"/>
              </w:rPr>
            </w:pPr>
            <w:r>
              <w:rPr>
                <w:rFonts w:hint="eastAsia"/>
                <w:bCs/>
                <w:sz w:val="24"/>
              </w:rPr>
              <w:t>资格性审查项目</w:t>
            </w:r>
          </w:p>
        </w:tc>
        <w:tc>
          <w:tcPr>
            <w:tcW w:w="1665" w:type="dxa"/>
            <w:vMerge w:val="restart"/>
            <w:tcBorders>
              <w:top w:val="single" w:color="auto" w:sz="4" w:space="0"/>
              <w:left w:val="nil"/>
              <w:right w:val="single" w:color="auto" w:sz="4" w:space="0"/>
            </w:tcBorders>
            <w:vAlign w:val="center"/>
          </w:tcPr>
          <w:p>
            <w:pPr>
              <w:jc w:val="center"/>
              <w:rPr>
                <w:bCs/>
                <w:sz w:val="24"/>
              </w:rPr>
            </w:pPr>
            <w:r>
              <w:rPr>
                <w:rFonts w:hint="eastAsia"/>
                <w:bCs/>
                <w:sz w:val="24"/>
              </w:rPr>
              <w:t>资格证明文件位置页码</w:t>
            </w:r>
          </w:p>
        </w:tc>
      </w:tr>
      <w:tr>
        <w:tblPrEx>
          <w:tblCellMar>
            <w:top w:w="0" w:type="dxa"/>
            <w:left w:w="108" w:type="dxa"/>
            <w:bottom w:w="0" w:type="dxa"/>
            <w:right w:w="108" w:type="dxa"/>
          </w:tblCellMar>
        </w:tblPrEx>
        <w:trPr>
          <w:trHeight w:val="388" w:hRule="atLeast"/>
          <w:jc w:val="center"/>
        </w:trPr>
        <w:tc>
          <w:tcPr>
            <w:tcW w:w="817" w:type="dxa"/>
            <w:vMerge w:val="continue"/>
            <w:tcBorders>
              <w:left w:val="single" w:color="auto" w:sz="4" w:space="0"/>
              <w:bottom w:val="single" w:color="auto" w:sz="4" w:space="0"/>
              <w:right w:val="single" w:color="auto" w:sz="4" w:space="0"/>
            </w:tcBorders>
            <w:vAlign w:val="center"/>
          </w:tcPr>
          <w:p>
            <w:pPr>
              <w:jc w:val="center"/>
              <w:rPr>
                <w:bCs/>
                <w:sz w:val="24"/>
              </w:rPr>
            </w:pPr>
          </w:p>
        </w:tc>
        <w:tc>
          <w:tcPr>
            <w:tcW w:w="7088" w:type="dxa"/>
            <w:vMerge w:val="continue"/>
            <w:tcBorders>
              <w:left w:val="nil"/>
              <w:bottom w:val="single" w:color="auto" w:sz="4" w:space="0"/>
              <w:right w:val="single" w:color="auto" w:sz="4" w:space="0"/>
            </w:tcBorders>
            <w:vAlign w:val="center"/>
          </w:tcPr>
          <w:p>
            <w:pPr>
              <w:jc w:val="center"/>
              <w:rPr>
                <w:bCs/>
                <w:sz w:val="24"/>
              </w:rPr>
            </w:pPr>
          </w:p>
        </w:tc>
        <w:tc>
          <w:tcPr>
            <w:tcW w:w="1665" w:type="dxa"/>
            <w:vMerge w:val="continue"/>
            <w:tcBorders>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836" w:hRule="exact"/>
          <w:jc w:val="center"/>
        </w:trPr>
        <w:tc>
          <w:tcPr>
            <w:tcW w:w="817" w:type="dxa"/>
            <w:tcBorders>
              <w:top w:val="nil"/>
              <w:left w:val="single" w:color="auto" w:sz="4" w:space="0"/>
              <w:bottom w:val="single" w:color="auto" w:sz="4" w:space="0"/>
              <w:right w:val="single" w:color="auto" w:sz="4" w:space="0"/>
            </w:tcBorders>
            <w:vAlign w:val="center"/>
          </w:tcPr>
          <w:p>
            <w:pPr>
              <w:jc w:val="center"/>
              <w:rPr>
                <w:bCs/>
                <w:sz w:val="24"/>
              </w:rPr>
            </w:pPr>
            <w:r>
              <w:rPr>
                <w:rFonts w:hint="eastAsia"/>
                <w:bCs/>
                <w:sz w:val="24"/>
              </w:rPr>
              <w:t>一</w:t>
            </w:r>
          </w:p>
        </w:tc>
        <w:tc>
          <w:tcPr>
            <w:tcW w:w="7088" w:type="dxa"/>
            <w:tcBorders>
              <w:top w:val="nil"/>
              <w:left w:val="nil"/>
              <w:bottom w:val="single" w:color="auto" w:sz="4" w:space="0"/>
              <w:right w:val="single" w:color="auto" w:sz="4" w:space="0"/>
            </w:tcBorders>
            <w:vAlign w:val="center"/>
          </w:tcPr>
          <w:p>
            <w:pPr>
              <w:jc w:val="center"/>
              <w:rPr>
                <w:bCs/>
                <w:sz w:val="24"/>
              </w:rPr>
            </w:pPr>
            <w:r>
              <w:rPr>
                <w:rFonts w:hint="eastAsia"/>
                <w:bCs/>
                <w:sz w:val="24"/>
              </w:rPr>
              <w:t>一般资格性审查内容</w:t>
            </w:r>
          </w:p>
        </w:tc>
        <w:tc>
          <w:tcPr>
            <w:tcW w:w="1665" w:type="dxa"/>
            <w:tcBorders>
              <w:top w:val="nil"/>
              <w:left w:val="nil"/>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817" w:type="dxa"/>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1</w:t>
            </w:r>
          </w:p>
        </w:tc>
        <w:tc>
          <w:tcPr>
            <w:tcW w:w="7088" w:type="dxa"/>
            <w:tcBorders>
              <w:top w:val="nil"/>
              <w:left w:val="nil"/>
              <w:bottom w:val="single" w:color="auto" w:sz="4" w:space="0"/>
              <w:right w:val="single" w:color="auto" w:sz="4" w:space="0"/>
            </w:tcBorders>
            <w:vAlign w:val="center"/>
          </w:tcPr>
          <w:p>
            <w:pPr>
              <w:jc w:val="center"/>
              <w:rPr>
                <w:bCs/>
                <w:sz w:val="24"/>
              </w:rPr>
            </w:pPr>
          </w:p>
        </w:tc>
        <w:tc>
          <w:tcPr>
            <w:tcW w:w="1665" w:type="dxa"/>
            <w:tcBorders>
              <w:top w:val="nil"/>
              <w:left w:val="nil"/>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817" w:type="dxa"/>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2</w:t>
            </w:r>
          </w:p>
        </w:tc>
        <w:tc>
          <w:tcPr>
            <w:tcW w:w="7088" w:type="dxa"/>
            <w:tcBorders>
              <w:top w:val="nil"/>
              <w:left w:val="nil"/>
              <w:bottom w:val="single" w:color="auto" w:sz="4" w:space="0"/>
              <w:right w:val="single" w:color="auto" w:sz="4" w:space="0"/>
            </w:tcBorders>
            <w:vAlign w:val="center"/>
          </w:tcPr>
          <w:p>
            <w:pPr>
              <w:jc w:val="center"/>
              <w:rPr>
                <w:bCs/>
                <w:sz w:val="24"/>
              </w:rPr>
            </w:pPr>
          </w:p>
        </w:tc>
        <w:tc>
          <w:tcPr>
            <w:tcW w:w="1665" w:type="dxa"/>
            <w:tcBorders>
              <w:top w:val="nil"/>
              <w:left w:val="nil"/>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817" w:type="dxa"/>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3</w:t>
            </w:r>
          </w:p>
        </w:tc>
        <w:tc>
          <w:tcPr>
            <w:tcW w:w="7088" w:type="dxa"/>
            <w:tcBorders>
              <w:top w:val="nil"/>
              <w:left w:val="nil"/>
              <w:bottom w:val="single" w:color="auto" w:sz="4" w:space="0"/>
              <w:right w:val="single" w:color="auto" w:sz="4" w:space="0"/>
            </w:tcBorders>
            <w:vAlign w:val="center"/>
          </w:tcPr>
          <w:p>
            <w:pPr>
              <w:jc w:val="center"/>
              <w:rPr>
                <w:bCs/>
                <w:sz w:val="24"/>
              </w:rPr>
            </w:pPr>
          </w:p>
        </w:tc>
        <w:tc>
          <w:tcPr>
            <w:tcW w:w="1665" w:type="dxa"/>
            <w:tcBorders>
              <w:top w:val="nil"/>
              <w:left w:val="nil"/>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817" w:type="dxa"/>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 xml:space="preserve">   </w:t>
            </w:r>
          </w:p>
        </w:tc>
        <w:tc>
          <w:tcPr>
            <w:tcW w:w="7088" w:type="dxa"/>
            <w:tcBorders>
              <w:top w:val="nil"/>
              <w:left w:val="nil"/>
              <w:bottom w:val="single" w:color="auto" w:sz="4" w:space="0"/>
              <w:right w:val="single" w:color="auto" w:sz="4" w:space="0"/>
            </w:tcBorders>
            <w:vAlign w:val="center"/>
          </w:tcPr>
          <w:p>
            <w:pPr>
              <w:jc w:val="center"/>
              <w:rPr>
                <w:bCs/>
                <w:sz w:val="24"/>
              </w:rPr>
            </w:pPr>
            <w:r>
              <w:rPr>
                <w:rFonts w:hint="eastAsia"/>
                <w:bCs/>
                <w:sz w:val="24"/>
              </w:rPr>
              <w:t>……</w:t>
            </w:r>
          </w:p>
        </w:tc>
        <w:tc>
          <w:tcPr>
            <w:tcW w:w="1665" w:type="dxa"/>
            <w:tcBorders>
              <w:top w:val="nil"/>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836"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二</w:t>
            </w:r>
          </w:p>
        </w:tc>
        <w:tc>
          <w:tcPr>
            <w:tcW w:w="7088" w:type="dxa"/>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特定资格性审查内容</w:t>
            </w:r>
          </w:p>
        </w:tc>
        <w:tc>
          <w:tcPr>
            <w:tcW w:w="1665" w:type="dxa"/>
            <w:tcBorders>
              <w:top w:val="single" w:color="auto" w:sz="4" w:space="0"/>
              <w:left w:val="nil"/>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1</w:t>
            </w:r>
          </w:p>
        </w:tc>
        <w:tc>
          <w:tcPr>
            <w:tcW w:w="7088" w:type="dxa"/>
            <w:tcBorders>
              <w:top w:val="single" w:color="auto" w:sz="4" w:space="0"/>
              <w:left w:val="nil"/>
              <w:bottom w:val="single" w:color="auto" w:sz="4" w:space="0"/>
              <w:right w:val="single" w:color="auto" w:sz="4" w:space="0"/>
            </w:tcBorders>
            <w:vAlign w:val="center"/>
          </w:tcPr>
          <w:p>
            <w:pPr>
              <w:jc w:val="center"/>
              <w:rPr>
                <w:bCs/>
                <w:sz w:val="24"/>
              </w:rPr>
            </w:pPr>
          </w:p>
        </w:tc>
        <w:tc>
          <w:tcPr>
            <w:tcW w:w="1665" w:type="dxa"/>
            <w:tcBorders>
              <w:top w:val="single" w:color="auto" w:sz="4" w:space="0"/>
              <w:left w:val="nil"/>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2</w:t>
            </w:r>
          </w:p>
        </w:tc>
        <w:tc>
          <w:tcPr>
            <w:tcW w:w="7088"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665"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3</w:t>
            </w:r>
          </w:p>
        </w:tc>
        <w:tc>
          <w:tcPr>
            <w:tcW w:w="7088"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665"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836"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088"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w:t>
            </w:r>
          </w:p>
        </w:tc>
        <w:tc>
          <w:tcPr>
            <w:tcW w:w="1665"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1268" w:hRule="exact"/>
          <w:jc w:val="center"/>
        </w:trPr>
        <w:tc>
          <w:tcPr>
            <w:tcW w:w="9570" w:type="dxa"/>
            <w:gridSpan w:val="3"/>
            <w:tcBorders>
              <w:top w:val="single" w:color="auto" w:sz="4" w:space="0"/>
              <w:left w:val="single" w:color="auto" w:sz="4" w:space="0"/>
              <w:bottom w:val="single" w:color="auto" w:sz="4" w:space="0"/>
              <w:right w:val="single" w:color="auto" w:sz="4" w:space="0"/>
            </w:tcBorders>
            <w:vAlign w:val="center"/>
          </w:tcPr>
          <w:p>
            <w:pPr>
              <w:rPr>
                <w:bCs/>
                <w:sz w:val="24"/>
              </w:rPr>
            </w:pPr>
            <w:r>
              <w:rPr>
                <w:rFonts w:hint="eastAsia"/>
                <w:bCs/>
                <w:sz w:val="24"/>
              </w:rPr>
              <w:t>备注：投标供应商按照《资格性审查表》编制此表。投标供应商应当根据本单位实际情况和投标文件内容填写，并标注相关证明材料在资格证明文件的位置页码。“密封满足招标文件要求”可以不填写。投标供应商不得虚报、瞒报、漏报或虚假承诺。</w:t>
            </w:r>
          </w:p>
        </w:tc>
      </w:tr>
    </w:tbl>
    <w:p>
      <w:pPr>
        <w:ind w:firstLine="408" w:firstLineChars="200"/>
        <w:rPr>
          <w:bCs/>
          <w:lang w:val="zh-CN"/>
        </w:rPr>
      </w:pPr>
      <w:r>
        <w:rPr>
          <w:bCs/>
          <w:lang w:val="zh-CN"/>
        </w:rPr>
        <w:br w:type="page"/>
      </w:r>
    </w:p>
    <w:p>
      <w:pPr>
        <w:pStyle w:val="5"/>
        <w:spacing w:before="194" w:beforeLines="50" w:after="194" w:afterLines="50"/>
        <w:rPr>
          <w:b w:val="0"/>
          <w:lang w:val="zh-CN"/>
        </w:rPr>
      </w:pPr>
      <w:bookmarkStart w:id="369" w:name="_Toc5626"/>
      <w:bookmarkStart w:id="370" w:name="_Toc28654"/>
      <w:bookmarkStart w:id="371" w:name="_Toc25235"/>
      <w:bookmarkStart w:id="372" w:name="_Toc12871"/>
      <w:r>
        <w:rPr>
          <w:rFonts w:hint="eastAsia"/>
          <w:b w:val="0"/>
          <w:lang w:val="zh-CN"/>
        </w:rPr>
        <w:t>附件</w:t>
      </w:r>
      <w:r>
        <w:rPr>
          <w:b w:val="0"/>
          <w:lang w:val="zh-CN"/>
        </w:rPr>
        <w:t xml:space="preserve">3-2 </w:t>
      </w:r>
      <w:r>
        <w:rPr>
          <w:rFonts w:hint="eastAsia"/>
          <w:b w:val="0"/>
          <w:lang w:val="zh-CN"/>
        </w:rPr>
        <w:t>工商营业执照、组织机构代码证、税务登记证</w:t>
      </w:r>
      <w:bookmarkEnd w:id="369"/>
      <w:bookmarkEnd w:id="370"/>
      <w:bookmarkEnd w:id="371"/>
      <w:bookmarkEnd w:id="372"/>
    </w:p>
    <w:p>
      <w:pPr>
        <w:spacing w:before="194" w:beforeLines="50" w:after="194"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工商营业执照、组织机构代码证、税务登记证</w:t>
      </w:r>
    </w:p>
    <w:p>
      <w:pPr>
        <w:widowControl/>
        <w:ind w:firstLine="408" w:firstLineChars="200"/>
        <w:jc w:val="left"/>
        <w:rPr>
          <w:rFonts w:ascii="Arial" w:hAnsi="Arial" w:eastAsia="黑体"/>
          <w:bCs/>
          <w:sz w:val="28"/>
          <w:szCs w:val="28"/>
        </w:rPr>
      </w:pPr>
      <w:r>
        <w:rPr>
          <w:bCs/>
        </w:rPr>
        <w:br w:type="page"/>
      </w:r>
    </w:p>
    <w:p>
      <w:pPr>
        <w:pStyle w:val="5"/>
        <w:spacing w:before="194" w:beforeLines="50" w:after="194" w:afterLines="50"/>
        <w:rPr>
          <w:b w:val="0"/>
        </w:rPr>
      </w:pPr>
      <w:bookmarkStart w:id="373" w:name="_Toc24537"/>
      <w:bookmarkStart w:id="374" w:name="_Toc26386"/>
      <w:bookmarkStart w:id="375" w:name="_Toc4671"/>
      <w:bookmarkStart w:id="376" w:name="_Toc15253"/>
      <w:r>
        <w:rPr>
          <w:rFonts w:hint="eastAsia"/>
          <w:b w:val="0"/>
        </w:rPr>
        <w:t>附件</w:t>
      </w:r>
      <w:r>
        <w:rPr>
          <w:b w:val="0"/>
        </w:rPr>
        <w:t xml:space="preserve">3-3 </w:t>
      </w:r>
      <w:r>
        <w:rPr>
          <w:rFonts w:hint="eastAsia"/>
          <w:b w:val="0"/>
        </w:rPr>
        <w:t>法定代表人资格证明书</w:t>
      </w:r>
      <w:bookmarkEnd w:id="373"/>
      <w:bookmarkEnd w:id="374"/>
      <w:bookmarkEnd w:id="375"/>
      <w:bookmarkEnd w:id="376"/>
    </w:p>
    <w:p>
      <w:pPr>
        <w:spacing w:before="194" w:beforeLines="50" w:after="194" w:afterLines="50" w:line="560" w:lineRule="exact"/>
        <w:jc w:val="center"/>
        <w:rPr>
          <w:rFonts w:eastAsia="楷体_GB2312"/>
          <w:bCs/>
          <w:sz w:val="28"/>
          <w:szCs w:val="28"/>
        </w:rPr>
      </w:pPr>
      <w:r>
        <w:rPr>
          <w:rFonts w:hint="eastAsia" w:ascii="黑体" w:hAnsi="黑体" w:eastAsia="黑体" w:cs="黑体"/>
          <w:bCs/>
          <w:sz w:val="36"/>
          <w:szCs w:val="21"/>
        </w:rPr>
        <w:t>法定代表人资格证明书</w:t>
      </w:r>
    </w:p>
    <w:p>
      <w:pPr>
        <w:spacing w:before="776" w:beforeLines="200"/>
        <w:ind w:firstLine="548" w:firstLineChars="200"/>
        <w:rPr>
          <w:bCs/>
          <w:sz w:val="28"/>
          <w:szCs w:val="28"/>
        </w:rPr>
      </w:pPr>
      <w:r>
        <w:rPr>
          <w:rFonts w:hint="eastAsia"/>
          <w:bCs/>
          <w:sz w:val="28"/>
          <w:szCs w:val="28"/>
          <w:u w:val="single"/>
        </w:rPr>
        <w:t>（法定代表人姓名）</w:t>
      </w:r>
      <w:r>
        <w:rPr>
          <w:rFonts w:hint="eastAsia"/>
          <w:bCs/>
          <w:sz w:val="28"/>
          <w:szCs w:val="28"/>
        </w:rPr>
        <w:t>系</w:t>
      </w:r>
      <w:r>
        <w:rPr>
          <w:rFonts w:hint="eastAsia"/>
          <w:bCs/>
          <w:sz w:val="28"/>
          <w:szCs w:val="28"/>
          <w:u w:val="single"/>
        </w:rPr>
        <w:t>（投标供应商全称）</w:t>
      </w:r>
      <w:r>
        <w:rPr>
          <w:rFonts w:hint="eastAsia"/>
          <w:bCs/>
          <w:sz w:val="28"/>
          <w:szCs w:val="28"/>
        </w:rPr>
        <w:t>的法定代表人。</w:t>
      </w:r>
    </w:p>
    <w:p>
      <w:pPr>
        <w:ind w:firstLine="548" w:firstLineChars="200"/>
        <w:rPr>
          <w:bCs/>
          <w:sz w:val="28"/>
          <w:szCs w:val="28"/>
        </w:rPr>
      </w:pPr>
    </w:p>
    <w:p>
      <w:pPr>
        <w:ind w:firstLine="548" w:firstLineChars="200"/>
        <w:rPr>
          <w:bCs/>
          <w:sz w:val="28"/>
          <w:szCs w:val="28"/>
        </w:rPr>
      </w:pPr>
      <w:r>
        <w:rPr>
          <w:rFonts w:hint="eastAsia"/>
          <w:bCs/>
          <w:sz w:val="28"/>
          <w:szCs w:val="28"/>
        </w:rPr>
        <w:t>特此证明</w:t>
      </w:r>
    </w:p>
    <w:p>
      <w:pPr>
        <w:ind w:firstLine="548" w:firstLineChars="200"/>
        <w:rPr>
          <w:bCs/>
          <w:sz w:val="28"/>
          <w:szCs w:val="28"/>
        </w:rPr>
      </w:pPr>
      <w:r>
        <w:rPr>
          <w:bCs/>
          <w:sz w:val="28"/>
          <w:szCs w:val="28"/>
        </w:rPr>
        <mc:AlternateContent>
          <mc:Choice Requires="wps">
            <w:drawing>
              <wp:anchor distT="0" distB="0" distL="114300" distR="114300" simplePos="0" relativeHeight="251660288" behindDoc="0" locked="0" layoutInCell="1" allowOverlap="1">
                <wp:simplePos x="0" y="0"/>
                <wp:positionH relativeFrom="column">
                  <wp:posOffset>2899410</wp:posOffset>
                </wp:positionH>
                <wp:positionV relativeFrom="paragraph">
                  <wp:posOffset>60325</wp:posOffset>
                </wp:positionV>
                <wp:extent cx="2181860" cy="1125855"/>
                <wp:effectExtent l="0" t="0" r="27940" b="17145"/>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181860" cy="1125855"/>
                        </a:xfrm>
                        <a:prstGeom prst="rect">
                          <a:avLst/>
                        </a:prstGeom>
                        <a:solidFill>
                          <a:srgbClr val="FFFFFF"/>
                        </a:solidFill>
                        <a:ln w="9525">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（反面）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28.3pt;margin-top:4.75pt;height:88.65pt;width:171.8pt;z-index:251660288;v-text-anchor:middle;mso-width-relative:page;mso-height-relative:page;" fillcolor="#FFFFFF" filled="t" stroked="t" coordsize="21600,21600" o:gfxdata="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wVUwJdUAAAAJAQAADwAAAAAA&#10;AAABACAAAAAiAAAAZHJzL2Rvd25yZXYueG1sUEsBAhQAFAAAAAgAh07iQAjDKg1PAgAAogQAAA4A&#10;AAAAAAAAAQAgAAAAJAEAAGRycy9lMm9Eb2MueG1sUEsFBgAAAAAGAAYAWQEAAOUFAAA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（反面）</w:t>
                      </w:r>
                    </w:p>
                  </w:txbxContent>
                </v:textbox>
              </v:shape>
            </w:pict>
          </mc:Fallback>
        </mc:AlternateContent>
      </w:r>
      <w:r>
        <w:rPr>
          <w:bCs/>
        </w:rPr>
        <mc:AlternateContent>
          <mc:Choice Requires="wps">
            <w:drawing>
              <wp:anchor distT="0" distB="0" distL="114300" distR="114300" simplePos="0" relativeHeight="251659264" behindDoc="0" locked="0" layoutInCell="1" allowOverlap="1">
                <wp:simplePos x="0" y="0"/>
                <wp:positionH relativeFrom="column">
                  <wp:posOffset>349885</wp:posOffset>
                </wp:positionH>
                <wp:positionV relativeFrom="paragraph">
                  <wp:posOffset>71755</wp:posOffset>
                </wp:positionV>
                <wp:extent cx="2240915" cy="1125855"/>
                <wp:effectExtent l="12065" t="13970" r="13970" b="1270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（正面）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7.55pt;margin-top:5.65pt;height:88.65pt;width:176.45pt;z-index:251659264;v-text-anchor:middle;mso-width-relative:page;mso-height-relative:page;" fillcolor="#FFFFFF" filled="t" stroked="t" coordsize="21600,21600" o:gfxdata="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29StB1AAAAAkBAAAPAAAAAAAA&#10;AAEAIAAAACIAAABkcnMvZG93bnJldi54bWxQSwECFAAUAAAACACHTuJAzirQ1k8CAACiBAAADgAA&#10;AAAAAAABACAAAAAjAQAAZHJzL2Uyb0RvYy54bWxQSwUGAAAAAAYABgBZAQAA5AUAA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（正面）</w:t>
                      </w:r>
                    </w:p>
                  </w:txbxContent>
                </v:textbox>
              </v:shape>
            </w:pict>
          </mc:Fallback>
        </mc:AlternateContent>
      </w:r>
    </w:p>
    <w:p>
      <w:pPr>
        <w:rPr>
          <w:bCs/>
          <w:sz w:val="28"/>
          <w:szCs w:val="28"/>
        </w:rPr>
      </w:pPr>
    </w:p>
    <w:p>
      <w:pPr>
        <w:rPr>
          <w:bCs/>
          <w:sz w:val="28"/>
          <w:szCs w:val="28"/>
        </w:rPr>
      </w:pPr>
    </w:p>
    <w:p>
      <w:pPr>
        <w:rPr>
          <w:bCs/>
          <w:sz w:val="28"/>
          <w:szCs w:val="28"/>
        </w:rPr>
      </w:pPr>
    </w:p>
    <w:p>
      <w:pPr>
        <w:rPr>
          <w:bCs/>
          <w:sz w:val="28"/>
          <w:szCs w:val="28"/>
        </w:rPr>
      </w:pPr>
    </w:p>
    <w:p>
      <w:pPr>
        <w:rPr>
          <w:bCs/>
          <w:sz w:val="28"/>
          <w:szCs w:val="28"/>
        </w:rPr>
      </w:pPr>
    </w:p>
    <w:p>
      <w:pPr>
        <w:rPr>
          <w:bCs/>
          <w:sz w:val="28"/>
          <w:szCs w:val="28"/>
        </w:rPr>
      </w:pPr>
    </w:p>
    <w:p>
      <w:pPr>
        <w:ind w:firstLine="548" w:firstLineChars="200"/>
        <w:rPr>
          <w:bCs/>
          <w:sz w:val="28"/>
          <w:szCs w:val="28"/>
        </w:rPr>
      </w:pPr>
      <w:r>
        <w:rPr>
          <w:rFonts w:hint="eastAsia"/>
          <w:bCs/>
          <w:sz w:val="28"/>
          <w:szCs w:val="28"/>
        </w:rPr>
        <w:t>身份证关键信息应当清晰可辨，否则视为无效投标。</w:t>
      </w:r>
    </w:p>
    <w:p>
      <w:pPr>
        <w:ind w:firstLine="4795" w:firstLineChars="1750"/>
        <w:rPr>
          <w:bCs/>
          <w:sz w:val="28"/>
          <w:szCs w:val="28"/>
        </w:rPr>
      </w:pPr>
    </w:p>
    <w:p>
      <w:pPr>
        <w:ind w:firstLine="4795" w:firstLineChars="1750"/>
        <w:rPr>
          <w:bCs/>
          <w:sz w:val="28"/>
          <w:szCs w:val="28"/>
        </w:rPr>
      </w:pPr>
    </w:p>
    <w:p>
      <w:pPr>
        <w:rPr>
          <w:bCs/>
          <w:sz w:val="28"/>
          <w:szCs w:val="28"/>
        </w:rPr>
      </w:pPr>
    </w:p>
    <w:p>
      <w:pPr>
        <w:ind w:firstLine="548" w:firstLineChars="200"/>
        <w:jc w:val="center"/>
        <w:rPr>
          <w:bCs/>
          <w:sz w:val="28"/>
          <w:szCs w:val="28"/>
        </w:rPr>
      </w:pPr>
      <w:r>
        <w:rPr>
          <w:bCs/>
          <w:sz w:val="28"/>
          <w:szCs w:val="28"/>
        </w:rPr>
        <w:t xml:space="preserve">                   </w:t>
      </w:r>
      <w:r>
        <w:rPr>
          <w:rFonts w:hint="eastAsia"/>
          <w:bCs/>
          <w:sz w:val="28"/>
          <w:szCs w:val="28"/>
        </w:rPr>
        <w:t>投标供应商全称：（盖章）</w:t>
      </w:r>
    </w:p>
    <w:p>
      <w:pPr>
        <w:jc w:val="left"/>
        <w:rPr>
          <w:bCs/>
          <w:sz w:val="28"/>
          <w:szCs w:val="28"/>
        </w:rPr>
      </w:pPr>
    </w:p>
    <w:p>
      <w:pPr>
        <w:ind w:firstLine="548" w:firstLineChars="200"/>
        <w:jc w:val="center"/>
        <w:rPr>
          <w:bCs/>
          <w:sz w:val="28"/>
          <w:szCs w:val="28"/>
        </w:rPr>
      </w:pPr>
      <w:r>
        <w:rPr>
          <w:bCs/>
          <w:sz w:val="28"/>
          <w:szCs w:val="28"/>
        </w:rPr>
        <w:t xml:space="preserve">                         </w:t>
      </w: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widowControl/>
        <w:ind w:firstLine="408" w:firstLineChars="200"/>
        <w:jc w:val="left"/>
        <w:rPr>
          <w:rFonts w:ascii="Arial" w:hAnsi="Arial" w:eastAsia="黑体"/>
          <w:bCs/>
          <w:sz w:val="28"/>
          <w:szCs w:val="28"/>
          <w:lang w:val="zh-CN"/>
        </w:rPr>
      </w:pPr>
      <w:r>
        <w:rPr>
          <w:bCs/>
          <w:lang w:val="zh-CN"/>
        </w:rPr>
        <w:br w:type="page"/>
      </w:r>
    </w:p>
    <w:p>
      <w:pPr>
        <w:pStyle w:val="5"/>
        <w:spacing w:before="194" w:beforeLines="50" w:after="194" w:afterLines="50"/>
        <w:rPr>
          <w:b w:val="0"/>
        </w:rPr>
      </w:pPr>
      <w:bookmarkStart w:id="377" w:name="_Toc27366"/>
      <w:bookmarkStart w:id="378" w:name="_Toc12128"/>
      <w:bookmarkStart w:id="379" w:name="_Toc12673"/>
      <w:bookmarkStart w:id="380" w:name="_Toc20902"/>
      <w:r>
        <w:rPr>
          <w:rFonts w:hint="eastAsia"/>
          <w:b w:val="0"/>
        </w:rPr>
        <w:t>附件</w:t>
      </w:r>
      <w:r>
        <w:rPr>
          <w:b w:val="0"/>
        </w:rPr>
        <w:t xml:space="preserve">3-4 </w:t>
      </w:r>
      <w:r>
        <w:rPr>
          <w:rFonts w:hint="eastAsia"/>
          <w:b w:val="0"/>
        </w:rPr>
        <w:t>法定代表人授权书</w:t>
      </w:r>
      <w:bookmarkEnd w:id="377"/>
      <w:bookmarkEnd w:id="378"/>
      <w:bookmarkEnd w:id="379"/>
      <w:bookmarkEnd w:id="380"/>
    </w:p>
    <w:p>
      <w:pPr>
        <w:spacing w:before="194" w:beforeLines="50" w:after="194" w:afterLines="50" w:line="560" w:lineRule="exact"/>
        <w:jc w:val="center"/>
        <w:rPr>
          <w:bCs/>
          <w:sz w:val="28"/>
          <w:szCs w:val="28"/>
        </w:rPr>
      </w:pPr>
      <w:r>
        <w:rPr>
          <w:rFonts w:hint="eastAsia" w:ascii="黑体" w:hAnsi="黑体" w:eastAsia="黑体" w:cs="黑体"/>
          <w:bCs/>
          <w:sz w:val="36"/>
          <w:szCs w:val="36"/>
        </w:rPr>
        <w:t>法定代表人授权书</w:t>
      </w:r>
    </w:p>
    <w:p>
      <w:pPr>
        <w:spacing w:line="600" w:lineRule="exact"/>
        <w:rPr>
          <w:rFonts w:ascii="宋体" w:hAnsi="宋体" w:cs="宋体"/>
          <w:bCs/>
          <w:sz w:val="28"/>
          <w:szCs w:val="28"/>
        </w:rPr>
      </w:pPr>
      <w:r>
        <w:rPr>
          <w:rFonts w:hint="eastAsia" w:ascii="宋体" w:hAnsi="宋体" w:cs="宋体"/>
          <w:bCs/>
          <w:sz w:val="28"/>
          <w:szCs w:val="28"/>
          <w:u w:val="single"/>
        </w:rPr>
        <w:t>（采购机构名称）</w:t>
      </w:r>
      <w:r>
        <w:rPr>
          <w:rFonts w:hint="eastAsia" w:ascii="宋体" w:hAnsi="宋体" w:cs="宋体"/>
          <w:bCs/>
          <w:sz w:val="28"/>
          <w:szCs w:val="28"/>
        </w:rPr>
        <w:t>：</w:t>
      </w:r>
    </w:p>
    <w:p>
      <w:pPr>
        <w:spacing w:line="600" w:lineRule="exact"/>
        <w:ind w:firstLine="548" w:firstLineChars="200"/>
        <w:rPr>
          <w:rFonts w:ascii="宋体" w:hAnsi="宋体" w:cs="宋体"/>
          <w:bCs/>
          <w:sz w:val="28"/>
          <w:szCs w:val="28"/>
        </w:rPr>
      </w:pPr>
      <w:r>
        <w:rPr>
          <w:rFonts w:hint="eastAsia" w:ascii="宋体" w:hAnsi="宋体" w:cs="宋体"/>
          <w:bCs/>
          <w:sz w:val="28"/>
          <w:szCs w:val="28"/>
          <w:u w:val="single"/>
        </w:rPr>
        <w:t>（投标供应商全称）</w:t>
      </w:r>
      <w:r>
        <w:rPr>
          <w:rFonts w:hint="eastAsia" w:ascii="宋体" w:hAnsi="宋体" w:cs="宋体"/>
          <w:bCs/>
          <w:sz w:val="28"/>
          <w:szCs w:val="28"/>
        </w:rPr>
        <w:t>法定代表人</w:t>
      </w:r>
      <w:r>
        <w:rPr>
          <w:rFonts w:hint="eastAsia" w:ascii="宋体" w:hAnsi="宋体" w:cs="宋体"/>
          <w:bCs/>
          <w:sz w:val="28"/>
          <w:szCs w:val="28"/>
          <w:u w:val="single"/>
        </w:rPr>
        <w:t>（姓名、职务）</w:t>
      </w:r>
      <w:r>
        <w:rPr>
          <w:rFonts w:hint="eastAsia" w:ascii="宋体" w:hAnsi="宋体" w:cs="宋体"/>
          <w:bCs/>
          <w:sz w:val="28"/>
          <w:szCs w:val="28"/>
        </w:rPr>
        <w:t>授权</w:t>
      </w:r>
      <w:r>
        <w:rPr>
          <w:rFonts w:hint="eastAsia" w:ascii="宋体" w:hAnsi="宋体" w:cs="宋体"/>
          <w:bCs/>
          <w:sz w:val="28"/>
          <w:szCs w:val="28"/>
          <w:u w:val="single"/>
        </w:rPr>
        <w:t>（授权代表姓名、职务）</w:t>
      </w:r>
      <w:r>
        <w:rPr>
          <w:rFonts w:hint="eastAsia" w:ascii="宋体" w:hAnsi="宋体" w:cs="宋体"/>
          <w:bCs/>
          <w:sz w:val="28"/>
          <w:szCs w:val="28"/>
        </w:rPr>
        <w:t>为全权代表，参加贵部组织的项目编号为</w:t>
      </w:r>
      <w:r>
        <w:rPr>
          <w:rFonts w:hint="eastAsia" w:ascii="宋体" w:hAnsi="宋体" w:cs="宋体"/>
          <w:bCs/>
          <w:sz w:val="28"/>
          <w:szCs w:val="28"/>
          <w:u w:val="single"/>
        </w:rPr>
        <w:t>（项目编号）</w:t>
      </w:r>
      <w:r>
        <w:rPr>
          <w:rFonts w:hint="eastAsia" w:ascii="宋体" w:hAnsi="宋体" w:cs="宋体"/>
          <w:bCs/>
          <w:sz w:val="28"/>
          <w:szCs w:val="28"/>
        </w:rPr>
        <w:t>的</w:t>
      </w:r>
      <w:r>
        <w:rPr>
          <w:rFonts w:hint="eastAsia" w:ascii="宋体" w:hAnsi="宋体" w:cs="宋体"/>
          <w:bCs/>
          <w:sz w:val="28"/>
          <w:szCs w:val="28"/>
          <w:u w:val="single"/>
        </w:rPr>
        <w:t>（项目名称）</w:t>
      </w:r>
      <w:r>
        <w:rPr>
          <w:rFonts w:hint="eastAsia" w:ascii="宋体" w:hAnsi="宋体" w:cs="宋体"/>
          <w:bCs/>
          <w:sz w:val="28"/>
          <w:szCs w:val="28"/>
        </w:rPr>
        <w:t>采购活动，全权处理采购活动中的一切事宜。</w:t>
      </w:r>
    </w:p>
    <w:p>
      <w:pPr>
        <w:spacing w:line="560" w:lineRule="exact"/>
        <w:ind w:firstLine="600"/>
        <w:rPr>
          <w:rFonts w:ascii="宋体" w:hAnsi="宋体" w:cs="宋体"/>
          <w:bCs/>
          <w:sz w:val="28"/>
          <w:szCs w:val="28"/>
        </w:rPr>
      </w:pPr>
    </w:p>
    <w:p>
      <w:pPr>
        <w:spacing w:line="360" w:lineRule="auto"/>
        <w:ind w:left="-2" w:leftChars="-1" w:firstLine="4110" w:firstLineChars="1500"/>
        <w:rPr>
          <w:rFonts w:ascii="宋体" w:hAnsi="宋体" w:cs="宋体"/>
          <w:bCs/>
          <w:sz w:val="28"/>
          <w:szCs w:val="28"/>
        </w:rPr>
      </w:pPr>
      <w:r>
        <w:rPr>
          <w:rFonts w:hint="eastAsia" w:ascii="宋体" w:hAnsi="宋体" w:cs="宋体"/>
          <w:bCs/>
          <w:sz w:val="28"/>
          <w:szCs w:val="28"/>
        </w:rPr>
        <w:t xml:space="preserve">投标供应商全称：（盖章）                            </w:t>
      </w:r>
    </w:p>
    <w:p>
      <w:pPr>
        <w:spacing w:line="360" w:lineRule="auto"/>
        <w:ind w:left="3502" w:leftChars="1717" w:firstLine="548" w:firstLineChars="200"/>
        <w:rPr>
          <w:rFonts w:ascii="宋体" w:hAnsi="宋体" w:cs="宋体"/>
          <w:bCs/>
          <w:sz w:val="28"/>
          <w:szCs w:val="28"/>
        </w:rPr>
      </w:pPr>
      <w:r>
        <w:rPr>
          <w:rFonts w:hint="eastAsia" w:ascii="宋体" w:hAnsi="宋体" w:cs="宋体"/>
          <w:bCs/>
          <w:sz w:val="28"/>
          <w:szCs w:val="28"/>
        </w:rPr>
        <w:t>法定代表人：（签字）</w:t>
      </w:r>
    </w:p>
    <w:p>
      <w:pPr>
        <w:pStyle w:val="16"/>
        <w:spacing w:line="360" w:lineRule="auto"/>
        <w:ind w:firstLine="408" w:firstLineChars="200"/>
      </w:pPr>
      <w:r>
        <w:rPr>
          <w:rFonts w:hint="eastAsia"/>
        </w:rPr>
        <w:t xml:space="preserve"> </w:t>
      </w:r>
      <w:r>
        <w:t xml:space="preserve">                                   </w:t>
      </w:r>
      <w:r>
        <w:rPr>
          <w:rFonts w:hint="eastAsia" w:ascii="宋体" w:hAnsi="宋体" w:cs="宋体"/>
          <w:bCs/>
          <w:sz w:val="28"/>
          <w:szCs w:val="28"/>
        </w:rPr>
        <w:t>授权代表：（签字）</w:t>
      </w:r>
    </w:p>
    <w:p>
      <w:pPr>
        <w:spacing w:line="560" w:lineRule="exact"/>
        <w:ind w:left="2882" w:leftChars="1413" w:firstLine="548" w:firstLineChars="200"/>
        <w:rPr>
          <w:rFonts w:ascii="宋体" w:hAnsi="宋体" w:cs="宋体"/>
          <w:bCs/>
          <w:sz w:val="28"/>
          <w:szCs w:val="28"/>
        </w:rPr>
      </w:pPr>
      <w:r>
        <w:rPr>
          <w:rFonts w:hint="eastAsia" w:ascii="宋体" w:hAnsi="宋体" w:cs="宋体"/>
          <w:bCs/>
          <w:sz w:val="28"/>
          <w:szCs w:val="28"/>
        </w:rPr>
        <w:t xml:space="preserve">               </w:t>
      </w:r>
      <w:r>
        <w:rPr>
          <w:rFonts w:ascii="宋体" w:hAnsi="宋体" w:cs="宋体"/>
          <w:bCs/>
          <w:sz w:val="28"/>
          <w:szCs w:val="28"/>
        </w:rPr>
        <w:t xml:space="preserve">     </w:t>
      </w:r>
      <w:r>
        <w:rPr>
          <w:rFonts w:hint="eastAsia" w:ascii="宋体" w:hAnsi="宋体" w:cs="宋体"/>
          <w:bCs/>
          <w:sz w:val="28"/>
          <w:szCs w:val="28"/>
          <w:u w:val="single"/>
        </w:rPr>
        <w:t xml:space="preserve">   </w:t>
      </w:r>
      <w:r>
        <w:rPr>
          <w:rFonts w:hint="eastAsia" w:ascii="宋体" w:hAnsi="宋体" w:cs="宋体"/>
          <w:bCs/>
          <w:sz w:val="28"/>
          <w:szCs w:val="28"/>
        </w:rPr>
        <w:t>年</w:t>
      </w:r>
      <w:r>
        <w:rPr>
          <w:rFonts w:hint="eastAsia" w:ascii="宋体" w:hAnsi="宋体" w:cs="宋体"/>
          <w:bCs/>
          <w:sz w:val="28"/>
          <w:szCs w:val="28"/>
          <w:u w:val="single"/>
        </w:rPr>
        <w:t xml:space="preserve">   </w:t>
      </w:r>
      <w:r>
        <w:rPr>
          <w:rFonts w:hint="eastAsia" w:ascii="宋体" w:hAnsi="宋体" w:cs="宋体"/>
          <w:bCs/>
          <w:sz w:val="28"/>
          <w:szCs w:val="28"/>
        </w:rPr>
        <w:t>月</w:t>
      </w:r>
      <w:r>
        <w:rPr>
          <w:rFonts w:hint="eastAsia" w:ascii="宋体" w:hAnsi="宋体" w:cs="宋体"/>
          <w:bCs/>
          <w:sz w:val="28"/>
          <w:szCs w:val="28"/>
          <w:u w:val="single"/>
        </w:rPr>
        <w:t xml:space="preserve">   </w:t>
      </w:r>
      <w:r>
        <w:rPr>
          <w:rFonts w:hint="eastAsia" w:ascii="宋体" w:hAnsi="宋体" w:cs="宋体"/>
          <w:bCs/>
          <w:sz w:val="28"/>
          <w:szCs w:val="28"/>
        </w:rPr>
        <w:t>日</w:t>
      </w:r>
    </w:p>
    <w:p>
      <w:pPr>
        <w:spacing w:line="560" w:lineRule="exact"/>
        <w:ind w:firstLine="548" w:firstLineChars="200"/>
        <w:rPr>
          <w:rFonts w:ascii="宋体" w:hAnsi="宋体" w:cs="宋体"/>
          <w:bCs/>
          <w:sz w:val="28"/>
          <w:szCs w:val="28"/>
        </w:rPr>
      </w:pPr>
      <w:r>
        <w:rPr>
          <w:rFonts w:hint="eastAsia" w:ascii="宋体" w:hAnsi="宋体" w:cs="宋体"/>
          <w:bCs/>
          <w:sz w:val="28"/>
          <w:szCs w:val="28"/>
        </w:rPr>
        <w:t>附：</w:t>
      </w:r>
    </w:p>
    <w:p>
      <w:pPr>
        <w:spacing w:line="560" w:lineRule="exact"/>
        <w:ind w:firstLine="548" w:firstLineChars="200"/>
        <w:rPr>
          <w:rFonts w:ascii="宋体" w:hAnsi="宋体" w:cs="宋体"/>
          <w:bCs/>
          <w:sz w:val="28"/>
          <w:szCs w:val="28"/>
        </w:rPr>
      </w:pPr>
      <w:r>
        <w:rPr>
          <w:rFonts w:hint="eastAsia" w:ascii="宋体" w:hAnsi="宋体" w:cs="宋体"/>
          <w:bCs/>
          <w:sz w:val="28"/>
          <w:szCs w:val="28"/>
        </w:rPr>
        <w:t>授权代表姓名：</w:t>
      </w:r>
      <w:r>
        <w:rPr>
          <w:rFonts w:hint="eastAsia" w:ascii="宋体" w:hAnsi="宋体" w:cs="宋体"/>
          <w:bCs/>
          <w:sz w:val="28"/>
          <w:szCs w:val="28"/>
          <w:u w:val="single"/>
        </w:rPr>
        <w:t xml:space="preserve">         </w:t>
      </w:r>
      <w:r>
        <w:rPr>
          <w:rFonts w:hint="eastAsia" w:ascii="宋体" w:hAnsi="宋体" w:cs="宋体"/>
          <w:bCs/>
          <w:sz w:val="28"/>
          <w:szCs w:val="28"/>
        </w:rPr>
        <w:t xml:space="preserve">     </w:t>
      </w:r>
    </w:p>
    <w:p>
      <w:pPr>
        <w:spacing w:line="560" w:lineRule="exact"/>
        <w:ind w:firstLine="548" w:firstLineChars="200"/>
        <w:rPr>
          <w:rFonts w:ascii="宋体" w:hAnsi="宋体" w:cs="宋体"/>
          <w:bCs/>
          <w:sz w:val="28"/>
          <w:szCs w:val="28"/>
        </w:rPr>
      </w:pPr>
      <w:r>
        <w:rPr>
          <w:rFonts w:hint="eastAsia" w:ascii="宋体" w:hAnsi="宋体" w:cs="宋体"/>
          <w:bCs/>
          <w:sz w:val="28"/>
          <w:szCs w:val="28"/>
        </w:rPr>
        <w:t>职    务：</w:t>
      </w:r>
      <w:r>
        <w:rPr>
          <w:rFonts w:hint="eastAsia" w:ascii="宋体" w:hAnsi="宋体" w:cs="宋体"/>
          <w:bCs/>
          <w:sz w:val="28"/>
          <w:szCs w:val="28"/>
          <w:u w:val="single"/>
        </w:rPr>
        <w:t xml:space="preserve">             </w:t>
      </w:r>
      <w:r>
        <w:rPr>
          <w:rFonts w:hint="eastAsia" w:ascii="宋体" w:hAnsi="宋体" w:cs="宋体"/>
          <w:bCs/>
          <w:sz w:val="28"/>
          <w:szCs w:val="28"/>
        </w:rPr>
        <w:t xml:space="preserve">         移动电话：</w:t>
      </w:r>
      <w:r>
        <w:rPr>
          <w:rFonts w:hint="eastAsia" w:ascii="宋体" w:hAnsi="宋体" w:cs="宋体"/>
          <w:bCs/>
          <w:sz w:val="28"/>
          <w:szCs w:val="28"/>
          <w:u w:val="single"/>
        </w:rPr>
        <w:t xml:space="preserve">           </w:t>
      </w:r>
    </w:p>
    <w:p>
      <w:pPr>
        <w:spacing w:line="560" w:lineRule="exact"/>
        <w:ind w:firstLine="548" w:firstLineChars="200"/>
        <w:rPr>
          <w:rFonts w:ascii="宋体" w:hAnsi="宋体" w:cs="宋体"/>
          <w:bCs/>
          <w:sz w:val="28"/>
          <w:szCs w:val="28"/>
        </w:rPr>
      </w:pPr>
      <w:r>
        <w:rPr>
          <w:rFonts w:hint="eastAsia" w:ascii="宋体" w:hAnsi="宋体" w:cs="宋体"/>
          <w:bCs/>
          <w:sz w:val="28"/>
          <w:szCs w:val="28"/>
        </w:rPr>
        <w:t>传    真：</w:t>
      </w:r>
      <w:r>
        <w:rPr>
          <w:rFonts w:hint="eastAsia" w:ascii="宋体" w:hAnsi="宋体" w:cs="宋体"/>
          <w:bCs/>
          <w:sz w:val="28"/>
          <w:szCs w:val="28"/>
          <w:u w:val="single"/>
        </w:rPr>
        <w:t xml:space="preserve">             </w:t>
      </w:r>
      <w:r>
        <w:rPr>
          <w:rFonts w:hint="eastAsia" w:ascii="宋体" w:hAnsi="宋体" w:cs="宋体"/>
          <w:bCs/>
          <w:sz w:val="28"/>
          <w:szCs w:val="28"/>
        </w:rPr>
        <w:t xml:space="preserve">         邮    编：</w:t>
      </w:r>
      <w:r>
        <w:rPr>
          <w:rFonts w:hint="eastAsia" w:ascii="宋体" w:hAnsi="宋体" w:cs="宋体"/>
          <w:bCs/>
          <w:sz w:val="28"/>
          <w:szCs w:val="28"/>
          <w:u w:val="single"/>
        </w:rPr>
        <w:t xml:space="preserve">           </w:t>
      </w:r>
    </w:p>
    <w:p>
      <w:pPr>
        <w:spacing w:line="560" w:lineRule="exact"/>
        <w:ind w:firstLine="548" w:firstLineChars="200"/>
        <w:rPr>
          <w:rFonts w:ascii="宋体" w:hAnsi="宋体" w:cs="宋体"/>
          <w:bCs/>
          <w:sz w:val="28"/>
          <w:szCs w:val="28"/>
        </w:rPr>
      </w:pPr>
      <w:r>
        <w:rPr>
          <w:rFonts w:hint="eastAsia" w:ascii="宋体" w:hAnsi="宋体" w:cs="宋体"/>
          <w:bCs/>
          <w:sz w:val="28"/>
          <w:szCs w:val="28"/>
        </w:rPr>
        <w:t>通讯地址：</w:t>
      </w:r>
      <w:r>
        <w:rPr>
          <w:rFonts w:hint="eastAsia" w:ascii="宋体" w:hAnsi="宋体" w:cs="宋体"/>
          <w:bCs/>
          <w:sz w:val="28"/>
          <w:szCs w:val="28"/>
          <w:u w:val="single"/>
        </w:rPr>
        <w:t xml:space="preserve">             </w:t>
      </w:r>
    </w:p>
    <w:p>
      <w:pPr>
        <w:spacing w:line="560" w:lineRule="exact"/>
        <w:ind w:firstLine="548" w:firstLineChars="200"/>
        <w:rPr>
          <w:rFonts w:ascii="宋体" w:hAnsi="宋体" w:cs="宋体"/>
          <w:bCs/>
          <w:sz w:val="28"/>
          <w:szCs w:val="28"/>
        </w:rPr>
      </w:pPr>
      <w:r>
        <w:rPr>
          <w:rFonts w:hint="eastAsia" w:ascii="宋体" w:hAnsi="宋体" w:cs="宋体"/>
          <w:bCs/>
          <w:sz w:val="28"/>
          <w:szCs w:val="28"/>
        </w:rPr>
        <mc:AlternateContent>
          <mc:Choice Requires="wps">
            <w:drawing>
              <wp:anchor distT="0" distB="0" distL="114300" distR="114300" simplePos="0" relativeHeight="251663360" behindDoc="0" locked="0" layoutInCell="1" allowOverlap="1">
                <wp:simplePos x="0" y="0"/>
                <wp:positionH relativeFrom="column">
                  <wp:posOffset>2877820</wp:posOffset>
                </wp:positionH>
                <wp:positionV relativeFrom="paragraph">
                  <wp:posOffset>121920</wp:posOffset>
                </wp:positionV>
                <wp:extent cx="2240915" cy="1102360"/>
                <wp:effectExtent l="0" t="0" r="26035" b="2159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240915" cy="1102360"/>
                        </a:xfrm>
                        <a:prstGeom prst="rect">
                          <a:avLst/>
                        </a:prstGeom>
                        <a:solidFill>
                          <a:srgbClr val="FFFFFF"/>
                        </a:solidFill>
                        <a:ln w="9525">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（反面）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26.6pt;margin-top:9.6pt;height:86.8pt;width:176.45pt;z-index:251663360;v-text-anchor:middle;mso-width-relative:page;mso-height-relative:page;" fillcolor="#FFFFFF" filled="t" stroked="t" coordsize="21600,21600" o:gfxdata="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NkiQw9UAAAAKAQAADwAAAAAA&#10;AAABACAAAAAiAAAAZHJzL2Rvd25yZXYueG1sUEsBAhQAFAAAAAgAh07iQDdEUJxPAgAAogQAAA4A&#10;AAAAAAAAAQAgAAAAJAEAAGRycy9lMm9Eb2MueG1sUEsFBgAAAAAGAAYAWQEAAOUFAAA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（反面）</w:t>
                      </w:r>
                    </w:p>
                  </w:txbxContent>
                </v:textbox>
              </v:shape>
            </w:pict>
          </mc:Fallback>
        </mc:AlternateContent>
      </w:r>
      <w:r>
        <w:rPr>
          <w:rFonts w:hint="eastAsia" w:ascii="宋体" w:hAnsi="宋体" w:cs="宋体"/>
          <w:bCs/>
          <w:sz w:val="28"/>
          <w:szCs w:val="28"/>
        </w:rPr>
        <mc:AlternateContent>
          <mc:Choice Requires="wps">
            <w:drawing>
              <wp:anchor distT="0" distB="0" distL="114300" distR="114300" simplePos="0" relativeHeight="251662336" behindDoc="0" locked="0" layoutInCell="1" allowOverlap="1">
                <wp:simplePos x="0" y="0"/>
                <wp:positionH relativeFrom="column">
                  <wp:posOffset>392430</wp:posOffset>
                </wp:positionH>
                <wp:positionV relativeFrom="paragraph">
                  <wp:posOffset>120015</wp:posOffset>
                </wp:positionV>
                <wp:extent cx="2240915" cy="1081405"/>
                <wp:effectExtent l="0" t="0" r="26035" b="2349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240915" cy="1081405"/>
                        </a:xfrm>
                        <a:prstGeom prst="rect">
                          <a:avLst/>
                        </a:prstGeom>
                        <a:solidFill>
                          <a:srgbClr val="FFFFFF"/>
                        </a:solidFill>
                        <a:ln w="9525">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（正面）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30.9pt;margin-top:9.45pt;height:85.15pt;width:176.45pt;z-index:251662336;v-text-anchor:middle;mso-width-relative:page;mso-height-relative:page;" fillcolor="#FFFFFF" filled="t" stroked="t" coordsize="21600,21600" o:gfxdata="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G+o0Q1AAAAAkBAAAPAAAAAAAA&#10;AAEAIAAAACIAAABkcnMvZG93bnJldi54bWxQSwECFAAUAAAACACHTuJArYXNvU8CAACiBAAADgAA&#10;AAAAAAABACAAAAAjAQAAZHJzL2Uyb0RvYy54bWxQSwUGAAAAAAYABgBZAQAA5AUAA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（正面）</w:t>
                      </w:r>
                    </w:p>
                  </w:txbxContent>
                </v:textbox>
              </v:shape>
            </w:pict>
          </mc:Fallback>
        </mc:AlternateContent>
      </w:r>
    </w:p>
    <w:p>
      <w:pPr>
        <w:spacing w:line="560" w:lineRule="exact"/>
        <w:ind w:firstLine="573"/>
        <w:rPr>
          <w:rFonts w:ascii="宋体" w:hAnsi="宋体" w:cs="宋体"/>
          <w:bCs/>
          <w:sz w:val="28"/>
          <w:szCs w:val="28"/>
        </w:rPr>
      </w:pPr>
    </w:p>
    <w:p>
      <w:pPr>
        <w:spacing w:line="560" w:lineRule="exact"/>
        <w:ind w:firstLine="573"/>
        <w:rPr>
          <w:rFonts w:ascii="宋体" w:hAnsi="宋体" w:cs="宋体"/>
          <w:bCs/>
          <w:sz w:val="28"/>
          <w:szCs w:val="28"/>
        </w:rPr>
      </w:pPr>
    </w:p>
    <w:p>
      <w:pPr>
        <w:ind w:firstLine="411" w:firstLineChars="150"/>
        <w:rPr>
          <w:rFonts w:ascii="宋体" w:hAnsi="宋体" w:cs="宋体"/>
          <w:bCs/>
          <w:sz w:val="28"/>
          <w:szCs w:val="28"/>
        </w:rPr>
      </w:pPr>
    </w:p>
    <w:p>
      <w:pPr>
        <w:ind w:firstLine="548" w:firstLineChars="200"/>
        <w:rPr>
          <w:rFonts w:ascii="宋体" w:hAnsi="宋体" w:cs="宋体"/>
          <w:bCs/>
          <w:sz w:val="28"/>
          <w:szCs w:val="28"/>
        </w:rPr>
      </w:pPr>
      <w:r>
        <w:rPr>
          <w:rFonts w:hint="eastAsia" w:ascii="宋体" w:hAnsi="宋体" w:cs="宋体"/>
          <w:bCs/>
          <w:sz w:val="28"/>
          <w:szCs w:val="28"/>
        </w:rPr>
        <w:t>身份证关键信息应当清晰可辨，否则视为无效投标。</w:t>
      </w:r>
    </w:p>
    <w:p>
      <w:pPr>
        <w:spacing w:line="560" w:lineRule="exact"/>
        <w:ind w:firstLine="548" w:firstLineChars="200"/>
        <w:rPr>
          <w:b/>
          <w:bCs w:val="0"/>
          <w:color w:val="FF0000"/>
          <w:highlight w:val="none"/>
        </w:rPr>
      </w:pPr>
      <w:r>
        <w:rPr>
          <w:rFonts w:hint="eastAsia" w:ascii="黑体" w:hAnsi="黑体" w:eastAsia="黑体" w:cs="宋体"/>
          <w:b/>
          <w:bCs w:val="0"/>
          <w:color w:val="FF0000"/>
          <w:sz w:val="28"/>
          <w:szCs w:val="28"/>
          <w:highlight w:val="none"/>
        </w:rPr>
        <w:t>注：授权书后应当附授权代表在投标前</w:t>
      </w:r>
      <w:r>
        <w:rPr>
          <w:rFonts w:ascii="黑体" w:hAnsi="黑体" w:eastAsia="黑体" w:cs="宋体"/>
          <w:b/>
          <w:bCs w:val="0"/>
          <w:color w:val="FF0000"/>
          <w:sz w:val="28"/>
          <w:szCs w:val="28"/>
          <w:highlight w:val="none"/>
        </w:rPr>
        <w:t>4个月内</w:t>
      </w:r>
      <w:r>
        <w:rPr>
          <w:rFonts w:hint="eastAsia" w:ascii="黑体" w:hAnsi="黑体" w:eastAsia="黑体" w:cs="宋体"/>
          <w:b/>
          <w:bCs w:val="0"/>
          <w:color w:val="FF0000"/>
          <w:sz w:val="28"/>
          <w:szCs w:val="28"/>
          <w:highlight w:val="none"/>
        </w:rPr>
        <w:t>（不含投标当月）</w:t>
      </w:r>
      <w:r>
        <w:rPr>
          <w:rFonts w:ascii="黑体" w:hAnsi="黑体" w:eastAsia="黑体" w:cs="宋体"/>
          <w:b/>
          <w:bCs w:val="0"/>
          <w:color w:val="FF0000"/>
          <w:sz w:val="28"/>
          <w:szCs w:val="28"/>
          <w:highlight w:val="none"/>
        </w:rPr>
        <w:t>连续3个月由</w:t>
      </w:r>
      <w:r>
        <w:rPr>
          <w:rFonts w:hint="eastAsia" w:ascii="黑体" w:hAnsi="黑体" w:eastAsia="黑体" w:cs="宋体"/>
          <w:b/>
          <w:bCs w:val="0"/>
          <w:color w:val="FF0000"/>
          <w:sz w:val="28"/>
          <w:szCs w:val="28"/>
          <w:highlight w:val="none"/>
        </w:rPr>
        <w:t>投标供应商缴纳社保证明材料。</w:t>
      </w:r>
    </w:p>
    <w:p>
      <w:pPr>
        <w:jc w:val="center"/>
        <w:rPr>
          <w:bCs/>
          <w:lang w:val="zh-CN"/>
        </w:rPr>
      </w:pPr>
    </w:p>
    <w:p>
      <w:pPr>
        <w:jc w:val="center"/>
        <w:rPr>
          <w:bCs/>
          <w:lang w:val="zh-CN"/>
        </w:rPr>
      </w:pPr>
    </w:p>
    <w:p>
      <w:pPr>
        <w:pStyle w:val="5"/>
        <w:spacing w:before="194" w:beforeLines="50" w:after="194" w:afterLines="50"/>
        <w:rPr>
          <w:b w:val="0"/>
        </w:rPr>
      </w:pPr>
      <w:bookmarkStart w:id="381" w:name="_Toc20114"/>
      <w:bookmarkStart w:id="382" w:name="_Toc31855"/>
      <w:bookmarkStart w:id="383" w:name="_Toc28821"/>
      <w:bookmarkStart w:id="384" w:name="_Toc21021"/>
      <w:r>
        <w:rPr>
          <w:rFonts w:hint="eastAsia"/>
          <w:b w:val="0"/>
        </w:rPr>
        <w:t>附件</w:t>
      </w:r>
      <w:r>
        <w:rPr>
          <w:b w:val="0"/>
        </w:rPr>
        <w:t xml:space="preserve">3-5 </w:t>
      </w:r>
      <w:r>
        <w:rPr>
          <w:rFonts w:hint="eastAsia"/>
          <w:b w:val="0"/>
        </w:rPr>
        <w:t>供应商承诺声明</w:t>
      </w:r>
      <w:bookmarkEnd w:id="381"/>
      <w:bookmarkEnd w:id="382"/>
      <w:bookmarkEnd w:id="383"/>
      <w:bookmarkEnd w:id="384"/>
    </w:p>
    <w:p>
      <w:pPr>
        <w:autoSpaceDE w:val="0"/>
        <w:autoSpaceDN w:val="0"/>
        <w:adjustRightInd w:val="0"/>
        <w:spacing w:before="194" w:beforeLines="50" w:after="194"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供应商承诺声明</w:t>
      </w:r>
    </w:p>
    <w:p>
      <w:pPr>
        <w:tabs>
          <w:tab w:val="left" w:pos="771"/>
        </w:tabs>
        <w:spacing w:line="560" w:lineRule="exact"/>
        <w:rPr>
          <w:rFonts w:ascii="宋体" w:hAnsi="宋体" w:cs="宋体"/>
          <w:bCs/>
          <w:sz w:val="28"/>
          <w:szCs w:val="28"/>
        </w:rPr>
      </w:pPr>
      <w:r>
        <w:rPr>
          <w:rFonts w:ascii="宋体" w:hAnsi="宋体"/>
          <w:bCs/>
          <w:sz w:val="28"/>
          <w:szCs w:val="28"/>
          <w:u w:val="single"/>
        </w:rPr>
        <w:t>（</w:t>
      </w:r>
      <w:r>
        <w:rPr>
          <w:rFonts w:hint="eastAsia" w:ascii="宋体" w:hAnsi="宋体" w:cs="宋体"/>
          <w:bCs/>
          <w:sz w:val="28"/>
          <w:szCs w:val="28"/>
          <w:u w:val="single"/>
        </w:rPr>
        <w:t>采购机构名称）</w:t>
      </w:r>
      <w:r>
        <w:rPr>
          <w:rFonts w:hint="eastAsia" w:ascii="宋体" w:hAnsi="宋体" w:cs="宋体"/>
          <w:bCs/>
          <w:sz w:val="28"/>
          <w:szCs w:val="28"/>
        </w:rPr>
        <w:t>：</w:t>
      </w:r>
    </w:p>
    <w:p>
      <w:pPr>
        <w:tabs>
          <w:tab w:val="left" w:pos="771"/>
        </w:tabs>
        <w:spacing w:line="560" w:lineRule="exact"/>
        <w:ind w:firstLine="548" w:firstLineChars="200"/>
        <w:rPr>
          <w:rFonts w:ascii="宋体" w:hAnsi="宋体" w:cs="宋体"/>
          <w:bCs/>
          <w:sz w:val="28"/>
          <w:szCs w:val="28"/>
        </w:rPr>
      </w:pPr>
      <w:r>
        <w:rPr>
          <w:rFonts w:hint="eastAsia" w:ascii="宋体" w:hAnsi="宋体" w:cs="宋体"/>
          <w:bCs/>
          <w:sz w:val="28"/>
          <w:szCs w:val="28"/>
        </w:rPr>
        <w:t>我单位自愿参加贵部组织的（</w:t>
      </w:r>
      <w:r>
        <w:rPr>
          <w:rFonts w:hint="eastAsia" w:ascii="宋体" w:hAnsi="宋体" w:cs="宋体"/>
          <w:bCs/>
          <w:sz w:val="28"/>
          <w:szCs w:val="28"/>
          <w:u w:val="single"/>
        </w:rPr>
        <w:t>项目名称</w:t>
      </w:r>
      <w:r>
        <w:rPr>
          <w:rFonts w:hint="eastAsia" w:ascii="宋体" w:hAnsi="宋体" w:cs="宋体"/>
          <w:bCs/>
          <w:sz w:val="28"/>
          <w:szCs w:val="28"/>
        </w:rPr>
        <w:t>）、（</w:t>
      </w:r>
      <w:r>
        <w:rPr>
          <w:rFonts w:hint="eastAsia" w:ascii="宋体" w:hAnsi="宋体" w:cs="宋体"/>
          <w:bCs/>
          <w:sz w:val="28"/>
          <w:szCs w:val="28"/>
          <w:u w:val="single"/>
        </w:rPr>
        <w:t>项目编号</w:t>
      </w:r>
      <w:r>
        <w:rPr>
          <w:rFonts w:hint="eastAsia" w:ascii="宋体" w:hAnsi="宋体" w:cs="宋体"/>
          <w:bCs/>
          <w:sz w:val="28"/>
          <w:szCs w:val="28"/>
        </w:rPr>
        <w:t>）采购活动，承诺声明如下：</w:t>
      </w:r>
    </w:p>
    <w:p>
      <w:pPr>
        <w:tabs>
          <w:tab w:val="left" w:pos="771"/>
        </w:tabs>
        <w:spacing w:line="560" w:lineRule="exact"/>
        <w:ind w:firstLine="548" w:firstLineChars="200"/>
        <w:rPr>
          <w:rFonts w:ascii="黑体" w:hAnsi="黑体" w:eastAsia="黑体" w:cs="宋体"/>
          <w:bCs/>
          <w:sz w:val="28"/>
          <w:szCs w:val="28"/>
        </w:rPr>
      </w:pPr>
      <w:r>
        <w:rPr>
          <w:rFonts w:hint="eastAsia" w:ascii="黑体" w:hAnsi="黑体" w:eastAsia="黑体" w:cs="宋体"/>
          <w:bCs/>
          <w:sz w:val="28"/>
          <w:szCs w:val="28"/>
        </w:rPr>
        <w:t>一、供应商诚信承诺</w:t>
      </w:r>
    </w:p>
    <w:p>
      <w:pPr>
        <w:tabs>
          <w:tab w:val="left" w:pos="771"/>
        </w:tabs>
        <w:spacing w:line="560" w:lineRule="exact"/>
        <w:ind w:firstLine="548" w:firstLineChars="200"/>
        <w:rPr>
          <w:rFonts w:ascii="宋体" w:hAnsi="宋体" w:cs="宋体"/>
          <w:bCs/>
          <w:sz w:val="28"/>
          <w:szCs w:val="28"/>
        </w:rPr>
      </w:pPr>
      <w:r>
        <w:rPr>
          <w:rFonts w:hint="eastAsia" w:ascii="宋体" w:hAnsi="宋体" w:cs="宋体"/>
          <w:bCs/>
          <w:sz w:val="28"/>
          <w:szCs w:val="28"/>
        </w:rPr>
        <w:t>1.如实编写投标文件，对投标文件中提供的文件</w:t>
      </w:r>
      <w:r>
        <w:rPr>
          <w:rFonts w:hint="eastAsia" w:ascii="宋体" w:hAnsi="宋体"/>
          <w:bCs/>
          <w:sz w:val="28"/>
          <w:szCs w:val="28"/>
        </w:rPr>
        <w:t>材料</w:t>
      </w:r>
      <w:r>
        <w:rPr>
          <w:rFonts w:hint="eastAsia" w:ascii="宋体" w:hAnsi="宋体" w:cs="宋体"/>
          <w:bCs/>
          <w:sz w:val="28"/>
          <w:szCs w:val="28"/>
        </w:rPr>
        <w:t>、图片影像、财务数据、资产情况及相应证明等材料的真实性、完整性、准确性，承担相应的法律责任。</w:t>
      </w:r>
    </w:p>
    <w:p>
      <w:pPr>
        <w:widowControl/>
        <w:spacing w:line="560" w:lineRule="exact"/>
        <w:ind w:firstLine="548" w:firstLineChars="200"/>
        <w:rPr>
          <w:rFonts w:ascii="宋体" w:hAnsi="宋体" w:cs="宋体"/>
          <w:bCs/>
          <w:sz w:val="28"/>
          <w:szCs w:val="28"/>
          <w:lang w:val="zh-CN"/>
        </w:rPr>
      </w:pPr>
      <w:r>
        <w:rPr>
          <w:rFonts w:hint="eastAsia" w:ascii="宋体" w:hAnsi="宋体" w:cs="宋体"/>
          <w:bCs/>
          <w:sz w:val="28"/>
          <w:szCs w:val="28"/>
        </w:rPr>
        <w:t>2.因单位转制、兼并、股改等特殊情况，无法提供原始</w:t>
      </w:r>
      <w:r>
        <w:rPr>
          <w:rFonts w:hint="eastAsia" w:ascii="宋体" w:hAnsi="宋体"/>
          <w:bCs/>
          <w:sz w:val="28"/>
          <w:szCs w:val="28"/>
        </w:rPr>
        <w:t>材料</w:t>
      </w:r>
      <w:r>
        <w:rPr>
          <w:rFonts w:hint="eastAsia" w:ascii="宋体" w:hAnsi="宋体" w:cs="宋体"/>
          <w:bCs/>
          <w:sz w:val="28"/>
          <w:szCs w:val="28"/>
        </w:rPr>
        <w:t>、财务数据、资产情况等，造成单位信息难以确认时，自愿放弃参加军队采购活动。</w:t>
      </w:r>
    </w:p>
    <w:p>
      <w:pPr>
        <w:tabs>
          <w:tab w:val="left" w:pos="771"/>
        </w:tabs>
        <w:spacing w:line="560" w:lineRule="exact"/>
        <w:ind w:firstLine="548" w:firstLineChars="200"/>
        <w:rPr>
          <w:rFonts w:ascii="宋体" w:hAnsi="宋体" w:cs="宋体"/>
          <w:bCs/>
          <w:sz w:val="28"/>
          <w:szCs w:val="28"/>
        </w:rPr>
      </w:pPr>
      <w:r>
        <w:rPr>
          <w:rFonts w:hint="eastAsia" w:ascii="宋体" w:hAnsi="宋体" w:cs="宋体"/>
          <w:bCs/>
          <w:sz w:val="28"/>
          <w:szCs w:val="28"/>
          <w:lang w:val="zh-CN"/>
        </w:rPr>
        <w:t>3.</w:t>
      </w:r>
      <w:r>
        <w:rPr>
          <w:rFonts w:hint="eastAsia" w:ascii="宋体" w:hAnsi="宋体" w:cs="宋体"/>
          <w:bCs/>
          <w:sz w:val="28"/>
          <w:szCs w:val="28"/>
        </w:rPr>
        <w:t>在提供投标文件或现场核查时，如存在伪造文件</w:t>
      </w:r>
      <w:r>
        <w:rPr>
          <w:rFonts w:hint="eastAsia" w:ascii="宋体" w:hAnsi="宋体"/>
          <w:bCs/>
          <w:sz w:val="28"/>
          <w:szCs w:val="28"/>
        </w:rPr>
        <w:t>材料</w:t>
      </w:r>
      <w:r>
        <w:rPr>
          <w:rFonts w:hint="eastAsia" w:ascii="宋体" w:hAnsi="宋体" w:cs="宋体"/>
          <w:bCs/>
          <w:sz w:val="28"/>
          <w:szCs w:val="28"/>
        </w:rPr>
        <w:t>，提供虚假图片影像、业绩合同、</w:t>
      </w:r>
      <w:r>
        <w:rPr>
          <w:rFonts w:hint="eastAsia" w:ascii="宋体" w:hAnsi="宋体"/>
          <w:bCs/>
          <w:sz w:val="28"/>
          <w:szCs w:val="28"/>
        </w:rPr>
        <w:t>材料</w:t>
      </w:r>
      <w:r>
        <w:rPr>
          <w:rFonts w:hint="eastAsia" w:ascii="宋体" w:hAnsi="宋体" w:cs="宋体"/>
          <w:bCs/>
          <w:sz w:val="28"/>
          <w:szCs w:val="28"/>
        </w:rPr>
        <w:t>数据等，造假或篡改相关数据及资产等情况，自愿放弃中标资格并无条件接受相应处罚。</w:t>
      </w:r>
    </w:p>
    <w:p>
      <w:pPr>
        <w:tabs>
          <w:tab w:val="left" w:pos="771"/>
        </w:tabs>
        <w:spacing w:line="560" w:lineRule="exact"/>
        <w:ind w:firstLine="548" w:firstLineChars="200"/>
        <w:rPr>
          <w:rFonts w:ascii="黑体" w:hAnsi="黑体" w:eastAsia="黑体" w:cs="宋体"/>
          <w:bCs/>
          <w:sz w:val="28"/>
          <w:szCs w:val="28"/>
        </w:rPr>
      </w:pPr>
      <w:r>
        <w:rPr>
          <w:rFonts w:hint="eastAsia" w:ascii="黑体" w:hAnsi="黑体" w:eastAsia="黑体" w:cs="宋体"/>
          <w:bCs/>
          <w:sz w:val="28"/>
          <w:szCs w:val="28"/>
        </w:rPr>
        <w:t>二、保密承诺</w:t>
      </w:r>
    </w:p>
    <w:p>
      <w:pPr>
        <w:autoSpaceDE w:val="0"/>
        <w:autoSpaceDN w:val="0"/>
        <w:adjustRightInd w:val="0"/>
        <w:spacing w:line="560" w:lineRule="exact"/>
        <w:ind w:firstLine="548" w:firstLineChars="200"/>
        <w:rPr>
          <w:rFonts w:ascii="宋体" w:hAnsi="宋体" w:cs="宋体"/>
          <w:bCs/>
          <w:sz w:val="28"/>
          <w:szCs w:val="28"/>
          <w:lang w:val="zh-CN"/>
        </w:rPr>
      </w:pPr>
      <w:r>
        <w:rPr>
          <w:rFonts w:hint="eastAsia" w:ascii="宋体" w:hAnsi="宋体" w:cs="宋体"/>
          <w:bCs/>
          <w:sz w:val="28"/>
          <w:szCs w:val="28"/>
          <w:lang w:val="zh-CN"/>
        </w:rPr>
        <w:t>1.严格遵守国家和军队的保密法律法规，履行保密义务。</w:t>
      </w:r>
    </w:p>
    <w:p>
      <w:pPr>
        <w:autoSpaceDE w:val="0"/>
        <w:autoSpaceDN w:val="0"/>
        <w:adjustRightInd w:val="0"/>
        <w:spacing w:line="560" w:lineRule="exact"/>
        <w:ind w:firstLine="548" w:firstLineChars="200"/>
        <w:rPr>
          <w:rFonts w:ascii="宋体" w:hAnsi="宋体" w:cs="宋体"/>
          <w:bCs/>
          <w:sz w:val="28"/>
          <w:szCs w:val="28"/>
          <w:lang w:val="zh-CN"/>
        </w:rPr>
      </w:pPr>
      <w:r>
        <w:rPr>
          <w:rFonts w:hint="eastAsia" w:ascii="宋体" w:hAnsi="宋体" w:cs="宋体"/>
          <w:bCs/>
          <w:sz w:val="28"/>
          <w:szCs w:val="28"/>
          <w:lang w:val="zh-CN"/>
        </w:rPr>
        <w:t>2.不以任何方式泄露或传播本次采购项目相关信息。</w:t>
      </w:r>
    </w:p>
    <w:p>
      <w:pPr>
        <w:autoSpaceDE w:val="0"/>
        <w:autoSpaceDN w:val="0"/>
        <w:adjustRightInd w:val="0"/>
        <w:spacing w:line="560" w:lineRule="exact"/>
        <w:ind w:firstLine="548" w:firstLineChars="200"/>
        <w:rPr>
          <w:rFonts w:ascii="宋体" w:hAnsi="宋体" w:cs="宋体"/>
          <w:bCs/>
          <w:sz w:val="28"/>
          <w:szCs w:val="28"/>
          <w:lang w:val="zh-CN"/>
        </w:rPr>
      </w:pPr>
      <w:r>
        <w:rPr>
          <w:rFonts w:hint="eastAsia" w:ascii="宋体" w:hAnsi="宋体" w:cs="宋体"/>
          <w:bCs/>
          <w:sz w:val="28"/>
          <w:szCs w:val="28"/>
          <w:lang w:val="zh-CN"/>
        </w:rPr>
        <w:t>3.不违规记录、存储、复制本次采购项目相关信息。</w:t>
      </w:r>
    </w:p>
    <w:p>
      <w:pPr>
        <w:autoSpaceDE w:val="0"/>
        <w:autoSpaceDN w:val="0"/>
        <w:adjustRightInd w:val="0"/>
        <w:spacing w:line="560" w:lineRule="exact"/>
        <w:ind w:firstLine="548" w:firstLineChars="200"/>
        <w:rPr>
          <w:rFonts w:ascii="宋体" w:hAnsi="宋体" w:cs="宋体"/>
          <w:bCs/>
          <w:sz w:val="28"/>
          <w:szCs w:val="28"/>
          <w:lang w:val="zh-CN"/>
        </w:rPr>
      </w:pPr>
      <w:r>
        <w:rPr>
          <w:rFonts w:hint="eastAsia" w:ascii="宋体" w:hAnsi="宋体" w:cs="宋体"/>
          <w:bCs/>
          <w:sz w:val="28"/>
          <w:szCs w:val="28"/>
          <w:lang w:val="zh-CN"/>
        </w:rPr>
        <w:t>4.招标文件以及相关技术文件专室放置、专盘存储、专人管理。</w:t>
      </w:r>
    </w:p>
    <w:p>
      <w:pPr>
        <w:tabs>
          <w:tab w:val="left" w:pos="771"/>
        </w:tabs>
        <w:spacing w:line="560" w:lineRule="exact"/>
        <w:ind w:firstLine="548" w:firstLineChars="200"/>
        <w:rPr>
          <w:rFonts w:ascii="宋体" w:hAnsi="宋体" w:cs="宋体"/>
          <w:bCs/>
          <w:sz w:val="28"/>
          <w:szCs w:val="28"/>
        </w:rPr>
      </w:pPr>
      <w:r>
        <w:rPr>
          <w:rFonts w:hint="eastAsia" w:ascii="宋体" w:hAnsi="宋体" w:cs="宋体"/>
          <w:bCs/>
          <w:sz w:val="28"/>
          <w:szCs w:val="28"/>
          <w:lang w:val="zh-CN"/>
        </w:rPr>
        <w:t>5.未经采购机构审查批准，不得擅自在互联网、通讯媒体等发表涉及此次采购项目相关信息。</w:t>
      </w:r>
    </w:p>
    <w:p>
      <w:pPr>
        <w:tabs>
          <w:tab w:val="left" w:pos="771"/>
        </w:tabs>
        <w:spacing w:line="560" w:lineRule="exact"/>
        <w:ind w:firstLine="548" w:firstLineChars="200"/>
        <w:rPr>
          <w:rFonts w:ascii="黑体" w:hAnsi="黑体" w:eastAsia="黑体" w:cs="宋体"/>
          <w:bCs/>
          <w:sz w:val="28"/>
          <w:szCs w:val="28"/>
        </w:rPr>
      </w:pPr>
      <w:r>
        <w:rPr>
          <w:rFonts w:hint="eastAsia" w:ascii="黑体" w:hAnsi="黑体" w:eastAsia="黑体" w:cs="宋体"/>
          <w:bCs/>
          <w:sz w:val="28"/>
          <w:szCs w:val="28"/>
        </w:rPr>
        <w:t>三、诚信责任保证金承诺</w:t>
      </w:r>
    </w:p>
    <w:p>
      <w:pPr>
        <w:widowControl/>
        <w:spacing w:line="560" w:lineRule="exact"/>
        <w:ind w:firstLine="548" w:firstLineChars="200"/>
        <w:rPr>
          <w:rFonts w:ascii="宋体" w:hAnsi="宋体" w:cs="宋体"/>
          <w:bCs/>
          <w:sz w:val="28"/>
          <w:szCs w:val="28"/>
          <w:lang w:val="zh-CN"/>
        </w:rPr>
      </w:pPr>
      <w:r>
        <w:rPr>
          <w:rFonts w:hint="eastAsia" w:ascii="宋体" w:hAnsi="宋体" w:cs="宋体"/>
          <w:bCs/>
          <w:sz w:val="28"/>
          <w:szCs w:val="28"/>
          <w:lang w:val="zh-CN"/>
        </w:rPr>
        <w:t>1.</w:t>
      </w:r>
      <w:r>
        <w:rPr>
          <w:rFonts w:hint="eastAsia" w:ascii="宋体" w:hAnsi="宋体" w:cs="宋体"/>
          <w:bCs/>
          <w:sz w:val="28"/>
          <w:szCs w:val="28"/>
          <w:lang w:bidi="ar"/>
        </w:rPr>
        <w:t>严格遵守《供应商诚信承诺》，若受到1年、2年、3年禁止参加军队采购活动处理的，同意缴纳本项目采购预算金额1%、1.5%、2%的诚信责任保证金（按照四舍五入原则，取整到千元），最低额度为10万元，最高额度为200万元。</w:t>
      </w:r>
    </w:p>
    <w:p>
      <w:pPr>
        <w:widowControl/>
        <w:spacing w:line="560" w:lineRule="exact"/>
        <w:ind w:firstLine="548" w:firstLineChars="200"/>
        <w:rPr>
          <w:rFonts w:ascii="宋体" w:hAnsi="宋体" w:cs="宋体"/>
          <w:bCs/>
          <w:sz w:val="28"/>
          <w:szCs w:val="28"/>
          <w:lang w:val="zh-CN"/>
        </w:rPr>
      </w:pPr>
      <w:r>
        <w:rPr>
          <w:rFonts w:hint="eastAsia" w:ascii="宋体" w:hAnsi="宋体" w:cs="宋体"/>
          <w:bCs/>
          <w:sz w:val="28"/>
          <w:szCs w:val="28"/>
          <w:lang w:val="zh-CN"/>
        </w:rPr>
        <w:t>2.</w:t>
      </w:r>
      <w:r>
        <w:rPr>
          <w:rFonts w:hint="eastAsia" w:ascii="宋体" w:hAnsi="宋体" w:cs="宋体"/>
          <w:bCs/>
          <w:sz w:val="28"/>
          <w:szCs w:val="28"/>
          <w:lang w:bidi="ar"/>
        </w:rPr>
        <w:t>同意至恢复参加军队采购活动资格之日前，缴纳诚信责任保证金。逾期不缴纳的，不予恢复参加军队采购活动资格；自禁止性处理期满之日起超过6个月不缴纳的，给予终身禁止处理。如恢复参加军队采购活动资格之日起3年内再次受到1年以上（含）禁止参加军队采购活动处理的，同意前述保证金不予退还，并同意再次按照被处理的采购项目预算金额以及处理年限对应的比例重新缴纳保证金，在未缴纳之前不得参加军队采购活动。</w:t>
      </w:r>
    </w:p>
    <w:p>
      <w:pPr>
        <w:widowControl/>
        <w:spacing w:line="560" w:lineRule="exact"/>
        <w:ind w:firstLine="548" w:firstLineChars="200"/>
        <w:rPr>
          <w:rFonts w:ascii="宋体" w:hAnsi="宋体" w:cs="宋体"/>
          <w:bCs/>
          <w:sz w:val="28"/>
          <w:szCs w:val="28"/>
          <w:lang w:val="zh-CN"/>
        </w:rPr>
      </w:pPr>
      <w:r>
        <w:rPr>
          <w:rFonts w:hint="eastAsia" w:ascii="宋体" w:hAnsi="宋体" w:cs="宋体"/>
          <w:bCs/>
          <w:sz w:val="28"/>
          <w:szCs w:val="28"/>
          <w:lang w:val="zh-CN"/>
        </w:rPr>
        <w:t>3.</w:t>
      </w:r>
      <w:r>
        <w:rPr>
          <w:rFonts w:hint="eastAsia" w:ascii="宋体" w:hAnsi="宋体" w:cs="宋体"/>
          <w:bCs/>
          <w:sz w:val="28"/>
          <w:szCs w:val="28"/>
          <w:lang w:bidi="ar"/>
        </w:rPr>
        <w:t>若经查实采取串通投标手段取得中标资格，已进入履约阶段的，同意按照军队采购合同管理和供应商管理有关规定，接受相应处理；需继续履约但存在明显价格风险的，同意扣除利润，按照审定的实际成本结算，审定结果高于合同金额的，按照合同执行，接受相应违规处理；对于已完成履约和结算的，同意根据审价认定的实际成本支出，退还军队超额付款部分，接受相应违规处理。审价所需费用由我方承担。</w:t>
      </w:r>
    </w:p>
    <w:p>
      <w:pPr>
        <w:widowControl/>
        <w:spacing w:line="560" w:lineRule="exact"/>
        <w:ind w:firstLine="548" w:firstLineChars="200"/>
        <w:rPr>
          <w:rFonts w:ascii="宋体" w:hAnsi="宋体" w:cs="宋体"/>
          <w:bCs/>
          <w:sz w:val="28"/>
          <w:szCs w:val="28"/>
          <w:lang w:val="zh-CN"/>
        </w:rPr>
      </w:pPr>
      <w:r>
        <w:rPr>
          <w:rFonts w:hint="eastAsia" w:ascii="宋体" w:hAnsi="宋体" w:cs="宋体"/>
          <w:bCs/>
          <w:sz w:val="28"/>
          <w:szCs w:val="28"/>
          <w:lang w:bidi="ar"/>
        </w:rPr>
        <w:t>4.给部队造成损失的，同意按照国家法律和合同约定，予以相应经济赔偿。</w:t>
      </w:r>
    </w:p>
    <w:p>
      <w:pPr>
        <w:tabs>
          <w:tab w:val="left" w:pos="771"/>
        </w:tabs>
        <w:spacing w:line="560" w:lineRule="exact"/>
        <w:ind w:firstLine="548" w:firstLineChars="200"/>
        <w:rPr>
          <w:rFonts w:ascii="黑体" w:hAnsi="黑体" w:eastAsia="黑体" w:cs="宋体"/>
          <w:bCs/>
          <w:sz w:val="28"/>
          <w:szCs w:val="28"/>
        </w:rPr>
      </w:pPr>
      <w:r>
        <w:rPr>
          <w:rFonts w:hint="eastAsia" w:ascii="黑体" w:hAnsi="黑体" w:eastAsia="黑体" w:cs="宋体"/>
          <w:bCs/>
          <w:sz w:val="28"/>
          <w:szCs w:val="28"/>
        </w:rPr>
        <w:t>四、未被列入违法失信名单承诺</w:t>
      </w:r>
    </w:p>
    <w:p>
      <w:pPr>
        <w:spacing w:line="560" w:lineRule="exact"/>
        <w:ind w:firstLine="548" w:firstLineChars="200"/>
        <w:rPr>
          <w:rFonts w:ascii="宋体" w:hAnsi="宋体" w:cs="宋体"/>
          <w:bCs/>
          <w:sz w:val="28"/>
          <w:szCs w:val="28"/>
        </w:rPr>
      </w:pPr>
      <w:r>
        <w:rPr>
          <w:rFonts w:hint="eastAsia" w:ascii="宋体" w:hAnsi="宋体"/>
          <w:sz w:val="28"/>
          <w:szCs w:val="28"/>
        </w:rPr>
        <w:t>未被中国政府采购网（</w:t>
      </w:r>
      <w:r>
        <w:rPr>
          <w:rFonts w:ascii="宋体" w:hAnsi="宋体"/>
          <w:sz w:val="28"/>
          <w:szCs w:val="28"/>
        </w:rPr>
        <w:t>www.ccgp.gov.cn</w:t>
      </w:r>
      <w:r>
        <w:rPr>
          <w:rFonts w:hint="eastAsia" w:ascii="宋体" w:hAnsi="宋体"/>
          <w:sz w:val="28"/>
          <w:szCs w:val="28"/>
        </w:rPr>
        <w:t>）列入政府采购严重违法失信行为记录名单，未在军队采购网（</w:t>
      </w:r>
      <w:r>
        <w:rPr>
          <w:rFonts w:ascii="宋体" w:hAnsi="宋体"/>
          <w:sz w:val="28"/>
          <w:szCs w:val="28"/>
        </w:rPr>
        <w:t>www.plap.mil.cn</w:t>
      </w:r>
      <w:r>
        <w:rPr>
          <w:rFonts w:hint="eastAsia" w:ascii="宋体" w:hAnsi="宋体"/>
          <w:sz w:val="28"/>
          <w:szCs w:val="28"/>
        </w:rPr>
        <w:t>）军队采购暂停名单处罚范围内或军队采购失信名单禁入处罚期</w:t>
      </w:r>
      <w:r>
        <w:rPr>
          <w:rFonts w:hint="eastAsia" w:ascii="宋体" w:hAnsi="宋体" w:cs="宋体"/>
          <w:bCs/>
          <w:sz w:val="28"/>
          <w:szCs w:val="28"/>
        </w:rPr>
        <w:t>和处罚范围</w:t>
      </w:r>
      <w:r>
        <w:rPr>
          <w:rFonts w:hint="eastAsia" w:ascii="宋体" w:hAnsi="宋体"/>
          <w:sz w:val="28"/>
          <w:szCs w:val="28"/>
        </w:rPr>
        <w:t>内，以及未被“信用中国”（</w:t>
      </w:r>
      <w:r>
        <w:rPr>
          <w:rFonts w:ascii="宋体" w:hAnsi="宋体"/>
          <w:sz w:val="28"/>
          <w:szCs w:val="28"/>
        </w:rPr>
        <w:t>www.creditchina.gov.cn</w:t>
      </w:r>
      <w:r>
        <w:rPr>
          <w:rFonts w:hint="eastAsia" w:ascii="宋体" w:hAnsi="宋体"/>
          <w:sz w:val="28"/>
          <w:szCs w:val="28"/>
        </w:rPr>
        <w:t>）列入严重失信主体名单或国家企业信用信息公示系统（</w:t>
      </w:r>
      <w:r>
        <w:rPr>
          <w:rFonts w:ascii="宋体" w:hAnsi="宋体"/>
          <w:sz w:val="28"/>
          <w:szCs w:val="28"/>
        </w:rPr>
        <w:t>www.gsxt.gov.cn</w:t>
      </w:r>
      <w:r>
        <w:rPr>
          <w:rFonts w:hint="eastAsia" w:ascii="宋体" w:hAnsi="宋体"/>
          <w:sz w:val="28"/>
          <w:szCs w:val="28"/>
        </w:rPr>
        <w:t>）列入严重违法失信名单（处罚期内）。</w:t>
      </w:r>
    </w:p>
    <w:p>
      <w:pPr>
        <w:tabs>
          <w:tab w:val="left" w:pos="771"/>
        </w:tabs>
        <w:spacing w:line="560" w:lineRule="exact"/>
        <w:ind w:firstLine="548" w:firstLineChars="200"/>
        <w:rPr>
          <w:rFonts w:ascii="宋体" w:hAnsi="宋体" w:cs="宋体"/>
          <w:bCs/>
          <w:sz w:val="28"/>
          <w:szCs w:val="28"/>
        </w:rPr>
      </w:pPr>
      <w:r>
        <w:rPr>
          <w:rFonts w:hint="eastAsia" w:ascii="黑体" w:hAnsi="黑体" w:eastAsia="黑体" w:cs="宋体"/>
          <w:bCs/>
          <w:sz w:val="28"/>
          <w:szCs w:val="28"/>
        </w:rPr>
        <w:t>五、关联关系企业不参与采购活动承诺</w:t>
      </w:r>
    </w:p>
    <w:p>
      <w:pPr>
        <w:pStyle w:val="16"/>
        <w:spacing w:after="0" w:line="560" w:lineRule="exact"/>
        <w:ind w:firstLine="548" w:firstLineChars="200"/>
        <w:rPr>
          <w:rFonts w:ascii="宋体" w:hAnsi="宋体"/>
          <w:bCs/>
          <w:sz w:val="28"/>
          <w:szCs w:val="28"/>
        </w:rPr>
      </w:pPr>
      <w:r>
        <w:rPr>
          <w:rFonts w:hint="eastAsia" w:ascii="宋体" w:hAnsi="宋体"/>
          <w:bCs/>
          <w:sz w:val="28"/>
          <w:szCs w:val="28"/>
        </w:rPr>
        <w:t>与我</w:t>
      </w:r>
      <w:r>
        <w:rPr>
          <w:rFonts w:ascii="宋体" w:hAnsi="宋体"/>
          <w:bCs/>
          <w:sz w:val="28"/>
          <w:szCs w:val="28"/>
        </w:rPr>
        <w:t>单位负责人为同一人或存在直接控股</w:t>
      </w:r>
      <w:r>
        <w:rPr>
          <w:rFonts w:hint="eastAsia" w:ascii="宋体" w:hAnsi="宋体"/>
          <w:bCs/>
          <w:sz w:val="28"/>
          <w:szCs w:val="28"/>
        </w:rPr>
        <w:t>或</w:t>
      </w:r>
      <w:r>
        <w:rPr>
          <w:rFonts w:ascii="宋体" w:hAnsi="宋体"/>
          <w:bCs/>
          <w:sz w:val="28"/>
          <w:szCs w:val="28"/>
        </w:rPr>
        <w:t>管理关系的不同供应商，</w:t>
      </w:r>
      <w:r>
        <w:rPr>
          <w:rFonts w:hint="eastAsia" w:ascii="宋体" w:hAnsi="宋体"/>
          <w:bCs/>
          <w:sz w:val="28"/>
          <w:szCs w:val="28"/>
        </w:rPr>
        <w:t>未参加同一包</w:t>
      </w:r>
      <w:r>
        <w:rPr>
          <w:rFonts w:ascii="宋体" w:hAnsi="宋体"/>
          <w:bCs/>
          <w:sz w:val="28"/>
          <w:szCs w:val="28"/>
        </w:rPr>
        <w:t>采购活动。</w:t>
      </w:r>
    </w:p>
    <w:p>
      <w:pPr>
        <w:spacing w:line="560" w:lineRule="exact"/>
        <w:ind w:firstLine="548" w:firstLineChars="200"/>
        <w:rPr>
          <w:sz w:val="28"/>
          <w:szCs w:val="28"/>
        </w:rPr>
      </w:pPr>
      <w:r>
        <w:rPr>
          <w:rFonts w:hint="eastAsia" w:ascii="宋体" w:hAnsi="宋体" w:cs="宋体"/>
          <w:bCs/>
          <w:sz w:val="28"/>
          <w:szCs w:val="28"/>
        </w:rPr>
        <w:t>我单位为生产型企业的，与我单位</w:t>
      </w:r>
      <w:r>
        <w:rPr>
          <w:rFonts w:hint="eastAsia" w:ascii="宋体" w:hAnsi="宋体"/>
          <w:bCs/>
          <w:sz w:val="28"/>
          <w:szCs w:val="28"/>
        </w:rPr>
        <w:t>生产场经营地址或注册登记地址为同一地址的其他生产型企业，未参加同一包</w:t>
      </w:r>
      <w:r>
        <w:rPr>
          <w:rFonts w:ascii="宋体" w:hAnsi="宋体"/>
          <w:bCs/>
          <w:sz w:val="28"/>
          <w:szCs w:val="28"/>
        </w:rPr>
        <w:t>采购活动。</w:t>
      </w:r>
    </w:p>
    <w:p>
      <w:pPr>
        <w:pStyle w:val="16"/>
        <w:spacing w:after="0" w:line="560" w:lineRule="exact"/>
        <w:ind w:firstLine="548" w:firstLineChars="200"/>
        <w:rPr>
          <w:sz w:val="28"/>
          <w:szCs w:val="28"/>
        </w:rPr>
      </w:pPr>
      <w:r>
        <w:rPr>
          <w:rFonts w:hint="eastAsia" w:ascii="宋体" w:hAnsi="宋体" w:cs="宋体"/>
          <w:bCs/>
          <w:sz w:val="28"/>
          <w:szCs w:val="28"/>
        </w:rPr>
        <w:t>我单位为非</w:t>
      </w:r>
      <w:r>
        <w:rPr>
          <w:rFonts w:hint="eastAsia" w:ascii="宋体" w:hAnsi="宋体" w:cs="宋体"/>
          <w:bCs/>
          <w:sz w:val="28"/>
          <w:szCs w:val="28"/>
          <w:lang w:bidi="ar"/>
        </w:rPr>
        <w:t>国有销售型企业的，</w:t>
      </w:r>
      <w:r>
        <w:rPr>
          <w:rFonts w:hint="eastAsia" w:ascii="宋体" w:hAnsi="宋体" w:cs="宋体"/>
          <w:bCs/>
          <w:sz w:val="28"/>
          <w:szCs w:val="28"/>
        </w:rPr>
        <w:t>与我单位</w:t>
      </w:r>
      <w:r>
        <w:rPr>
          <w:rFonts w:hint="eastAsia" w:ascii="宋体" w:hAnsi="宋体" w:cs="宋体"/>
          <w:bCs/>
          <w:sz w:val="28"/>
          <w:szCs w:val="28"/>
          <w:lang w:bidi="ar"/>
        </w:rPr>
        <w:t>股东和管理人员（法定代表人、董事或监事）之间存在近亲属（</w:t>
      </w:r>
      <w:r>
        <w:rPr>
          <w:rFonts w:ascii="宋体" w:hAnsi="宋体"/>
          <w:bCs/>
          <w:sz w:val="28"/>
          <w:szCs w:val="28"/>
        </w:rPr>
        <w:t>指</w:t>
      </w:r>
      <w:r>
        <w:rPr>
          <w:rFonts w:hint="eastAsia" w:ascii="宋体" w:hAnsi="宋体"/>
          <w:bCs/>
          <w:sz w:val="28"/>
          <w:szCs w:val="28"/>
        </w:rPr>
        <w:t>夫妻</w:t>
      </w:r>
      <w:r>
        <w:rPr>
          <w:rFonts w:ascii="宋体" w:hAnsi="宋体"/>
          <w:bCs/>
          <w:sz w:val="28"/>
          <w:szCs w:val="28"/>
        </w:rPr>
        <w:t>、直系血亲、三代以内旁系血亲或</w:t>
      </w:r>
      <w:r>
        <w:rPr>
          <w:rFonts w:hint="eastAsia" w:ascii="宋体" w:hAnsi="宋体"/>
          <w:bCs/>
          <w:sz w:val="28"/>
          <w:szCs w:val="28"/>
        </w:rPr>
        <w:t>近</w:t>
      </w:r>
      <w:r>
        <w:rPr>
          <w:rFonts w:ascii="宋体" w:hAnsi="宋体"/>
          <w:bCs/>
          <w:sz w:val="28"/>
          <w:szCs w:val="28"/>
        </w:rPr>
        <w:t>姻</w:t>
      </w:r>
      <w:r>
        <w:rPr>
          <w:rFonts w:hint="eastAsia" w:ascii="宋体" w:hAnsi="宋体"/>
          <w:bCs/>
          <w:sz w:val="28"/>
          <w:szCs w:val="28"/>
        </w:rPr>
        <w:t>亲</w:t>
      </w:r>
      <w:r>
        <w:rPr>
          <w:rFonts w:ascii="宋体" w:hAnsi="宋体"/>
          <w:bCs/>
          <w:sz w:val="28"/>
          <w:szCs w:val="28"/>
        </w:rPr>
        <w:t>关系</w:t>
      </w:r>
      <w:r>
        <w:rPr>
          <w:rFonts w:hint="eastAsia" w:ascii="宋体" w:hAnsi="宋体" w:cs="宋体"/>
          <w:bCs/>
          <w:sz w:val="28"/>
          <w:szCs w:val="28"/>
          <w:lang w:bidi="ar"/>
        </w:rPr>
        <w:t>）或相互占股等关联关系的其他非国有销售型企业，也未</w:t>
      </w:r>
      <w:r>
        <w:rPr>
          <w:rFonts w:ascii="宋体" w:hAnsi="宋体"/>
          <w:bCs/>
          <w:sz w:val="28"/>
          <w:szCs w:val="28"/>
        </w:rPr>
        <w:t>参加</w:t>
      </w:r>
      <w:r>
        <w:rPr>
          <w:rFonts w:hint="eastAsia" w:ascii="宋体" w:hAnsi="宋体"/>
          <w:bCs/>
          <w:sz w:val="28"/>
          <w:szCs w:val="28"/>
        </w:rPr>
        <w:t>同一包</w:t>
      </w:r>
      <w:r>
        <w:rPr>
          <w:rFonts w:ascii="宋体" w:hAnsi="宋体"/>
          <w:bCs/>
          <w:sz w:val="28"/>
          <w:szCs w:val="28"/>
        </w:rPr>
        <w:t>采购活动</w:t>
      </w:r>
      <w:r>
        <w:rPr>
          <w:rFonts w:hint="eastAsia" w:ascii="宋体" w:hAnsi="宋体"/>
          <w:bCs/>
          <w:sz w:val="28"/>
          <w:szCs w:val="28"/>
        </w:rPr>
        <w:t>。</w:t>
      </w:r>
    </w:p>
    <w:p>
      <w:pPr>
        <w:tabs>
          <w:tab w:val="left" w:pos="771"/>
        </w:tabs>
        <w:spacing w:line="560" w:lineRule="exact"/>
        <w:ind w:firstLine="548" w:firstLineChars="200"/>
        <w:rPr>
          <w:rFonts w:ascii="黑体" w:hAnsi="黑体" w:eastAsia="黑体" w:cs="宋体"/>
          <w:bCs/>
          <w:sz w:val="28"/>
          <w:szCs w:val="28"/>
        </w:rPr>
      </w:pPr>
      <w:r>
        <w:rPr>
          <w:rFonts w:hint="eastAsia" w:ascii="黑体" w:hAnsi="黑体" w:eastAsia="黑体" w:cs="宋体"/>
          <w:bCs/>
          <w:sz w:val="28"/>
          <w:szCs w:val="28"/>
        </w:rPr>
        <w:t>六、前</w:t>
      </w:r>
      <w:r>
        <w:rPr>
          <w:rFonts w:ascii="黑体" w:hAnsi="黑体" w:eastAsia="黑体" w:cs="宋体"/>
          <w:bCs/>
          <w:sz w:val="28"/>
          <w:szCs w:val="28"/>
        </w:rPr>
        <w:t>3年没有重大违法记录的书面声明</w:t>
      </w:r>
    </w:p>
    <w:p>
      <w:pPr>
        <w:tabs>
          <w:tab w:val="left" w:pos="771"/>
        </w:tabs>
        <w:spacing w:line="560" w:lineRule="exact"/>
        <w:ind w:firstLine="548" w:firstLineChars="200"/>
        <w:rPr>
          <w:rFonts w:ascii="宋体" w:hAnsi="宋体" w:cs="宋体"/>
          <w:bCs/>
          <w:sz w:val="28"/>
          <w:szCs w:val="28"/>
        </w:rPr>
      </w:pPr>
      <w:r>
        <w:rPr>
          <w:rFonts w:hint="eastAsia" w:ascii="宋体" w:hAnsi="宋体" w:cs="宋体"/>
          <w:bCs/>
          <w:sz w:val="28"/>
          <w:szCs w:val="28"/>
        </w:rPr>
        <w:t>我单位在参加本次采购活动前</w:t>
      </w:r>
      <w:r>
        <w:rPr>
          <w:rFonts w:ascii="宋体" w:hAnsi="宋体" w:cs="宋体"/>
          <w:bCs/>
          <w:sz w:val="28"/>
          <w:szCs w:val="28"/>
        </w:rPr>
        <w:t>3年内</w:t>
      </w:r>
      <w:r>
        <w:rPr>
          <w:rFonts w:hint="eastAsia" w:ascii="宋体" w:hAnsi="宋体" w:cs="宋体"/>
          <w:bCs/>
          <w:sz w:val="28"/>
          <w:szCs w:val="28"/>
        </w:rPr>
        <w:t>在经营活动中没有重大违法记录。</w:t>
      </w:r>
    </w:p>
    <w:p>
      <w:pPr>
        <w:tabs>
          <w:tab w:val="left" w:pos="771"/>
        </w:tabs>
        <w:spacing w:line="560" w:lineRule="exact"/>
        <w:ind w:firstLine="548" w:firstLineChars="200"/>
        <w:rPr>
          <w:rFonts w:ascii="黑体" w:hAnsi="黑体" w:eastAsia="黑体" w:cs="宋体"/>
          <w:bCs/>
          <w:sz w:val="28"/>
          <w:szCs w:val="28"/>
        </w:rPr>
      </w:pPr>
      <w:r>
        <w:rPr>
          <w:rFonts w:hint="eastAsia" w:ascii="黑体" w:hAnsi="黑体" w:eastAsia="黑体" w:cs="宋体"/>
          <w:bCs/>
          <w:sz w:val="28"/>
          <w:szCs w:val="28"/>
        </w:rPr>
        <w:t>七、没有发生过重大质量安全事故的书面声明</w:t>
      </w:r>
    </w:p>
    <w:p>
      <w:pPr>
        <w:tabs>
          <w:tab w:val="left" w:pos="771"/>
        </w:tabs>
        <w:spacing w:line="560" w:lineRule="exact"/>
        <w:ind w:firstLine="548" w:firstLineChars="200"/>
        <w:rPr>
          <w:rFonts w:ascii="宋体" w:hAnsi="宋体" w:cs="宋体"/>
          <w:bCs/>
          <w:sz w:val="28"/>
          <w:szCs w:val="28"/>
        </w:rPr>
      </w:pPr>
      <w:r>
        <w:rPr>
          <w:rFonts w:hint="eastAsia" w:ascii="宋体" w:hAnsi="宋体" w:cs="宋体"/>
          <w:bCs/>
          <w:sz w:val="28"/>
          <w:szCs w:val="28"/>
        </w:rPr>
        <w:t>我单位近3年没有发生过重大质量安全事故。</w:t>
      </w:r>
    </w:p>
    <w:p>
      <w:pPr>
        <w:tabs>
          <w:tab w:val="left" w:pos="771"/>
        </w:tabs>
        <w:spacing w:line="560" w:lineRule="exact"/>
        <w:ind w:firstLine="548" w:firstLineChars="200"/>
        <w:rPr>
          <w:rFonts w:ascii="黑体" w:hAnsi="黑体" w:eastAsia="黑体" w:cs="宋体"/>
          <w:bCs/>
          <w:sz w:val="28"/>
          <w:szCs w:val="28"/>
        </w:rPr>
      </w:pPr>
      <w:r>
        <w:rPr>
          <w:rFonts w:hint="eastAsia" w:ascii="黑体" w:hAnsi="黑体" w:eastAsia="黑体" w:cs="宋体"/>
          <w:bCs/>
          <w:sz w:val="28"/>
          <w:szCs w:val="28"/>
        </w:rPr>
        <w:t>八、非外资独资企业或控股企业的书面声明</w:t>
      </w:r>
    </w:p>
    <w:p>
      <w:pPr>
        <w:tabs>
          <w:tab w:val="left" w:pos="771"/>
        </w:tabs>
        <w:spacing w:line="560" w:lineRule="exact"/>
        <w:ind w:firstLine="548" w:firstLineChars="200"/>
        <w:rPr>
          <w:rFonts w:ascii="宋体" w:hAnsi="宋体" w:cs="宋体"/>
          <w:bCs/>
          <w:sz w:val="28"/>
          <w:szCs w:val="28"/>
        </w:rPr>
      </w:pPr>
      <w:r>
        <w:rPr>
          <w:rFonts w:hint="eastAsia" w:ascii="宋体" w:hAnsi="宋体" w:cs="宋体"/>
          <w:bCs/>
          <w:sz w:val="28"/>
          <w:szCs w:val="28"/>
        </w:rPr>
        <w:t>我单位为非外资独资企业或控股企业。</w:t>
      </w:r>
    </w:p>
    <w:p>
      <w:pPr>
        <w:tabs>
          <w:tab w:val="left" w:pos="771"/>
        </w:tabs>
        <w:spacing w:line="560" w:lineRule="exact"/>
        <w:ind w:firstLine="548" w:firstLineChars="200"/>
        <w:rPr>
          <w:rFonts w:ascii="黑体" w:hAnsi="黑体" w:eastAsia="黑体" w:cs="宋体"/>
          <w:bCs/>
          <w:sz w:val="28"/>
          <w:szCs w:val="28"/>
        </w:rPr>
      </w:pPr>
      <w:r>
        <w:rPr>
          <w:rFonts w:hint="eastAsia" w:ascii="黑体" w:hAnsi="黑体" w:eastAsia="黑体" w:cs="宋体"/>
          <w:bCs/>
          <w:sz w:val="28"/>
          <w:szCs w:val="28"/>
        </w:rPr>
        <w:t>九、具备履约专业能力的书面声明</w:t>
      </w:r>
    </w:p>
    <w:p>
      <w:pPr>
        <w:spacing w:line="560" w:lineRule="exact"/>
        <w:ind w:firstLine="548" w:firstLineChars="200"/>
        <w:rPr>
          <w:sz w:val="28"/>
          <w:szCs w:val="28"/>
        </w:rPr>
      </w:pPr>
      <w:r>
        <w:rPr>
          <w:rFonts w:hint="eastAsia"/>
          <w:sz w:val="28"/>
          <w:szCs w:val="28"/>
        </w:rPr>
        <w:t>我单位具有履行合同所必需的设备和专业技术能力。</w:t>
      </w:r>
    </w:p>
    <w:p>
      <w:pPr>
        <w:autoSpaceDE w:val="0"/>
        <w:autoSpaceDN w:val="0"/>
        <w:adjustRightInd w:val="0"/>
        <w:spacing w:line="560" w:lineRule="exact"/>
        <w:ind w:firstLine="548" w:firstLineChars="200"/>
        <w:rPr>
          <w:rFonts w:ascii="宋体" w:hAnsi="宋体" w:cs="宋体"/>
          <w:bCs/>
          <w:sz w:val="28"/>
          <w:szCs w:val="28"/>
        </w:rPr>
      </w:pPr>
    </w:p>
    <w:p>
      <w:pPr>
        <w:spacing w:line="560" w:lineRule="exact"/>
        <w:ind w:firstLine="548" w:firstLineChars="200"/>
        <w:jc w:val="left"/>
        <w:rPr>
          <w:rFonts w:ascii="宋体" w:hAnsi="宋体" w:cs="宋体"/>
          <w:bCs/>
          <w:sz w:val="28"/>
          <w:szCs w:val="28"/>
          <w:lang w:val="zh-CN"/>
        </w:rPr>
      </w:pPr>
      <w:r>
        <w:rPr>
          <w:rFonts w:hint="eastAsia" w:ascii="宋体" w:hAnsi="宋体" w:cs="宋体"/>
          <w:bCs/>
          <w:sz w:val="28"/>
          <w:szCs w:val="28"/>
        </w:rPr>
        <w:t>如果我方违反上述承诺声明内容，愿意承担由此导致的一切不利后果和法律责任，</w:t>
      </w:r>
      <w:r>
        <w:rPr>
          <w:rFonts w:hint="eastAsia" w:ascii="宋体" w:hAnsi="宋体" w:cs="宋体"/>
          <w:bCs/>
          <w:sz w:val="28"/>
          <w:szCs w:val="28"/>
          <w:lang w:val="zh-CN"/>
        </w:rPr>
        <w:t>接受军队采购管理部门和采购机构按国家和军队有关法规作出的相关处罚</w:t>
      </w:r>
      <w:r>
        <w:rPr>
          <w:rFonts w:hint="eastAsia" w:ascii="宋体" w:hAnsi="宋体" w:cs="宋体"/>
          <w:bCs/>
          <w:sz w:val="28"/>
          <w:szCs w:val="28"/>
        </w:rPr>
        <w:t>。</w:t>
      </w:r>
      <w:r>
        <w:rPr>
          <w:rFonts w:hint="eastAsia" w:ascii="宋体" w:hAnsi="宋体" w:cs="宋体"/>
          <w:bCs/>
          <w:sz w:val="28"/>
          <w:szCs w:val="28"/>
          <w:lang w:val="zh-CN"/>
        </w:rPr>
        <w:t xml:space="preserve">       </w:t>
      </w:r>
    </w:p>
    <w:p>
      <w:pPr>
        <w:spacing w:line="560" w:lineRule="exact"/>
        <w:ind w:firstLine="3562" w:firstLineChars="1300"/>
        <w:jc w:val="left"/>
        <w:rPr>
          <w:rFonts w:ascii="宋体" w:hAnsi="宋体" w:cs="宋体"/>
          <w:bCs/>
          <w:sz w:val="28"/>
          <w:szCs w:val="28"/>
          <w:lang w:val="zh-CN"/>
        </w:rPr>
      </w:pPr>
    </w:p>
    <w:p>
      <w:pPr>
        <w:spacing w:line="560" w:lineRule="exact"/>
        <w:ind w:firstLine="3562" w:firstLineChars="1300"/>
        <w:jc w:val="left"/>
        <w:rPr>
          <w:rFonts w:ascii="宋体" w:hAnsi="宋体" w:cs="宋体"/>
          <w:bCs/>
          <w:sz w:val="28"/>
          <w:szCs w:val="28"/>
          <w:lang w:val="zh-CN"/>
        </w:rPr>
      </w:pPr>
      <w:r>
        <w:rPr>
          <w:rFonts w:hint="eastAsia" w:ascii="宋体" w:hAnsi="宋体" w:cs="宋体"/>
          <w:bCs/>
          <w:sz w:val="28"/>
          <w:szCs w:val="28"/>
          <w:lang w:val="zh-CN"/>
        </w:rPr>
        <w:t xml:space="preserve"> </w:t>
      </w:r>
    </w:p>
    <w:p>
      <w:pPr>
        <w:spacing w:line="560" w:lineRule="exact"/>
        <w:ind w:firstLine="3562" w:firstLineChars="1300"/>
        <w:jc w:val="left"/>
        <w:rPr>
          <w:rFonts w:ascii="宋体" w:hAnsi="宋体" w:cs="宋体"/>
          <w:bCs/>
          <w:sz w:val="28"/>
          <w:szCs w:val="28"/>
          <w:lang w:val="zh-CN"/>
        </w:rPr>
      </w:pPr>
      <w:r>
        <w:rPr>
          <w:rFonts w:hint="eastAsia" w:ascii="宋体" w:hAnsi="宋体" w:cs="宋体"/>
          <w:bCs/>
          <w:sz w:val="28"/>
          <w:szCs w:val="28"/>
          <w:lang w:val="zh-CN"/>
        </w:rPr>
        <w:t>投标供应商全称：（盖章）</w:t>
      </w:r>
    </w:p>
    <w:p>
      <w:pPr>
        <w:spacing w:line="560" w:lineRule="exact"/>
        <w:ind w:firstLine="548" w:firstLineChars="200"/>
        <w:jc w:val="center"/>
        <w:rPr>
          <w:rFonts w:ascii="宋体" w:hAnsi="宋体" w:cs="宋体"/>
          <w:bCs/>
          <w:sz w:val="28"/>
          <w:szCs w:val="28"/>
          <w:lang w:val="zh-CN"/>
        </w:rPr>
      </w:pPr>
      <w:r>
        <w:rPr>
          <w:rFonts w:hint="eastAsia" w:ascii="宋体" w:hAnsi="宋体" w:cs="宋体"/>
          <w:bCs/>
          <w:sz w:val="28"/>
          <w:szCs w:val="28"/>
          <w:lang w:val="zh-CN"/>
        </w:rPr>
        <w:t xml:space="preserve">                  法定代表人（或授权代表）：（签字）</w:t>
      </w:r>
    </w:p>
    <w:p>
      <w:pPr>
        <w:spacing w:line="560" w:lineRule="exact"/>
        <w:ind w:firstLine="548" w:firstLineChars="200"/>
        <w:rPr>
          <w:rFonts w:ascii="宋体" w:hAnsi="宋体" w:cs="宋体"/>
          <w:bCs/>
          <w:sz w:val="28"/>
          <w:szCs w:val="28"/>
          <w:lang w:val="zh-CN"/>
        </w:rPr>
      </w:pPr>
      <w:r>
        <w:rPr>
          <w:rFonts w:hint="eastAsia" w:ascii="宋体" w:hAnsi="宋体" w:cs="宋体"/>
          <w:bCs/>
          <w:sz w:val="28"/>
          <w:szCs w:val="28"/>
          <w:lang w:val="zh-CN"/>
        </w:rPr>
        <w:t xml:space="preserve">                                         </w:t>
      </w:r>
      <w:r>
        <w:rPr>
          <w:rFonts w:hint="eastAsia" w:ascii="宋体" w:hAnsi="宋体" w:cs="宋体"/>
          <w:bCs/>
          <w:sz w:val="28"/>
          <w:szCs w:val="28"/>
        </w:rPr>
        <w:t xml:space="preserve"> </w:t>
      </w:r>
      <w:r>
        <w:rPr>
          <w:rFonts w:hint="eastAsia" w:ascii="宋体" w:hAnsi="宋体" w:cs="宋体"/>
          <w:bCs/>
          <w:sz w:val="28"/>
          <w:szCs w:val="28"/>
          <w:u w:val="single"/>
        </w:rPr>
        <w:t xml:space="preserve">   </w:t>
      </w:r>
      <w:r>
        <w:rPr>
          <w:rFonts w:hint="eastAsia" w:ascii="宋体" w:hAnsi="宋体" w:cs="宋体"/>
          <w:bCs/>
          <w:sz w:val="28"/>
          <w:szCs w:val="28"/>
        </w:rPr>
        <w:t>年</w:t>
      </w:r>
      <w:r>
        <w:rPr>
          <w:rFonts w:hint="eastAsia" w:ascii="宋体" w:hAnsi="宋体" w:cs="宋体"/>
          <w:bCs/>
          <w:sz w:val="28"/>
          <w:szCs w:val="28"/>
          <w:u w:val="single"/>
        </w:rPr>
        <w:t xml:space="preserve">   </w:t>
      </w:r>
      <w:r>
        <w:rPr>
          <w:rFonts w:hint="eastAsia" w:ascii="宋体" w:hAnsi="宋体" w:cs="宋体"/>
          <w:bCs/>
          <w:sz w:val="28"/>
          <w:szCs w:val="28"/>
        </w:rPr>
        <w:t>月</w:t>
      </w:r>
      <w:r>
        <w:rPr>
          <w:rFonts w:hint="eastAsia" w:ascii="宋体" w:hAnsi="宋体" w:cs="宋体"/>
          <w:bCs/>
          <w:sz w:val="28"/>
          <w:szCs w:val="28"/>
          <w:u w:val="single"/>
        </w:rPr>
        <w:t xml:space="preserve">   </w:t>
      </w:r>
      <w:r>
        <w:rPr>
          <w:rFonts w:hint="eastAsia" w:ascii="宋体" w:hAnsi="宋体" w:cs="宋体"/>
          <w:bCs/>
          <w:sz w:val="28"/>
          <w:szCs w:val="28"/>
        </w:rPr>
        <w:t>日</w:t>
      </w:r>
    </w:p>
    <w:p>
      <w:pPr>
        <w:widowControl/>
        <w:ind w:firstLine="408" w:firstLineChars="200"/>
        <w:jc w:val="left"/>
        <w:rPr>
          <w:bCs/>
          <w:sz w:val="44"/>
          <w:szCs w:val="44"/>
          <w:lang w:val="zh-CN"/>
        </w:rPr>
      </w:pPr>
      <w:r>
        <w:rPr>
          <w:bCs/>
          <w:lang w:val="zh-CN"/>
        </w:rPr>
        <w:br w:type="page"/>
      </w:r>
    </w:p>
    <w:p>
      <w:pPr>
        <w:pStyle w:val="5"/>
        <w:spacing w:before="194" w:beforeLines="50" w:after="194" w:afterLines="50"/>
        <w:rPr>
          <w:b w:val="0"/>
          <w:lang w:val="zh-CN"/>
        </w:rPr>
      </w:pPr>
      <w:bookmarkStart w:id="385" w:name="_Toc25453"/>
      <w:bookmarkStart w:id="386" w:name="_Toc16276"/>
      <w:bookmarkStart w:id="387" w:name="_Toc5323"/>
      <w:bookmarkStart w:id="388" w:name="_Toc26622"/>
      <w:r>
        <w:rPr>
          <w:rFonts w:hint="eastAsia"/>
          <w:b w:val="0"/>
          <w:lang w:val="zh-CN"/>
        </w:rPr>
        <w:t>附件</w:t>
      </w:r>
      <w:r>
        <w:rPr>
          <w:b w:val="0"/>
          <w:lang w:val="zh-CN"/>
        </w:rPr>
        <w:t>3-</w:t>
      </w:r>
      <w:r>
        <w:rPr>
          <w:b w:val="0"/>
        </w:rPr>
        <w:t>6</w:t>
      </w:r>
      <w:r>
        <w:rPr>
          <w:b w:val="0"/>
          <w:lang w:val="zh-CN"/>
        </w:rPr>
        <w:t xml:space="preserve"> </w:t>
      </w:r>
      <w:r>
        <w:rPr>
          <w:rFonts w:hint="eastAsia"/>
          <w:b w:val="0"/>
          <w:lang w:val="zh-CN"/>
        </w:rPr>
        <w:t>纳税证明材料</w:t>
      </w:r>
      <w:bookmarkEnd w:id="385"/>
      <w:bookmarkEnd w:id="386"/>
      <w:bookmarkEnd w:id="387"/>
      <w:bookmarkEnd w:id="388"/>
    </w:p>
    <w:p>
      <w:pPr>
        <w:spacing w:before="194" w:beforeLines="50" w:after="194" w:afterLines="50" w:line="560" w:lineRule="exact"/>
        <w:jc w:val="center"/>
        <w:rPr>
          <w:rFonts w:hint="eastAsia" w:ascii="黑体" w:hAnsi="黑体" w:eastAsia="黑体" w:cs="黑体"/>
          <w:bCs/>
          <w:sz w:val="36"/>
          <w:szCs w:val="36"/>
          <w:lang w:val="zh-CN"/>
        </w:rPr>
      </w:pPr>
      <w:r>
        <w:rPr>
          <w:rFonts w:hint="eastAsia" w:ascii="黑体" w:hAnsi="黑体" w:eastAsia="黑体" w:cs="黑体"/>
          <w:bCs/>
          <w:sz w:val="36"/>
          <w:szCs w:val="36"/>
          <w:lang w:val="zh-CN"/>
        </w:rPr>
        <w:t>纳税证明材料</w:t>
      </w:r>
    </w:p>
    <w:p>
      <w:pPr>
        <w:pStyle w:val="17"/>
        <w:ind w:firstLine="612" w:firstLineChars="300"/>
        <w:rPr>
          <w:rFonts w:hint="eastAsia" w:eastAsia="宋体"/>
          <w:lang w:val="zh-CN" w:eastAsia="zh-CN"/>
        </w:rPr>
      </w:pPr>
      <w:r>
        <w:rPr>
          <w:rFonts w:hint="eastAsia" w:ascii="宋体" w:hAnsi="宋体"/>
          <w:b/>
          <w:bCs w:val="0"/>
          <w:color w:val="FF0000"/>
          <w:szCs w:val="21"/>
          <w:highlight w:val="none"/>
          <w:lang w:eastAsia="zh-CN"/>
        </w:rPr>
        <w:t>最近</w:t>
      </w:r>
      <w:r>
        <w:rPr>
          <w:rFonts w:hint="eastAsia" w:ascii="宋体" w:hAnsi="宋体"/>
          <w:b/>
          <w:bCs w:val="0"/>
          <w:color w:val="FF0000"/>
          <w:szCs w:val="21"/>
          <w:highlight w:val="none"/>
          <w:lang w:val="en-US" w:eastAsia="zh-CN"/>
        </w:rPr>
        <w:t>1年内（</w:t>
      </w:r>
      <w:r>
        <w:rPr>
          <w:rFonts w:ascii="宋体" w:hAnsi="宋体"/>
          <w:b/>
          <w:bCs w:val="0"/>
          <w:color w:val="FF0000"/>
          <w:szCs w:val="21"/>
          <w:highlight w:val="none"/>
        </w:rPr>
        <w:t>投标时间截止前</w:t>
      </w:r>
      <w:r>
        <w:rPr>
          <w:rFonts w:hint="eastAsia" w:ascii="宋体" w:hAnsi="宋体"/>
          <w:b/>
          <w:bCs w:val="0"/>
          <w:color w:val="FF0000"/>
          <w:szCs w:val="21"/>
          <w:highlight w:val="none"/>
          <w:lang w:eastAsia="zh-CN"/>
        </w:rPr>
        <w:t>）</w:t>
      </w:r>
      <w:r>
        <w:rPr>
          <w:rFonts w:hint="eastAsia" w:ascii="宋体" w:hAnsi="宋体"/>
          <w:b/>
          <w:bCs w:val="0"/>
          <w:color w:val="FF0000"/>
          <w:szCs w:val="21"/>
          <w:highlight w:val="none"/>
        </w:rPr>
        <w:t>任意</w:t>
      </w:r>
      <w:r>
        <w:rPr>
          <w:rFonts w:ascii="宋体" w:hAnsi="宋体"/>
          <w:b/>
          <w:bCs w:val="0"/>
          <w:color w:val="FF0000"/>
          <w:szCs w:val="21"/>
          <w:highlight w:val="none"/>
        </w:rPr>
        <w:t>6个月</w:t>
      </w:r>
      <w:r>
        <w:rPr>
          <w:rFonts w:hint="eastAsia" w:ascii="宋体" w:hAnsi="宋体"/>
          <w:bCs/>
          <w:szCs w:val="21"/>
          <w:highlight w:val="none"/>
          <w:lang w:eastAsia="zh-CN"/>
        </w:rPr>
        <w:t>，</w:t>
      </w:r>
      <w:r>
        <w:rPr>
          <w:rFonts w:hint="eastAsia" w:ascii="宋体" w:hAnsi="宋体" w:cs="宋体"/>
          <w:b/>
          <w:bCs w:val="0"/>
          <w:color w:val="FF0000"/>
          <w:szCs w:val="21"/>
          <w:highlight w:val="none"/>
        </w:rPr>
        <w:t>根据税务部门出具的完税凭证或纳税的银行转账汇款单、对账单等判定</w:t>
      </w:r>
      <w:r>
        <w:rPr>
          <w:rFonts w:hint="eastAsia" w:ascii="宋体" w:hAnsi="宋体" w:cs="宋体"/>
          <w:bCs/>
          <w:szCs w:val="21"/>
          <w:highlight w:val="none"/>
        </w:rPr>
        <w:t>；军队单位不作要求；不需要纳税的供应商，应当提供相关证明材料</w:t>
      </w:r>
      <w:r>
        <w:rPr>
          <w:rFonts w:hint="eastAsia" w:ascii="宋体" w:hAnsi="宋体" w:cs="宋体"/>
          <w:bCs/>
          <w:szCs w:val="21"/>
          <w:highlight w:val="none"/>
          <w:lang w:eastAsia="zh-CN"/>
        </w:rPr>
        <w:t>。</w:t>
      </w:r>
    </w:p>
    <w:p>
      <w:pPr>
        <w:widowControl/>
        <w:ind w:firstLine="408" w:firstLineChars="200"/>
        <w:jc w:val="left"/>
        <w:rPr>
          <w:rFonts w:ascii="Arial" w:hAnsi="Arial" w:eastAsia="黑体"/>
          <w:bCs/>
          <w:sz w:val="28"/>
          <w:szCs w:val="28"/>
          <w:lang w:val="zh-CN"/>
        </w:rPr>
      </w:pPr>
      <w:r>
        <w:rPr>
          <w:bCs/>
          <w:lang w:val="zh-CN"/>
        </w:rPr>
        <w:br w:type="page"/>
      </w:r>
    </w:p>
    <w:p>
      <w:pPr>
        <w:pStyle w:val="5"/>
        <w:spacing w:before="194" w:beforeLines="50" w:after="194" w:afterLines="50"/>
        <w:rPr>
          <w:b w:val="0"/>
          <w:lang w:val="zh-CN"/>
        </w:rPr>
      </w:pPr>
      <w:bookmarkStart w:id="389" w:name="_Toc27827"/>
      <w:bookmarkStart w:id="390" w:name="_Toc2760"/>
      <w:bookmarkStart w:id="391" w:name="_Toc17310"/>
      <w:bookmarkStart w:id="392" w:name="_Toc1727"/>
      <w:r>
        <w:rPr>
          <w:rFonts w:hint="eastAsia"/>
          <w:b w:val="0"/>
          <w:lang w:val="zh-CN"/>
        </w:rPr>
        <w:t>附件</w:t>
      </w:r>
      <w:r>
        <w:rPr>
          <w:b w:val="0"/>
          <w:lang w:val="zh-CN"/>
        </w:rPr>
        <w:t>3-</w:t>
      </w:r>
      <w:r>
        <w:rPr>
          <w:b w:val="0"/>
        </w:rPr>
        <w:t>7</w:t>
      </w:r>
      <w:r>
        <w:rPr>
          <w:b w:val="0"/>
          <w:lang w:val="zh-CN"/>
        </w:rPr>
        <w:t xml:space="preserve"> </w:t>
      </w:r>
      <w:r>
        <w:rPr>
          <w:rFonts w:hint="eastAsia"/>
          <w:b w:val="0"/>
          <w:lang w:val="zh-CN"/>
        </w:rPr>
        <w:t>缴纳社会保障金证明材料</w:t>
      </w:r>
      <w:bookmarkEnd w:id="389"/>
      <w:bookmarkEnd w:id="390"/>
      <w:bookmarkEnd w:id="391"/>
      <w:bookmarkEnd w:id="392"/>
    </w:p>
    <w:p>
      <w:pPr>
        <w:spacing w:before="194" w:beforeLines="50" w:after="194" w:afterLines="50" w:line="560" w:lineRule="exact"/>
        <w:jc w:val="center"/>
        <w:rPr>
          <w:rFonts w:hint="eastAsia" w:ascii="黑体" w:hAnsi="黑体" w:eastAsia="黑体" w:cs="黑体"/>
          <w:bCs/>
          <w:sz w:val="36"/>
          <w:szCs w:val="36"/>
          <w:lang w:val="zh-CN"/>
        </w:rPr>
      </w:pPr>
      <w:r>
        <w:rPr>
          <w:rFonts w:hint="eastAsia" w:ascii="黑体" w:hAnsi="黑体" w:eastAsia="黑体" w:cs="黑体"/>
          <w:bCs/>
          <w:sz w:val="36"/>
          <w:szCs w:val="36"/>
          <w:lang w:val="zh-CN"/>
        </w:rPr>
        <w:t>缴纳社会保障金证明材料</w:t>
      </w:r>
    </w:p>
    <w:p>
      <w:pPr>
        <w:pStyle w:val="16"/>
        <w:spacing w:after="0"/>
        <w:ind w:firstLine="408" w:firstLineChars="200"/>
        <w:rPr>
          <w:rFonts w:hint="eastAsia" w:eastAsia="宋体"/>
          <w:highlight w:val="none"/>
          <w:lang w:val="en-US" w:eastAsia="zh-CN"/>
        </w:rPr>
      </w:pPr>
      <w:r>
        <w:rPr>
          <w:rFonts w:hint="eastAsia" w:ascii="宋体" w:hAnsi="宋体"/>
          <w:b/>
          <w:bCs w:val="0"/>
          <w:color w:val="FF0000"/>
          <w:szCs w:val="21"/>
          <w:highlight w:val="none"/>
          <w:lang w:eastAsia="zh-CN"/>
        </w:rPr>
        <w:t>最近</w:t>
      </w:r>
      <w:r>
        <w:rPr>
          <w:rFonts w:hint="eastAsia" w:ascii="宋体" w:hAnsi="宋体"/>
          <w:b/>
          <w:bCs w:val="0"/>
          <w:color w:val="FF0000"/>
          <w:szCs w:val="21"/>
          <w:highlight w:val="none"/>
          <w:lang w:val="en-US" w:eastAsia="zh-CN"/>
        </w:rPr>
        <w:t>1年内（</w:t>
      </w:r>
      <w:r>
        <w:rPr>
          <w:rFonts w:ascii="宋体" w:hAnsi="宋体"/>
          <w:b/>
          <w:bCs w:val="0"/>
          <w:color w:val="FF0000"/>
          <w:szCs w:val="21"/>
          <w:highlight w:val="none"/>
        </w:rPr>
        <w:t>投标时间截止前</w:t>
      </w:r>
      <w:r>
        <w:rPr>
          <w:rFonts w:hint="eastAsia" w:ascii="宋体" w:hAnsi="宋体"/>
          <w:b/>
          <w:bCs w:val="0"/>
          <w:color w:val="FF0000"/>
          <w:szCs w:val="21"/>
          <w:highlight w:val="none"/>
          <w:lang w:eastAsia="zh-CN"/>
        </w:rPr>
        <w:t>）</w:t>
      </w:r>
      <w:r>
        <w:rPr>
          <w:rFonts w:ascii="宋体" w:hAnsi="宋体"/>
          <w:b/>
          <w:bCs w:val="0"/>
          <w:color w:val="FF0000"/>
          <w:szCs w:val="21"/>
          <w:highlight w:val="none"/>
        </w:rPr>
        <w:t>任意6个月</w:t>
      </w:r>
      <w:r>
        <w:rPr>
          <w:rFonts w:hint="eastAsia" w:ascii="宋体" w:hAnsi="宋体"/>
          <w:b/>
          <w:bCs w:val="0"/>
          <w:color w:val="FF0000"/>
          <w:szCs w:val="21"/>
          <w:highlight w:val="none"/>
          <w:lang w:val="en-US" w:eastAsia="zh-CN"/>
        </w:rPr>
        <w:t>,</w:t>
      </w:r>
      <w:r>
        <w:rPr>
          <w:rFonts w:hint="eastAsia" w:ascii="宋体" w:hAnsi="宋体" w:cs="宋体"/>
          <w:b/>
          <w:bCs w:val="0"/>
          <w:color w:val="FF0000"/>
          <w:szCs w:val="21"/>
          <w:highlight w:val="none"/>
        </w:rPr>
        <w:t>根据银行转账汇款单或社保（税务）部门出具的缴纳社会保障金的凭证判定</w:t>
      </w:r>
      <w:r>
        <w:rPr>
          <w:rFonts w:hint="eastAsia" w:ascii="宋体" w:hAnsi="宋体" w:cs="宋体"/>
          <w:bCs/>
          <w:szCs w:val="21"/>
          <w:highlight w:val="none"/>
        </w:rPr>
        <w:t>；不需要缴纳社会保障金的供应商，投标供应商应当提供相关证明材料或提供书面声明</w:t>
      </w:r>
    </w:p>
    <w:p>
      <w:pPr>
        <w:pStyle w:val="17"/>
        <w:rPr>
          <w:lang w:val="zh-CN"/>
        </w:rPr>
      </w:pPr>
    </w:p>
    <w:p>
      <w:pPr>
        <w:widowControl/>
        <w:ind w:firstLine="408" w:firstLineChars="200"/>
        <w:jc w:val="left"/>
        <w:rPr>
          <w:rFonts w:ascii="Arial" w:hAnsi="Arial" w:eastAsia="黑体"/>
          <w:bCs/>
          <w:sz w:val="28"/>
          <w:szCs w:val="28"/>
        </w:rPr>
      </w:pPr>
      <w:r>
        <w:rPr>
          <w:bCs/>
        </w:rPr>
        <w:br w:type="page"/>
      </w:r>
    </w:p>
    <w:p>
      <w:pPr>
        <w:pStyle w:val="5"/>
        <w:spacing w:before="194" w:beforeLines="50" w:after="194" w:afterLines="50"/>
        <w:rPr>
          <w:b w:val="0"/>
          <w:lang w:val="zh-CN"/>
        </w:rPr>
      </w:pPr>
      <w:bookmarkStart w:id="393" w:name="_Toc12004"/>
      <w:bookmarkStart w:id="394" w:name="_Toc4199"/>
      <w:bookmarkStart w:id="395" w:name="_Toc19414"/>
      <w:bookmarkStart w:id="396" w:name="_Toc18461"/>
      <w:bookmarkStart w:id="397" w:name="_Toc20757"/>
      <w:bookmarkStart w:id="398" w:name="_Toc10809"/>
      <w:bookmarkStart w:id="399" w:name="_Toc20080"/>
      <w:bookmarkStart w:id="400" w:name="_Toc23830"/>
      <w:r>
        <w:rPr>
          <w:rFonts w:hint="eastAsia"/>
          <w:b w:val="0"/>
          <w:lang w:val="zh-CN"/>
        </w:rPr>
        <w:t>附件</w:t>
      </w:r>
      <w:r>
        <w:rPr>
          <w:b w:val="0"/>
          <w:lang w:val="zh-CN"/>
        </w:rPr>
        <w:t>3-</w:t>
      </w:r>
      <w:r>
        <w:rPr>
          <w:b w:val="0"/>
        </w:rPr>
        <w:t>8</w:t>
      </w:r>
      <w:r>
        <w:rPr>
          <w:b w:val="0"/>
          <w:lang w:val="zh-CN"/>
        </w:rPr>
        <w:t xml:space="preserve"> </w:t>
      </w:r>
      <w:r>
        <w:rPr>
          <w:rFonts w:hint="eastAsia"/>
          <w:b w:val="0"/>
          <w:lang w:val="zh-CN"/>
        </w:rPr>
        <w:t>近</w:t>
      </w:r>
      <w:r>
        <w:rPr>
          <w:b w:val="0"/>
          <w:lang w:val="zh-CN"/>
        </w:rPr>
        <w:t>3</w:t>
      </w:r>
      <w:r>
        <w:rPr>
          <w:rFonts w:hint="eastAsia"/>
          <w:b w:val="0"/>
          <w:lang w:val="zh-CN"/>
        </w:rPr>
        <w:t>年会计师事务所出具的审计报告</w:t>
      </w:r>
      <w:bookmarkEnd w:id="393"/>
      <w:bookmarkEnd w:id="394"/>
      <w:bookmarkEnd w:id="395"/>
      <w:bookmarkEnd w:id="396"/>
    </w:p>
    <w:p>
      <w:pPr>
        <w:spacing w:before="194" w:beforeLines="50" w:after="194"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近</w:t>
      </w:r>
      <w:r>
        <w:rPr>
          <w:rFonts w:ascii="黑体" w:hAnsi="黑体" w:eastAsia="黑体" w:cs="黑体"/>
          <w:bCs/>
          <w:sz w:val="36"/>
          <w:szCs w:val="36"/>
          <w:lang w:val="zh-CN"/>
        </w:rPr>
        <w:t>3</w:t>
      </w:r>
      <w:r>
        <w:rPr>
          <w:rFonts w:hint="eastAsia" w:ascii="黑体" w:hAnsi="黑体" w:eastAsia="黑体" w:cs="黑体"/>
          <w:bCs/>
          <w:sz w:val="36"/>
          <w:szCs w:val="36"/>
          <w:lang w:val="zh-CN"/>
        </w:rPr>
        <w:t>年会计师事务所出具的审计报告</w:t>
      </w:r>
    </w:p>
    <w:p>
      <w:pPr>
        <w:pStyle w:val="16"/>
        <w:spacing w:after="0" w:line="560" w:lineRule="exact"/>
        <w:ind w:firstLine="548" w:firstLineChars="200"/>
        <w:rPr>
          <w:rFonts w:hint="eastAsia"/>
          <w:sz w:val="28"/>
          <w:szCs w:val="28"/>
          <w:lang w:val="zh-CN"/>
        </w:rPr>
      </w:pPr>
      <w:r>
        <w:rPr>
          <w:rFonts w:hint="eastAsia"/>
          <w:sz w:val="28"/>
          <w:szCs w:val="28"/>
          <w:lang w:val="zh-CN"/>
        </w:rPr>
        <w:t>（投标供应商属于集团公司母公司的，如提供集团公司合并财务报表，应当能够体现母公司财务报表数据且以母公司数据为准，不能体现的应当同时提供母公司的财务报表；合并报表无法拆分且未提供母公司财务报表的，相应评分以零分处理。）</w:t>
      </w:r>
    </w:p>
    <w:p>
      <w:pPr>
        <w:ind w:firstLine="612" w:firstLineChars="300"/>
        <w:rPr>
          <w:rFonts w:hint="eastAsia" w:eastAsia="宋体"/>
          <w:highlight w:val="none"/>
          <w:lang w:val="en-US" w:eastAsia="zh-CN"/>
        </w:rPr>
      </w:pPr>
      <w:r>
        <w:rPr>
          <w:rFonts w:hint="eastAsia" w:ascii="宋体" w:hAnsi="宋体" w:cs="宋体"/>
          <w:b/>
          <w:bCs w:val="0"/>
          <w:color w:val="FF0000"/>
          <w:szCs w:val="21"/>
          <w:highlight w:val="none"/>
        </w:rPr>
        <w:t>审计报告应当包含报告正文、资产负债表、利润表、现金流量表及所有者权益变动表（</w:t>
      </w:r>
      <w:r>
        <w:rPr>
          <w:rFonts w:hint="eastAsia" w:ascii="宋体" w:hAnsi="宋体" w:cs="宋体"/>
          <w:b/>
          <w:bCs w:val="0"/>
          <w:color w:val="FF0000"/>
          <w:szCs w:val="21"/>
          <w:highlight w:val="yellow"/>
        </w:rPr>
        <w:t>无所有者权益表的提供书面说明</w:t>
      </w:r>
      <w:r>
        <w:rPr>
          <w:rFonts w:hint="eastAsia" w:ascii="宋体" w:hAnsi="宋体" w:cs="宋体"/>
          <w:b/>
          <w:bCs w:val="0"/>
          <w:color w:val="FF0000"/>
          <w:szCs w:val="21"/>
          <w:highlight w:val="none"/>
        </w:rPr>
        <w:t>）、附注和会计师事务所营业执照，报告正文应当有会计师事务所公章，</w:t>
      </w:r>
      <w:r>
        <w:rPr>
          <w:rFonts w:ascii="宋体" w:hAnsi="宋体" w:cs="宋体"/>
          <w:b/>
          <w:bCs w:val="0"/>
          <w:color w:val="FF0000"/>
          <w:szCs w:val="21"/>
          <w:highlight w:val="none"/>
        </w:rPr>
        <w:t>2个注册会计师的签字和盖章。</w:t>
      </w:r>
      <w:r>
        <w:rPr>
          <w:rFonts w:ascii="宋体" w:hAnsi="宋体" w:cs="宋体"/>
          <w:bCs/>
          <w:szCs w:val="21"/>
          <w:highlight w:val="none"/>
        </w:rPr>
        <w:t>军队单位、事业单位无法提供审计报告的，可由上级管理部门批复的决算（或内部会计报表）代替。</w:t>
      </w:r>
      <w:r>
        <w:rPr>
          <w:rFonts w:hint="eastAsia" w:ascii="宋体" w:hAnsi="宋体" w:cs="宋体"/>
          <w:bCs/>
          <w:szCs w:val="21"/>
          <w:highlight w:val="none"/>
          <w:lang w:val="en-US" w:eastAsia="zh-CN"/>
        </w:rPr>
        <w:t>]</w:t>
      </w:r>
    </w:p>
    <w:p>
      <w:pPr>
        <w:rPr>
          <w:lang w:val="zh-CN"/>
        </w:rPr>
      </w:pPr>
    </w:p>
    <w:p>
      <w:pPr>
        <w:rPr>
          <w:lang w:val="zh-CN"/>
        </w:rPr>
      </w:pPr>
    </w:p>
    <w:p>
      <w:pPr>
        <w:widowControl/>
        <w:ind w:firstLine="408" w:firstLineChars="200"/>
        <w:jc w:val="left"/>
        <w:rPr>
          <w:rFonts w:ascii="Arial" w:hAnsi="Arial" w:eastAsia="黑体"/>
          <w:bCs/>
          <w:sz w:val="28"/>
          <w:szCs w:val="28"/>
          <w:lang w:val="zh-CN"/>
        </w:rPr>
      </w:pPr>
      <w:r>
        <w:rPr>
          <w:bCs/>
          <w:lang w:val="zh-CN"/>
        </w:rPr>
        <w:br w:type="page"/>
      </w:r>
    </w:p>
    <w:p>
      <w:pPr>
        <w:pStyle w:val="5"/>
        <w:spacing w:before="194" w:beforeLines="50" w:after="194" w:afterLines="50"/>
        <w:rPr>
          <w:rFonts w:ascii="方正小标宋简体" w:hAnsi="宋体" w:eastAsia="方正小标宋简体"/>
          <w:b w:val="0"/>
          <w:sz w:val="44"/>
          <w:szCs w:val="44"/>
        </w:rPr>
      </w:pPr>
      <w:r>
        <w:rPr>
          <w:rFonts w:hint="eastAsia"/>
          <w:b w:val="0"/>
        </w:rPr>
        <w:t>附件</w:t>
      </w:r>
      <w:r>
        <w:rPr>
          <w:b w:val="0"/>
        </w:rPr>
        <w:t xml:space="preserve">3-9 </w:t>
      </w:r>
      <w:r>
        <w:rPr>
          <w:rFonts w:hint="eastAsia"/>
          <w:b w:val="0"/>
        </w:rPr>
        <w:t>投标保证金缴纳证明材料</w:t>
      </w:r>
      <w:bookmarkEnd w:id="397"/>
      <w:bookmarkEnd w:id="398"/>
      <w:bookmarkEnd w:id="399"/>
      <w:bookmarkEnd w:id="400"/>
    </w:p>
    <w:p>
      <w:pPr>
        <w:spacing w:before="194" w:beforeLines="50" w:after="194" w:afterLines="50" w:line="560" w:lineRule="exact"/>
        <w:jc w:val="center"/>
        <w:rPr>
          <w:rFonts w:ascii="黑体" w:hAnsi="黑体" w:eastAsia="黑体" w:cs="黑体"/>
          <w:bCs/>
          <w:sz w:val="36"/>
          <w:szCs w:val="36"/>
        </w:rPr>
      </w:pPr>
      <w:r>
        <w:rPr>
          <w:rFonts w:hint="eastAsia" w:ascii="黑体" w:hAnsi="黑体" w:eastAsia="黑体" w:cs="黑体"/>
          <w:bCs/>
          <w:sz w:val="36"/>
          <w:szCs w:val="36"/>
        </w:rPr>
        <w:t>投标保证金缴纳证明材料</w:t>
      </w:r>
    </w:p>
    <w:p>
      <w:pPr>
        <w:spacing w:line="560" w:lineRule="exact"/>
        <w:jc w:val="center"/>
        <w:rPr>
          <w:bCs/>
        </w:rPr>
      </w:pPr>
      <w:r>
        <w:rPr>
          <w:rFonts w:hint="eastAsia" w:ascii="宋体" w:hAnsi="宋体"/>
          <w:sz w:val="28"/>
          <w:szCs w:val="28"/>
        </w:rPr>
        <w:t>（一般为银行转账凭证，投标保证金应当从投标供应商的银行账户缴纳）</w:t>
      </w:r>
    </w:p>
    <w:p>
      <w:pPr>
        <w:rPr>
          <w:bCs/>
          <w:lang w:val="zh-CN"/>
        </w:rPr>
      </w:pPr>
      <w:r>
        <w:rPr>
          <w:bCs/>
          <w:lang w:val="zh-CN"/>
        </w:rPr>
        <w:br w:type="page"/>
      </w:r>
    </w:p>
    <w:p>
      <w:pPr>
        <w:keepNext/>
        <w:keepLines/>
        <w:spacing w:before="194" w:beforeLines="50" w:after="194" w:afterLines="50" w:line="560" w:lineRule="exact"/>
        <w:outlineLvl w:val="3"/>
        <w:rPr>
          <w:rFonts w:ascii="Arial" w:hAnsi="Arial" w:eastAsia="黑体"/>
          <w:bCs/>
          <w:sz w:val="28"/>
          <w:szCs w:val="28"/>
        </w:rPr>
      </w:pPr>
      <w:bookmarkStart w:id="401" w:name="_Toc302"/>
      <w:r>
        <w:rPr>
          <w:rFonts w:hint="eastAsia" w:ascii="Arial" w:hAnsi="Arial" w:eastAsia="黑体"/>
          <w:bCs/>
          <w:sz w:val="28"/>
          <w:szCs w:val="28"/>
          <w:lang w:val="zh-CN"/>
        </w:rPr>
        <w:t>附件</w:t>
      </w:r>
      <w:r>
        <w:rPr>
          <w:rFonts w:ascii="Arial" w:hAnsi="Arial" w:eastAsia="黑体"/>
          <w:bCs/>
          <w:sz w:val="28"/>
          <w:szCs w:val="28"/>
          <w:lang w:val="zh-CN"/>
        </w:rPr>
        <w:t>3-</w:t>
      </w:r>
      <w:r>
        <w:rPr>
          <w:rFonts w:ascii="Arial" w:hAnsi="Arial" w:eastAsia="黑体"/>
          <w:bCs/>
          <w:sz w:val="28"/>
          <w:szCs w:val="28"/>
        </w:rPr>
        <w:t>1</w:t>
      </w:r>
      <w:r>
        <w:rPr>
          <w:rFonts w:hint="eastAsia" w:ascii="Arial" w:hAnsi="Arial" w:eastAsia="黑体"/>
          <w:bCs/>
          <w:sz w:val="28"/>
          <w:szCs w:val="28"/>
          <w:lang w:val="en-US" w:eastAsia="zh-CN"/>
        </w:rPr>
        <w:t>0</w:t>
      </w:r>
      <w:r>
        <w:rPr>
          <w:rFonts w:ascii="Arial" w:hAnsi="Arial" w:eastAsia="黑体"/>
          <w:bCs/>
          <w:sz w:val="28"/>
          <w:szCs w:val="28"/>
          <w:lang w:val="zh-CN"/>
        </w:rPr>
        <w:t xml:space="preserve"> </w:t>
      </w:r>
      <w:r>
        <w:rPr>
          <w:rFonts w:hint="eastAsia" w:ascii="Arial" w:hAnsi="Arial" w:eastAsia="黑体"/>
          <w:bCs/>
          <w:sz w:val="28"/>
          <w:szCs w:val="28"/>
        </w:rPr>
        <w:t>其他资料</w:t>
      </w:r>
      <w:bookmarkEnd w:id="401"/>
    </w:p>
    <w:p>
      <w:pPr>
        <w:pStyle w:val="16"/>
      </w:pPr>
    </w:p>
    <w:p>
      <w:pPr>
        <w:pStyle w:val="16"/>
        <w:jc w:val="center"/>
        <w:rPr>
          <w:rFonts w:ascii="黑体" w:hAnsi="黑体" w:eastAsia="黑体" w:cs="黑体"/>
          <w:bCs/>
          <w:sz w:val="36"/>
          <w:szCs w:val="36"/>
        </w:rPr>
      </w:pPr>
      <w:r>
        <w:rPr>
          <w:rFonts w:hint="eastAsia" w:ascii="黑体" w:hAnsi="黑体" w:eastAsia="黑体" w:cs="黑体"/>
          <w:bCs/>
          <w:sz w:val="36"/>
          <w:szCs w:val="36"/>
        </w:rPr>
        <w:t>其他资料</w:t>
      </w:r>
    </w:p>
    <w:p>
      <w:pPr>
        <w:jc w:val="center"/>
        <w:rPr>
          <w:sz w:val="28"/>
          <w:szCs w:val="28"/>
        </w:rPr>
      </w:pPr>
      <w:r>
        <w:rPr>
          <w:rFonts w:hint="eastAsia"/>
          <w:sz w:val="28"/>
          <w:szCs w:val="28"/>
        </w:rPr>
        <w:t>（投标供应商根据招标文件规定的资格要求，自行添加其他资料）</w:t>
      </w:r>
    </w:p>
    <w:p>
      <w:pPr>
        <w:pStyle w:val="16"/>
      </w:pPr>
    </w:p>
    <w:bookmarkEnd w:id="10"/>
    <w:p>
      <w:pPr>
        <w:widowControl/>
        <w:jc w:val="left"/>
        <w:rPr>
          <w:bCs/>
          <w:sz w:val="48"/>
          <w:szCs w:val="48"/>
        </w:rPr>
      </w:pPr>
      <w:r>
        <w:rPr>
          <w:bCs/>
          <w:sz w:val="48"/>
          <w:szCs w:val="48"/>
        </w:rPr>
        <w:br w:type="page"/>
      </w:r>
    </w:p>
    <w:p>
      <w:pPr>
        <w:spacing w:before="194" w:beforeLines="50" w:after="194" w:afterLines="50"/>
        <w:jc w:val="center"/>
        <w:rPr>
          <w:rFonts w:ascii="宋体"/>
          <w:bCs/>
          <w:sz w:val="32"/>
          <w:szCs w:val="32"/>
        </w:rPr>
      </w:pPr>
    </w:p>
    <w:p>
      <w:pPr>
        <w:rPr>
          <w:bCs/>
        </w:rPr>
      </w:pPr>
    </w:p>
    <w:p>
      <w:pPr>
        <w:jc w:val="center"/>
        <w:rPr>
          <w:bCs/>
          <w:sz w:val="44"/>
          <w:szCs w:val="44"/>
        </w:rPr>
      </w:pPr>
      <w:bookmarkStart w:id="402" w:name="_Toc23250"/>
      <w:bookmarkStart w:id="403" w:name="_Toc112317778"/>
      <w:bookmarkStart w:id="404" w:name="_Toc28776"/>
    </w:p>
    <w:p>
      <w:pPr>
        <w:jc w:val="center"/>
        <w:rPr>
          <w:bCs/>
          <w:sz w:val="44"/>
          <w:szCs w:val="44"/>
        </w:rPr>
      </w:pPr>
    </w:p>
    <w:p>
      <w:pPr>
        <w:jc w:val="center"/>
        <w:rPr>
          <w:bCs/>
          <w:sz w:val="44"/>
          <w:szCs w:val="44"/>
        </w:rPr>
      </w:pPr>
    </w:p>
    <w:p>
      <w:pPr>
        <w:jc w:val="center"/>
        <w:rPr>
          <w:bCs/>
          <w:sz w:val="44"/>
          <w:szCs w:val="44"/>
        </w:rPr>
      </w:pPr>
    </w:p>
    <w:p>
      <w:pPr>
        <w:jc w:val="center"/>
        <w:rPr>
          <w:bCs/>
          <w:sz w:val="44"/>
          <w:szCs w:val="44"/>
        </w:rPr>
      </w:pPr>
      <w:r>
        <w:rPr>
          <w:rFonts w:hint="eastAsia"/>
          <w:bCs/>
          <w:sz w:val="44"/>
          <w:szCs w:val="44"/>
        </w:rPr>
        <w:t>二、专用部分</w:t>
      </w:r>
      <w:bookmarkEnd w:id="402"/>
      <w:bookmarkEnd w:id="403"/>
      <w:bookmarkEnd w:id="404"/>
    </w:p>
    <w:p>
      <w:pPr>
        <w:pStyle w:val="22"/>
        <w:adjustRightInd w:val="0"/>
        <w:snapToGrid w:val="0"/>
        <w:spacing w:line="240" w:lineRule="atLeast"/>
        <w:jc w:val="center"/>
        <w:rPr>
          <w:rFonts w:hAnsi="宋体"/>
          <w:bCs/>
          <w:sz w:val="32"/>
          <w:szCs w:val="32"/>
        </w:rPr>
      </w:pPr>
    </w:p>
    <w:p>
      <w:pPr>
        <w:pStyle w:val="22"/>
        <w:adjustRightInd w:val="0"/>
        <w:snapToGrid w:val="0"/>
        <w:spacing w:line="240" w:lineRule="atLeast"/>
        <w:jc w:val="center"/>
        <w:rPr>
          <w:rFonts w:hAnsi="宋体"/>
          <w:bCs/>
          <w:sz w:val="32"/>
          <w:szCs w:val="32"/>
        </w:rPr>
      </w:pPr>
    </w:p>
    <w:p>
      <w:pPr>
        <w:pStyle w:val="22"/>
        <w:adjustRightInd w:val="0"/>
        <w:snapToGrid w:val="0"/>
        <w:spacing w:line="240" w:lineRule="atLeast"/>
        <w:jc w:val="center"/>
        <w:rPr>
          <w:rFonts w:hAnsi="宋体"/>
          <w:bCs/>
          <w:sz w:val="32"/>
          <w:szCs w:val="32"/>
        </w:rPr>
        <w:sectPr>
          <w:headerReference r:id="rId7" w:type="default"/>
          <w:pgSz w:w="11906" w:h="16838"/>
          <w:pgMar w:top="1418" w:right="1134" w:bottom="1418" w:left="1418" w:header="851" w:footer="851" w:gutter="0"/>
          <w:cols w:space="720" w:num="1"/>
          <w:docGrid w:type="linesAndChars" w:linePitch="388" w:charSpace="-1260"/>
        </w:sectPr>
      </w:pPr>
    </w:p>
    <w:p>
      <w:pPr>
        <w:pStyle w:val="3"/>
        <w:spacing w:before="194" w:beforeLines="50" w:after="194" w:afterLines="50" w:line="560" w:lineRule="exact"/>
        <w:jc w:val="center"/>
        <w:rPr>
          <w:b w:val="0"/>
          <w:sz w:val="36"/>
          <w:szCs w:val="36"/>
        </w:rPr>
      </w:pPr>
      <w:bookmarkStart w:id="405" w:name="_Toc16768"/>
      <w:bookmarkStart w:id="406" w:name="_Toc15244"/>
      <w:bookmarkStart w:id="407" w:name="_Toc8683"/>
      <w:bookmarkStart w:id="408" w:name="_Toc112317780"/>
      <w:r>
        <w:rPr>
          <w:rFonts w:hint="eastAsia"/>
          <w:b w:val="0"/>
          <w:sz w:val="36"/>
          <w:szCs w:val="36"/>
        </w:rPr>
        <w:t>第四章</w:t>
      </w:r>
      <w:r>
        <w:rPr>
          <w:b w:val="0"/>
          <w:sz w:val="36"/>
          <w:szCs w:val="36"/>
        </w:rPr>
        <w:t xml:space="preserve"> </w:t>
      </w:r>
      <w:r>
        <w:rPr>
          <w:rFonts w:hint="eastAsia"/>
          <w:b w:val="0"/>
          <w:sz w:val="36"/>
          <w:szCs w:val="36"/>
        </w:rPr>
        <w:t>招标公告</w:t>
      </w:r>
      <w:bookmarkEnd w:id="405"/>
      <w:bookmarkEnd w:id="406"/>
      <w:bookmarkEnd w:id="407"/>
      <w:bookmarkEnd w:id="408"/>
    </w:p>
    <w:p>
      <w:pPr>
        <w:spacing w:line="560" w:lineRule="exact"/>
        <w:ind w:firstLine="548" w:firstLineChars="200"/>
        <w:rPr>
          <w:bCs/>
          <w:sz w:val="28"/>
          <w:szCs w:val="28"/>
        </w:rPr>
      </w:pPr>
      <w:r>
        <w:rPr>
          <w:rFonts w:hint="eastAsia"/>
          <w:bCs/>
          <w:sz w:val="28"/>
          <w:szCs w:val="28"/>
        </w:rPr>
        <w:t>我部就以下项目进行国内公开招标，采购资金已全部落实，欢迎符合条件的供应商参加投标。</w:t>
      </w:r>
    </w:p>
    <w:p>
      <w:pPr>
        <w:spacing w:before="194" w:beforeLines="50" w:line="560" w:lineRule="exact"/>
        <w:ind w:left="408" w:leftChars="200"/>
        <w:rPr>
          <w:rFonts w:eastAsia="黑体"/>
          <w:bCs/>
          <w:sz w:val="28"/>
          <w:szCs w:val="28"/>
        </w:rPr>
      </w:pPr>
      <w:r>
        <w:rPr>
          <w:rFonts w:hint="eastAsia" w:eastAsia="黑体"/>
          <w:bCs/>
          <w:sz w:val="28"/>
          <w:szCs w:val="28"/>
        </w:rPr>
        <w:t>一、项目名称：</w:t>
      </w:r>
      <w:r>
        <w:rPr>
          <w:rFonts w:eastAsia="黑体"/>
          <w:bCs/>
          <w:sz w:val="28"/>
          <w:szCs w:val="28"/>
          <w:u w:val="single"/>
        </w:rPr>
        <w:t xml:space="preserve"> </w:t>
      </w:r>
      <w:r>
        <w:rPr>
          <w:rFonts w:hint="eastAsia" w:eastAsia="黑体"/>
          <w:sz w:val="28"/>
          <w:szCs w:val="28"/>
          <w:u w:val="single"/>
          <w:lang w:val="en-US" w:eastAsia="zh-CN"/>
        </w:rPr>
        <w:t>显示器（8M）</w:t>
      </w:r>
    </w:p>
    <w:p>
      <w:pPr>
        <w:tabs>
          <w:tab w:val="left" w:pos="0"/>
          <w:tab w:val="left" w:pos="1122"/>
        </w:tabs>
        <w:spacing w:before="194" w:beforeLines="50" w:line="560" w:lineRule="exact"/>
        <w:ind w:left="408" w:leftChars="200"/>
        <w:rPr>
          <w:rFonts w:eastAsia="黑体"/>
          <w:bCs/>
          <w:sz w:val="28"/>
          <w:szCs w:val="28"/>
        </w:rPr>
      </w:pPr>
      <w:r>
        <w:rPr>
          <w:rFonts w:hint="eastAsia" w:eastAsia="黑体"/>
          <w:bCs/>
          <w:sz w:val="28"/>
          <w:szCs w:val="28"/>
        </w:rPr>
        <w:t>二、项目编号：</w:t>
      </w:r>
      <w:r>
        <w:rPr>
          <w:rFonts w:hint="eastAsia" w:eastAsia="黑体"/>
          <w:sz w:val="28"/>
          <w:szCs w:val="28"/>
          <w:u w:val="single"/>
          <w:lang w:val="en-US" w:eastAsia="zh-CN"/>
        </w:rPr>
        <w:t>2024-JL13(04)-W10011</w:t>
      </w:r>
    </w:p>
    <w:p>
      <w:pPr>
        <w:tabs>
          <w:tab w:val="left" w:pos="0"/>
          <w:tab w:val="left" w:pos="1122"/>
        </w:tabs>
        <w:spacing w:before="194" w:beforeLines="50" w:after="194" w:afterLines="50" w:line="560" w:lineRule="exact"/>
        <w:ind w:left="408" w:leftChars="200"/>
        <w:rPr>
          <w:rFonts w:eastAsia="黑体"/>
          <w:bCs/>
          <w:sz w:val="28"/>
          <w:szCs w:val="28"/>
        </w:rPr>
      </w:pPr>
      <w:r>
        <w:rPr>
          <w:rFonts w:hint="eastAsia" w:eastAsia="黑体"/>
          <w:bCs/>
          <w:sz w:val="28"/>
          <w:szCs w:val="28"/>
        </w:rPr>
        <w:t>三、项目概况：</w:t>
      </w:r>
    </w:p>
    <w:tbl>
      <w:tblPr>
        <w:tblStyle w:val="42"/>
        <w:tblW w:w="10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2021"/>
        <w:gridCol w:w="1142"/>
        <w:gridCol w:w="1328"/>
        <w:gridCol w:w="1064"/>
        <w:gridCol w:w="752"/>
        <w:gridCol w:w="1114"/>
        <w:gridCol w:w="1112"/>
        <w:gridCol w:w="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778" w:type="dxa"/>
            <w:tcBorders>
              <w:top w:val="single" w:color="auto" w:sz="4" w:space="0"/>
              <w:left w:val="single" w:color="auto" w:sz="4" w:space="0"/>
              <w:bottom w:val="single" w:color="auto" w:sz="4" w:space="0"/>
              <w:right w:val="single" w:color="auto" w:sz="4" w:space="0"/>
            </w:tcBorders>
            <w:vAlign w:val="center"/>
          </w:tcPr>
          <w:p>
            <w:pPr>
              <w:jc w:val="center"/>
              <w:rPr>
                <w:bCs/>
                <w:snapToGrid w:val="0"/>
              </w:rPr>
            </w:pPr>
            <w:r>
              <w:rPr>
                <w:rFonts w:hint="eastAsia"/>
                <w:bCs/>
                <w:snapToGrid w:val="0"/>
              </w:rPr>
              <w:t>序号</w:t>
            </w:r>
          </w:p>
        </w:tc>
        <w:tc>
          <w:tcPr>
            <w:tcW w:w="2021" w:type="dxa"/>
            <w:tcBorders>
              <w:top w:val="single" w:color="auto" w:sz="4" w:space="0"/>
              <w:left w:val="single" w:color="auto" w:sz="4" w:space="0"/>
              <w:right w:val="single" w:color="auto" w:sz="4" w:space="0"/>
            </w:tcBorders>
            <w:vAlign w:val="center"/>
          </w:tcPr>
          <w:p>
            <w:pPr>
              <w:jc w:val="center"/>
              <w:rPr>
                <w:bCs/>
                <w:snapToGrid w:val="0"/>
              </w:rPr>
            </w:pPr>
            <w:r>
              <w:rPr>
                <w:rFonts w:hint="eastAsia"/>
                <w:bCs/>
                <w:snapToGrid w:val="0"/>
              </w:rPr>
              <w:t>货物名称</w:t>
            </w:r>
          </w:p>
        </w:tc>
        <w:tc>
          <w:tcPr>
            <w:tcW w:w="1142" w:type="dxa"/>
            <w:tcBorders>
              <w:top w:val="single" w:color="auto" w:sz="4" w:space="0"/>
              <w:left w:val="single" w:color="auto" w:sz="4" w:space="0"/>
              <w:right w:val="single" w:color="auto" w:sz="4" w:space="0"/>
            </w:tcBorders>
            <w:vAlign w:val="center"/>
          </w:tcPr>
          <w:p>
            <w:pPr>
              <w:jc w:val="center"/>
              <w:rPr>
                <w:rFonts w:hint="default" w:eastAsia="宋体"/>
                <w:bCs/>
                <w:snapToGrid w:val="0"/>
                <w:lang w:val="en-US" w:eastAsia="zh-CN"/>
              </w:rPr>
            </w:pPr>
            <w:r>
              <w:rPr>
                <w:rFonts w:hint="eastAsia"/>
                <w:bCs/>
                <w:snapToGrid w:val="0"/>
                <w:lang w:val="en-US" w:eastAsia="zh-CN"/>
              </w:rPr>
              <w:t>预算金额</w:t>
            </w:r>
          </w:p>
        </w:tc>
        <w:tc>
          <w:tcPr>
            <w:tcW w:w="1328" w:type="dxa"/>
            <w:tcBorders>
              <w:top w:val="single" w:color="auto" w:sz="4" w:space="0"/>
              <w:left w:val="single" w:color="auto" w:sz="4" w:space="0"/>
              <w:bottom w:val="single" w:color="auto" w:sz="4" w:space="0"/>
              <w:right w:val="single" w:color="auto" w:sz="4" w:space="0"/>
            </w:tcBorders>
            <w:vAlign w:val="center"/>
          </w:tcPr>
          <w:p>
            <w:pPr>
              <w:jc w:val="center"/>
              <w:rPr>
                <w:bCs/>
                <w:snapToGrid w:val="0"/>
              </w:rPr>
            </w:pPr>
            <w:r>
              <w:rPr>
                <w:rFonts w:hint="eastAsia"/>
                <w:bCs/>
                <w:snapToGrid w:val="0"/>
              </w:rPr>
              <w:t>技术要求</w:t>
            </w:r>
          </w:p>
        </w:tc>
        <w:tc>
          <w:tcPr>
            <w:tcW w:w="1064" w:type="dxa"/>
            <w:tcBorders>
              <w:top w:val="single" w:color="auto" w:sz="4" w:space="0"/>
              <w:left w:val="single" w:color="auto" w:sz="4" w:space="0"/>
              <w:bottom w:val="single" w:color="auto" w:sz="4" w:space="0"/>
              <w:right w:val="single" w:color="auto" w:sz="4" w:space="0"/>
            </w:tcBorders>
            <w:vAlign w:val="center"/>
          </w:tcPr>
          <w:p>
            <w:pPr>
              <w:jc w:val="center"/>
              <w:rPr>
                <w:bCs/>
                <w:snapToGrid w:val="0"/>
              </w:rPr>
            </w:pPr>
            <w:r>
              <w:rPr>
                <w:rFonts w:hint="eastAsia"/>
                <w:bCs/>
                <w:snapToGrid w:val="0"/>
              </w:rPr>
              <w:t>计量单位</w:t>
            </w:r>
          </w:p>
        </w:tc>
        <w:tc>
          <w:tcPr>
            <w:tcW w:w="752" w:type="dxa"/>
            <w:tcBorders>
              <w:top w:val="single" w:color="auto" w:sz="4" w:space="0"/>
              <w:left w:val="single" w:color="auto" w:sz="4" w:space="0"/>
              <w:bottom w:val="single" w:color="auto" w:sz="4" w:space="0"/>
              <w:right w:val="single" w:color="auto" w:sz="4" w:space="0"/>
            </w:tcBorders>
            <w:vAlign w:val="center"/>
          </w:tcPr>
          <w:p>
            <w:pPr>
              <w:jc w:val="center"/>
              <w:rPr>
                <w:bCs/>
                <w:snapToGrid w:val="0"/>
              </w:rPr>
            </w:pPr>
            <w:r>
              <w:rPr>
                <w:rFonts w:hint="eastAsia"/>
                <w:bCs/>
                <w:snapToGrid w:val="0"/>
              </w:rPr>
              <w:t>数量</w:t>
            </w:r>
          </w:p>
        </w:tc>
        <w:tc>
          <w:tcPr>
            <w:tcW w:w="1114" w:type="dxa"/>
            <w:tcBorders>
              <w:top w:val="single" w:color="auto" w:sz="4" w:space="0"/>
              <w:left w:val="single" w:color="auto" w:sz="4" w:space="0"/>
              <w:bottom w:val="single" w:color="auto" w:sz="4" w:space="0"/>
              <w:right w:val="single" w:color="auto" w:sz="4" w:space="0"/>
            </w:tcBorders>
            <w:vAlign w:val="center"/>
          </w:tcPr>
          <w:p>
            <w:pPr>
              <w:jc w:val="center"/>
              <w:rPr>
                <w:bCs/>
                <w:snapToGrid w:val="0"/>
              </w:rPr>
            </w:pPr>
            <w:r>
              <w:rPr>
                <w:rFonts w:hint="eastAsia"/>
                <w:bCs/>
                <w:snapToGrid w:val="0"/>
              </w:rPr>
              <w:t>交货时间</w:t>
            </w:r>
          </w:p>
        </w:tc>
        <w:tc>
          <w:tcPr>
            <w:tcW w:w="1112" w:type="dxa"/>
            <w:tcBorders>
              <w:top w:val="single" w:color="auto" w:sz="4" w:space="0"/>
              <w:left w:val="single" w:color="auto" w:sz="4" w:space="0"/>
              <w:right w:val="single" w:color="auto" w:sz="4" w:space="0"/>
            </w:tcBorders>
            <w:vAlign w:val="center"/>
          </w:tcPr>
          <w:p>
            <w:pPr>
              <w:jc w:val="center"/>
              <w:rPr>
                <w:bCs/>
                <w:snapToGrid w:val="0"/>
              </w:rPr>
            </w:pPr>
            <w:r>
              <w:rPr>
                <w:rFonts w:hint="eastAsia"/>
                <w:bCs/>
                <w:snapToGrid w:val="0"/>
              </w:rPr>
              <w:t>交货地点</w:t>
            </w:r>
          </w:p>
        </w:tc>
        <w:tc>
          <w:tcPr>
            <w:tcW w:w="718" w:type="dxa"/>
            <w:tcBorders>
              <w:top w:val="single" w:color="auto" w:sz="4" w:space="0"/>
              <w:left w:val="single" w:color="auto" w:sz="4" w:space="0"/>
              <w:right w:val="single" w:color="auto" w:sz="4" w:space="0"/>
            </w:tcBorders>
            <w:vAlign w:val="center"/>
          </w:tcPr>
          <w:p>
            <w:pPr>
              <w:jc w:val="center"/>
              <w:rPr>
                <w:bCs/>
                <w:snapToGrid w:val="0"/>
              </w:rPr>
            </w:pPr>
            <w:r>
              <w:rPr>
                <w:rFonts w:hint="eastAsia"/>
                <w:bCs/>
                <w:snapToGrid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jc w:val="center"/>
        </w:trPr>
        <w:tc>
          <w:tcPr>
            <w:tcW w:w="77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eastAsia="宋体"/>
                <w:bCs/>
                <w:lang w:val="en-US" w:eastAsia="zh-CN"/>
              </w:rPr>
            </w:pPr>
            <w:r>
              <w:rPr>
                <w:rFonts w:hint="eastAsia"/>
                <w:lang w:val="en-US" w:eastAsia="zh-CN"/>
              </w:rPr>
              <w:t>01</w:t>
            </w:r>
          </w:p>
        </w:tc>
        <w:tc>
          <w:tcPr>
            <w:tcW w:w="2021" w:type="dxa"/>
            <w:tcBorders>
              <w:left w:val="single" w:color="auto" w:sz="4" w:space="0"/>
              <w:right w:val="single" w:color="auto" w:sz="4" w:space="0"/>
            </w:tcBorders>
            <w:vAlign w:val="center"/>
          </w:tcPr>
          <w:p>
            <w:pPr>
              <w:spacing w:line="240" w:lineRule="auto"/>
              <w:jc w:val="center"/>
              <w:rPr>
                <w:bCs/>
              </w:rPr>
            </w:pPr>
            <w:r>
              <w:rPr>
                <w:rFonts w:hint="eastAsia"/>
                <w:lang w:val="zh-CN" w:eastAsia="zh-CN"/>
              </w:rPr>
              <w:t>显示器（8M）</w:t>
            </w:r>
          </w:p>
        </w:tc>
        <w:tc>
          <w:tcPr>
            <w:tcW w:w="1142" w:type="dxa"/>
            <w:tcBorders>
              <w:left w:val="single" w:color="auto" w:sz="4" w:space="0"/>
              <w:right w:val="single" w:color="auto" w:sz="4" w:space="0"/>
            </w:tcBorders>
            <w:vAlign w:val="center"/>
          </w:tcPr>
          <w:p>
            <w:pPr>
              <w:spacing w:line="240" w:lineRule="auto"/>
              <w:jc w:val="center"/>
              <w:rPr>
                <w:rFonts w:hint="default" w:eastAsia="宋体"/>
                <w:bCs/>
                <w:lang w:val="en-US" w:eastAsia="zh-CN"/>
              </w:rPr>
            </w:pPr>
            <w:r>
              <w:rPr>
                <w:rFonts w:hint="eastAsia"/>
                <w:lang w:val="en-US" w:eastAsia="zh-CN"/>
              </w:rPr>
              <w:t>100万元</w:t>
            </w:r>
          </w:p>
        </w:tc>
        <w:tc>
          <w:tcPr>
            <w:tcW w:w="132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eastAsia="宋体"/>
                <w:bCs/>
                <w:lang w:val="en-US" w:eastAsia="zh-CN"/>
              </w:rPr>
            </w:pPr>
            <w:r>
              <w:rPr>
                <w:rFonts w:hint="eastAsia"/>
                <w:lang w:val="zh-CN" w:eastAsia="zh-CN"/>
              </w:rPr>
              <w:t>详见第二部分-技术参数</w:t>
            </w:r>
          </w:p>
        </w:tc>
        <w:tc>
          <w:tcPr>
            <w:tcW w:w="106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eastAsia="宋体"/>
                <w:bCs/>
                <w:lang w:eastAsia="zh-CN"/>
              </w:rPr>
            </w:pPr>
            <w:r>
              <w:rPr>
                <w:rFonts w:hint="eastAsia"/>
                <w:lang w:val="en-US" w:eastAsia="zh-CN"/>
              </w:rPr>
              <w:t>台</w:t>
            </w:r>
          </w:p>
        </w:tc>
        <w:tc>
          <w:tcPr>
            <w:tcW w:w="75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eastAsia="宋体"/>
                <w:bCs/>
                <w:szCs w:val="21"/>
                <w:lang w:val="en-US" w:eastAsia="zh-CN"/>
              </w:rPr>
            </w:pPr>
            <w:r>
              <w:rPr>
                <w:rFonts w:hint="eastAsia"/>
                <w:sz w:val="21"/>
                <w:szCs w:val="21"/>
                <w:lang w:val="en-US" w:eastAsia="zh-CN"/>
              </w:rPr>
              <w:t>10</w:t>
            </w:r>
          </w:p>
        </w:tc>
        <w:tc>
          <w:tcPr>
            <w:tcW w:w="111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bCs/>
              </w:rPr>
            </w:pPr>
            <w:r>
              <w:rPr>
                <w:rFonts w:hint="eastAsia"/>
                <w:lang w:val="zh-CN" w:eastAsia="zh-CN"/>
              </w:rPr>
              <w:t>合同签订后30天内</w:t>
            </w:r>
          </w:p>
        </w:tc>
        <w:tc>
          <w:tcPr>
            <w:tcW w:w="1112" w:type="dxa"/>
            <w:tcBorders>
              <w:left w:val="single" w:color="auto" w:sz="4" w:space="0"/>
              <w:right w:val="single" w:color="auto" w:sz="4" w:space="0"/>
            </w:tcBorders>
            <w:vAlign w:val="center"/>
          </w:tcPr>
          <w:p>
            <w:pPr>
              <w:spacing w:line="240" w:lineRule="auto"/>
              <w:jc w:val="center"/>
              <w:rPr>
                <w:bCs/>
              </w:rPr>
            </w:pPr>
            <w:r>
              <w:rPr>
                <w:rFonts w:hint="eastAsia"/>
                <w:lang w:val="en-US" w:eastAsia="zh-CN"/>
              </w:rPr>
              <w:t>重庆市</w:t>
            </w:r>
          </w:p>
        </w:tc>
        <w:tc>
          <w:tcPr>
            <w:tcW w:w="718" w:type="dxa"/>
            <w:tcBorders>
              <w:left w:val="single" w:color="auto" w:sz="4" w:space="0"/>
              <w:right w:val="single" w:color="auto" w:sz="4" w:space="0"/>
            </w:tcBorders>
            <w:vAlign w:val="center"/>
          </w:tcPr>
          <w:p>
            <w:pPr>
              <w:spacing w:line="240" w:lineRule="auto"/>
              <w:jc w:val="center"/>
              <w:rPr>
                <w:bCs/>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77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黑体"/>
                <w:bCs/>
              </w:rPr>
            </w:pPr>
            <w:r>
              <w:rPr>
                <w:rFonts w:hint="eastAsia"/>
                <w:bCs/>
                <w:snapToGrid w:val="0"/>
              </w:rPr>
              <w:t>说明</w:t>
            </w:r>
          </w:p>
        </w:tc>
        <w:tc>
          <w:tcPr>
            <w:tcW w:w="9251"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bCs/>
              </w:rPr>
            </w:pPr>
            <w:r>
              <w:rPr>
                <w:rFonts w:ascii="宋体" w:hAnsi="宋体"/>
                <w:bCs/>
              </w:rPr>
              <w:t>1.投标供应商须对所投包内所有产品和数量进行</w:t>
            </w:r>
            <w:r>
              <w:rPr>
                <w:rFonts w:hint="eastAsia" w:ascii="宋体" w:hAnsi="宋体"/>
                <w:bCs/>
              </w:rPr>
              <w:t>唯一</w:t>
            </w:r>
            <w:r>
              <w:rPr>
                <w:rFonts w:ascii="宋体" w:hAnsi="宋体"/>
                <w:bCs/>
              </w:rPr>
              <w:t>报价，否则视为无效投标。</w:t>
            </w:r>
          </w:p>
          <w:p>
            <w:pPr>
              <w:jc w:val="left"/>
              <w:rPr>
                <w:rFonts w:ascii="宋体" w:hAnsi="宋体"/>
                <w:bCs/>
              </w:rPr>
            </w:pPr>
            <w:r>
              <w:rPr>
                <w:rFonts w:ascii="宋体" w:hAnsi="宋体"/>
                <w:bCs/>
              </w:rPr>
              <w:t>2.</w:t>
            </w:r>
            <w:r>
              <w:rPr>
                <w:rFonts w:hint="eastAsia" w:ascii="宋体" w:hAnsi="宋体"/>
                <w:bCs/>
              </w:rPr>
              <w:t>投标报价应当包括所有货物供应、运输、安装调试、技术培训、售后服务、备品备件和伴随服务等价格。</w:t>
            </w:r>
          </w:p>
          <w:p>
            <w:pPr>
              <w:jc w:val="left"/>
              <w:rPr>
                <w:rFonts w:ascii="宋体" w:hAnsi="宋体"/>
                <w:bCs/>
              </w:rPr>
            </w:pPr>
            <w:r>
              <w:rPr>
                <w:rFonts w:ascii="宋体" w:hAnsi="宋体"/>
                <w:bCs/>
              </w:rPr>
              <w:t>3.投标供应商必须保证所投产品为全新、未使用过的产品。</w:t>
            </w:r>
          </w:p>
          <w:p>
            <w:pPr>
              <w:pStyle w:val="16"/>
            </w:pPr>
            <w:r>
              <w:rPr>
                <w:rFonts w:hint="eastAsia"/>
              </w:rPr>
              <w:t>4.本项目中标（成交）价格需经价格复核，最终中标（成交）价格以复核结果为准。</w:t>
            </w:r>
          </w:p>
        </w:tc>
      </w:tr>
    </w:tbl>
    <w:p>
      <w:pPr>
        <w:spacing w:line="560" w:lineRule="exact"/>
        <w:ind w:firstLine="548" w:firstLineChars="200"/>
        <w:rPr>
          <w:rFonts w:ascii="宋体" w:hAnsi="宋体"/>
          <w:bCs/>
          <w:sz w:val="28"/>
          <w:szCs w:val="28"/>
        </w:rPr>
      </w:pPr>
      <w:r>
        <w:rPr>
          <w:rFonts w:ascii="宋体" w:hAnsi="宋体"/>
          <w:bCs/>
          <w:sz w:val="28"/>
          <w:szCs w:val="28"/>
        </w:rPr>
        <w:t>1.</w:t>
      </w:r>
      <w:r>
        <w:rPr>
          <w:rFonts w:hint="eastAsia" w:ascii="宋体" w:hAnsi="宋体"/>
          <w:bCs/>
          <w:sz w:val="28"/>
          <w:szCs w:val="28"/>
        </w:rPr>
        <w:t>本项目是否接受联合体投标</w:t>
      </w:r>
      <w:r>
        <w:rPr>
          <w:rFonts w:ascii="宋体" w:hAnsi="宋体"/>
          <w:bCs/>
          <w:sz w:val="28"/>
          <w:szCs w:val="28"/>
        </w:rPr>
        <w:t xml:space="preserve">: </w:t>
      </w:r>
      <w:r>
        <w:rPr>
          <w:rFonts w:ascii="宋体" w:hAnsi="宋体"/>
          <w:bCs/>
          <w:sz w:val="28"/>
          <w:szCs w:val="28"/>
          <w:u w:val="single"/>
        </w:rPr>
        <w:t xml:space="preserve"> </w:t>
      </w:r>
      <w:r>
        <w:rPr>
          <w:rFonts w:hint="eastAsia" w:ascii="宋体" w:hAnsi="宋体"/>
          <w:bCs/>
          <w:sz w:val="28"/>
          <w:szCs w:val="28"/>
          <w:u w:val="single"/>
          <w:lang w:eastAsia="zh-CN"/>
        </w:rPr>
        <w:t>否</w:t>
      </w:r>
      <w:r>
        <w:rPr>
          <w:rFonts w:ascii="宋体" w:hAnsi="宋体"/>
          <w:bCs/>
          <w:sz w:val="28"/>
          <w:szCs w:val="28"/>
          <w:u w:val="single"/>
        </w:rPr>
        <w:t xml:space="preserve"> </w:t>
      </w:r>
      <w:r>
        <w:rPr>
          <w:rFonts w:hint="eastAsia" w:ascii="宋体" w:hAnsi="宋体"/>
          <w:bCs/>
          <w:sz w:val="28"/>
          <w:szCs w:val="28"/>
        </w:rPr>
        <w:t>；</w:t>
      </w:r>
    </w:p>
    <w:p>
      <w:pPr>
        <w:spacing w:line="560" w:lineRule="exact"/>
        <w:ind w:firstLine="548" w:firstLineChars="200"/>
        <w:rPr>
          <w:rFonts w:ascii="宋体" w:hAnsi="宋体"/>
          <w:bCs/>
          <w:sz w:val="28"/>
          <w:szCs w:val="28"/>
        </w:rPr>
      </w:pPr>
      <w:r>
        <w:rPr>
          <w:rFonts w:hint="eastAsia" w:ascii="宋体" w:hAnsi="宋体"/>
          <w:bCs/>
          <w:sz w:val="28"/>
          <w:szCs w:val="28"/>
          <w:lang w:val="en-US" w:eastAsia="zh-CN"/>
        </w:rPr>
        <w:t>2</w:t>
      </w:r>
      <w:r>
        <w:rPr>
          <w:rFonts w:ascii="宋体" w:hAnsi="宋体"/>
          <w:bCs/>
          <w:sz w:val="28"/>
          <w:szCs w:val="28"/>
        </w:rPr>
        <w:t>.最高限价：</w:t>
      </w:r>
      <w:r>
        <w:rPr>
          <w:rFonts w:ascii="宋体" w:hAnsi="宋体"/>
          <w:bCs/>
          <w:sz w:val="28"/>
          <w:szCs w:val="28"/>
          <w:u w:val="single"/>
        </w:rPr>
        <w:t xml:space="preserve"> </w:t>
      </w:r>
      <w:r>
        <w:rPr>
          <w:rFonts w:hint="eastAsia" w:ascii="宋体" w:hAnsi="宋体"/>
          <w:bCs/>
          <w:sz w:val="28"/>
          <w:szCs w:val="28"/>
          <w:u w:val="single"/>
          <w:lang w:val="en-US" w:eastAsia="zh-CN"/>
        </w:rPr>
        <w:t>1</w:t>
      </w:r>
      <w:r>
        <w:rPr>
          <w:rFonts w:hint="eastAsia" w:ascii="仿宋_GB2312" w:hAnsi="宋体" w:cs="宋体"/>
          <w:kern w:val="0"/>
          <w:sz w:val="28"/>
          <w:szCs w:val="28"/>
          <w:highlight w:val="none"/>
          <w:u w:val="single"/>
          <w:lang w:val="en-US" w:eastAsia="zh-CN"/>
        </w:rPr>
        <w:t>,000,000.00元 (大写：壹佰万元整)</w:t>
      </w:r>
      <w:r>
        <w:rPr>
          <w:rFonts w:hint="eastAsia" w:ascii="宋体" w:hAnsi="宋体"/>
          <w:bCs/>
          <w:sz w:val="28"/>
          <w:szCs w:val="28"/>
        </w:rPr>
        <w:t>；</w:t>
      </w:r>
    </w:p>
    <w:p>
      <w:pPr>
        <w:spacing w:line="560" w:lineRule="exact"/>
        <w:ind w:firstLine="548" w:firstLineChars="200"/>
        <w:rPr>
          <w:rFonts w:ascii="宋体" w:hAnsi="宋体"/>
          <w:bCs/>
          <w:sz w:val="28"/>
          <w:szCs w:val="28"/>
        </w:rPr>
      </w:pPr>
      <w:r>
        <w:rPr>
          <w:rFonts w:hint="eastAsia" w:ascii="宋体" w:hAnsi="宋体"/>
          <w:bCs/>
          <w:sz w:val="28"/>
          <w:szCs w:val="28"/>
          <w:lang w:val="en-US" w:eastAsia="zh-CN"/>
        </w:rPr>
        <w:t>3</w:t>
      </w:r>
      <w:r>
        <w:rPr>
          <w:rFonts w:ascii="宋体" w:hAnsi="宋体"/>
          <w:bCs/>
          <w:sz w:val="28"/>
          <w:szCs w:val="28"/>
        </w:rPr>
        <w:t>.本项目</w:t>
      </w:r>
      <w:r>
        <w:rPr>
          <w:rFonts w:hint="eastAsia" w:ascii="宋体" w:hAnsi="宋体"/>
          <w:bCs/>
          <w:sz w:val="28"/>
          <w:szCs w:val="28"/>
        </w:rPr>
        <w:t>确定</w:t>
      </w:r>
      <w:r>
        <w:rPr>
          <w:rFonts w:ascii="宋体" w:hAnsi="宋体"/>
          <w:bCs/>
          <w:sz w:val="28"/>
          <w:szCs w:val="28"/>
          <w:u w:val="single"/>
        </w:rPr>
        <w:t xml:space="preserve"> </w:t>
      </w:r>
      <w:r>
        <w:rPr>
          <w:rFonts w:hint="eastAsia" w:ascii="宋体" w:hAnsi="宋体"/>
          <w:bCs/>
          <w:sz w:val="28"/>
          <w:szCs w:val="28"/>
          <w:u w:val="single"/>
          <w:lang w:val="en-US" w:eastAsia="zh-CN"/>
        </w:rPr>
        <w:t>1</w:t>
      </w:r>
      <w:r>
        <w:rPr>
          <w:rFonts w:ascii="宋体" w:hAnsi="宋体"/>
          <w:bCs/>
          <w:sz w:val="28"/>
          <w:szCs w:val="28"/>
          <w:u w:val="single"/>
        </w:rPr>
        <w:t xml:space="preserve"> </w:t>
      </w:r>
      <w:r>
        <w:rPr>
          <w:rFonts w:hint="eastAsia" w:ascii="宋体" w:hAnsi="宋体"/>
          <w:bCs/>
          <w:sz w:val="28"/>
          <w:szCs w:val="28"/>
        </w:rPr>
        <w:t>家供应商中标。</w:t>
      </w:r>
    </w:p>
    <w:p>
      <w:pPr>
        <w:tabs>
          <w:tab w:val="left" w:pos="0"/>
          <w:tab w:val="left" w:pos="987"/>
          <w:tab w:val="left" w:pos="1122"/>
        </w:tabs>
        <w:spacing w:before="194" w:beforeLines="50" w:after="194" w:afterLines="50" w:line="560" w:lineRule="exact"/>
        <w:ind w:left="408" w:leftChars="200"/>
        <w:rPr>
          <w:rFonts w:eastAsia="黑体"/>
          <w:bCs/>
          <w:sz w:val="28"/>
          <w:szCs w:val="28"/>
        </w:rPr>
      </w:pPr>
      <w:r>
        <w:rPr>
          <w:rFonts w:hint="eastAsia" w:eastAsia="黑体"/>
          <w:bCs/>
          <w:sz w:val="28"/>
          <w:szCs w:val="28"/>
        </w:rPr>
        <w:t>四、投标供应商资格条件</w:t>
      </w:r>
    </w:p>
    <w:p>
      <w:pPr>
        <w:spacing w:line="560" w:lineRule="exact"/>
        <w:ind w:firstLine="548" w:firstLineChars="200"/>
        <w:rPr>
          <w:rFonts w:ascii="宋体" w:hAnsi="宋体"/>
          <w:bCs/>
          <w:sz w:val="28"/>
          <w:szCs w:val="28"/>
        </w:rPr>
      </w:pPr>
      <w:r>
        <w:rPr>
          <w:rFonts w:hint="eastAsia" w:ascii="宋体" w:hAnsi="宋体"/>
          <w:bCs/>
          <w:sz w:val="28"/>
          <w:szCs w:val="28"/>
        </w:rPr>
        <w:t>（一）</w:t>
      </w:r>
      <w:r>
        <w:rPr>
          <w:rFonts w:ascii="宋体" w:hAnsi="宋体"/>
          <w:bCs/>
          <w:sz w:val="28"/>
          <w:szCs w:val="28"/>
        </w:rPr>
        <w:t>符合《中华人民共和国政府采购法》第二十二条资格条件</w:t>
      </w:r>
      <w:r>
        <w:rPr>
          <w:rFonts w:hint="eastAsia" w:ascii="宋体" w:hAnsi="宋体"/>
          <w:bCs/>
          <w:sz w:val="28"/>
          <w:szCs w:val="28"/>
        </w:rPr>
        <w:t>：</w:t>
      </w:r>
    </w:p>
    <w:p>
      <w:pPr>
        <w:spacing w:line="560" w:lineRule="exact"/>
        <w:ind w:left="560"/>
        <w:rPr>
          <w:rFonts w:ascii="宋体" w:hAnsi="宋体"/>
          <w:bCs/>
          <w:sz w:val="28"/>
          <w:szCs w:val="28"/>
        </w:rPr>
      </w:pPr>
      <w:r>
        <w:rPr>
          <w:rFonts w:ascii="宋体" w:hAnsi="宋体"/>
          <w:bCs/>
          <w:sz w:val="28"/>
          <w:szCs w:val="28"/>
        </w:rPr>
        <w:t>1.具有独立承担民事责任的能力；</w:t>
      </w:r>
    </w:p>
    <w:p>
      <w:pPr>
        <w:spacing w:line="560" w:lineRule="exact"/>
        <w:ind w:left="560"/>
        <w:rPr>
          <w:rFonts w:ascii="宋体" w:hAnsi="宋体"/>
          <w:bCs/>
          <w:sz w:val="28"/>
          <w:szCs w:val="28"/>
        </w:rPr>
      </w:pPr>
      <w:r>
        <w:rPr>
          <w:rFonts w:ascii="宋体" w:hAnsi="宋体"/>
          <w:bCs/>
          <w:sz w:val="28"/>
          <w:szCs w:val="28"/>
        </w:rPr>
        <w:t>2.具有良好的商业信誉和健全的财务会计制度；</w:t>
      </w:r>
    </w:p>
    <w:p>
      <w:pPr>
        <w:spacing w:line="560" w:lineRule="exact"/>
        <w:ind w:left="560"/>
        <w:rPr>
          <w:rFonts w:ascii="宋体" w:hAnsi="宋体"/>
          <w:bCs/>
          <w:sz w:val="28"/>
          <w:szCs w:val="28"/>
        </w:rPr>
      </w:pPr>
      <w:r>
        <w:rPr>
          <w:rFonts w:ascii="宋体" w:hAnsi="宋体"/>
          <w:bCs/>
          <w:sz w:val="28"/>
          <w:szCs w:val="28"/>
        </w:rPr>
        <w:t>3.具有履行合同所必需的设备和专业技术能力；</w:t>
      </w:r>
    </w:p>
    <w:p>
      <w:pPr>
        <w:spacing w:line="560" w:lineRule="exact"/>
        <w:ind w:left="560"/>
        <w:rPr>
          <w:rFonts w:ascii="宋体" w:hAnsi="宋体"/>
          <w:bCs/>
          <w:sz w:val="28"/>
          <w:szCs w:val="28"/>
        </w:rPr>
      </w:pPr>
      <w:r>
        <w:rPr>
          <w:rFonts w:ascii="宋体" w:hAnsi="宋体"/>
          <w:bCs/>
          <w:sz w:val="28"/>
          <w:szCs w:val="28"/>
        </w:rPr>
        <w:t>4.有依法缴纳税收和社会保障资金的良好记录；</w:t>
      </w:r>
    </w:p>
    <w:p>
      <w:pPr>
        <w:spacing w:line="560" w:lineRule="exact"/>
        <w:ind w:firstLine="548" w:firstLineChars="200"/>
        <w:rPr>
          <w:rFonts w:ascii="宋体" w:hAnsi="宋体"/>
          <w:bCs/>
          <w:sz w:val="28"/>
          <w:szCs w:val="28"/>
        </w:rPr>
      </w:pPr>
      <w:r>
        <w:rPr>
          <w:rFonts w:ascii="宋体" w:hAnsi="宋体"/>
          <w:bCs/>
          <w:sz w:val="28"/>
          <w:szCs w:val="28"/>
        </w:rPr>
        <w:t>5.参加政府采购活动前3年内，在经营活动中没有重大违法记录；</w:t>
      </w:r>
    </w:p>
    <w:p>
      <w:pPr>
        <w:spacing w:line="560" w:lineRule="exact"/>
        <w:ind w:firstLine="548" w:firstLineChars="200"/>
        <w:rPr>
          <w:rFonts w:ascii="宋体" w:hAnsi="宋体"/>
          <w:bCs/>
          <w:sz w:val="28"/>
          <w:szCs w:val="28"/>
        </w:rPr>
      </w:pPr>
      <w:r>
        <w:rPr>
          <w:rFonts w:ascii="宋体" w:hAnsi="宋体"/>
          <w:bCs/>
          <w:sz w:val="28"/>
          <w:szCs w:val="28"/>
        </w:rPr>
        <w:t>6.法律、行政法规规定的其他条件。</w:t>
      </w:r>
    </w:p>
    <w:p>
      <w:pPr>
        <w:snapToGrid w:val="0"/>
        <w:spacing w:line="560" w:lineRule="exact"/>
        <w:ind w:firstLine="548" w:firstLineChars="200"/>
        <w:rPr>
          <w:rFonts w:ascii="宋体" w:hAnsi="宋体"/>
          <w:bCs/>
          <w:sz w:val="28"/>
          <w:szCs w:val="28"/>
        </w:rPr>
      </w:pPr>
      <w:r>
        <w:rPr>
          <w:rFonts w:ascii="宋体" w:hAnsi="宋体"/>
          <w:bCs/>
          <w:sz w:val="28"/>
          <w:szCs w:val="28"/>
        </w:rPr>
        <w:t>（二）</w:t>
      </w:r>
      <w:r>
        <w:rPr>
          <w:rFonts w:hint="eastAsia" w:ascii="宋体" w:hAnsi="宋体"/>
          <w:bCs/>
          <w:sz w:val="28"/>
          <w:szCs w:val="28"/>
        </w:rPr>
        <w:t>国有企业；事业单位；军队单位；成立三年以上的非外资（含港澳台）独资企业或外资控股企业。</w:t>
      </w:r>
    </w:p>
    <w:p>
      <w:pPr>
        <w:tabs>
          <w:tab w:val="left" w:pos="0"/>
        </w:tabs>
        <w:spacing w:line="560" w:lineRule="exact"/>
        <w:ind w:firstLine="548" w:firstLineChars="200"/>
        <w:rPr>
          <w:rFonts w:ascii="宋体" w:hAnsi="宋体"/>
          <w:bCs/>
          <w:sz w:val="28"/>
          <w:szCs w:val="28"/>
        </w:rPr>
      </w:pPr>
      <w:r>
        <w:rPr>
          <w:rFonts w:ascii="宋体" w:hAnsi="宋体"/>
          <w:bCs/>
          <w:sz w:val="28"/>
          <w:szCs w:val="28"/>
        </w:rPr>
        <w:t>（</w:t>
      </w:r>
      <w:r>
        <w:rPr>
          <w:rFonts w:hint="eastAsia" w:ascii="宋体" w:hAnsi="宋体"/>
          <w:bCs/>
          <w:sz w:val="28"/>
          <w:szCs w:val="28"/>
        </w:rPr>
        <w:t>三</w:t>
      </w:r>
      <w:r>
        <w:rPr>
          <w:rFonts w:ascii="宋体" w:hAnsi="宋体"/>
          <w:bCs/>
          <w:sz w:val="28"/>
          <w:szCs w:val="28"/>
        </w:rPr>
        <w:t>）单位负责人为同一人或者存在直接控股、管理关系的不同供应商，不得同时参加同一包的采购活动。生产型企业</w:t>
      </w:r>
      <w:r>
        <w:rPr>
          <w:rFonts w:hint="eastAsia" w:ascii="宋体" w:hAnsi="宋体"/>
          <w:bCs/>
          <w:sz w:val="28"/>
          <w:szCs w:val="28"/>
        </w:rPr>
        <w:t>的</w:t>
      </w:r>
      <w:r>
        <w:rPr>
          <w:rFonts w:ascii="宋体" w:hAnsi="宋体"/>
          <w:bCs/>
          <w:sz w:val="28"/>
          <w:szCs w:val="28"/>
        </w:rPr>
        <w:t>生产场</w:t>
      </w:r>
      <w:r>
        <w:rPr>
          <w:rFonts w:hint="eastAsia" w:ascii="宋体" w:hAnsi="宋体"/>
          <w:bCs/>
          <w:sz w:val="28"/>
          <w:szCs w:val="28"/>
        </w:rPr>
        <w:t>经营地址或者注册登记地址</w:t>
      </w:r>
      <w:r>
        <w:rPr>
          <w:rFonts w:ascii="宋体" w:hAnsi="宋体"/>
          <w:bCs/>
          <w:sz w:val="28"/>
          <w:szCs w:val="28"/>
        </w:rPr>
        <w:t>为同一地址的，</w:t>
      </w:r>
      <w:r>
        <w:rPr>
          <w:rFonts w:hint="eastAsia" w:ascii="宋体" w:hAnsi="宋体" w:cs="宋体"/>
          <w:bCs/>
          <w:sz w:val="28"/>
          <w:szCs w:val="28"/>
          <w:lang w:bidi="ar"/>
        </w:rPr>
        <w:t>非国有销售型企业的股东和管理人员（法定代表人、董事、监事）之间存在近亲属、相互占股等关联的，也不得</w:t>
      </w:r>
      <w:r>
        <w:rPr>
          <w:rFonts w:ascii="宋体" w:hAnsi="宋体"/>
          <w:bCs/>
          <w:sz w:val="28"/>
          <w:szCs w:val="28"/>
        </w:rPr>
        <w:t>同时参加同一包的采购活动</w:t>
      </w:r>
      <w:r>
        <w:rPr>
          <w:rFonts w:hint="eastAsia" w:ascii="宋体" w:hAnsi="宋体"/>
          <w:bCs/>
          <w:sz w:val="28"/>
          <w:szCs w:val="28"/>
        </w:rPr>
        <w:t>。近亲属</w:t>
      </w:r>
      <w:r>
        <w:rPr>
          <w:rFonts w:ascii="宋体" w:hAnsi="宋体"/>
          <w:bCs/>
          <w:sz w:val="28"/>
          <w:szCs w:val="28"/>
        </w:rPr>
        <w:t>指</w:t>
      </w:r>
      <w:r>
        <w:rPr>
          <w:rFonts w:hint="eastAsia" w:ascii="宋体" w:hAnsi="宋体"/>
          <w:bCs/>
          <w:sz w:val="28"/>
          <w:szCs w:val="28"/>
        </w:rPr>
        <w:t>夫妻</w:t>
      </w:r>
      <w:r>
        <w:rPr>
          <w:rFonts w:ascii="宋体" w:hAnsi="宋体"/>
          <w:bCs/>
          <w:sz w:val="28"/>
          <w:szCs w:val="28"/>
        </w:rPr>
        <w:t>、直系血亲、三代以内旁系血亲或</w:t>
      </w:r>
      <w:r>
        <w:rPr>
          <w:rFonts w:hint="eastAsia" w:ascii="宋体" w:hAnsi="宋体"/>
          <w:bCs/>
          <w:sz w:val="28"/>
          <w:szCs w:val="28"/>
        </w:rPr>
        <w:t>近</w:t>
      </w:r>
      <w:r>
        <w:rPr>
          <w:rFonts w:ascii="宋体" w:hAnsi="宋体"/>
          <w:bCs/>
          <w:sz w:val="28"/>
          <w:szCs w:val="28"/>
        </w:rPr>
        <w:t>姻</w:t>
      </w:r>
      <w:r>
        <w:rPr>
          <w:rFonts w:hint="eastAsia" w:ascii="宋体" w:hAnsi="宋体"/>
          <w:bCs/>
          <w:sz w:val="28"/>
          <w:szCs w:val="28"/>
        </w:rPr>
        <w:t>亲</w:t>
      </w:r>
      <w:r>
        <w:rPr>
          <w:rFonts w:ascii="宋体" w:hAnsi="宋体"/>
          <w:bCs/>
          <w:sz w:val="28"/>
          <w:szCs w:val="28"/>
        </w:rPr>
        <w:t>关系。</w:t>
      </w:r>
    </w:p>
    <w:p>
      <w:pPr>
        <w:spacing w:line="560" w:lineRule="exact"/>
        <w:ind w:firstLine="548" w:firstLineChars="200"/>
        <w:rPr>
          <w:rFonts w:ascii="宋体" w:hAnsi="宋体"/>
          <w:bCs/>
          <w:sz w:val="28"/>
          <w:szCs w:val="28"/>
        </w:rPr>
      </w:pPr>
      <w:r>
        <w:rPr>
          <w:rFonts w:ascii="宋体" w:hAnsi="宋体"/>
          <w:bCs/>
          <w:sz w:val="28"/>
          <w:szCs w:val="28"/>
        </w:rPr>
        <w:t>（</w:t>
      </w:r>
      <w:r>
        <w:rPr>
          <w:rFonts w:hint="eastAsia" w:ascii="宋体" w:hAnsi="宋体"/>
          <w:bCs/>
          <w:sz w:val="28"/>
          <w:szCs w:val="28"/>
        </w:rPr>
        <w:t>四</w:t>
      </w:r>
      <w:r>
        <w:rPr>
          <w:rFonts w:ascii="宋体" w:hAnsi="宋体"/>
          <w:bCs/>
          <w:sz w:val="28"/>
          <w:szCs w:val="28"/>
        </w:rPr>
        <w:t>）</w:t>
      </w:r>
      <w:r>
        <w:rPr>
          <w:rFonts w:hint="eastAsia" w:ascii="宋体" w:hAnsi="宋体"/>
          <w:bCs/>
          <w:sz w:val="28"/>
          <w:szCs w:val="28"/>
        </w:rPr>
        <w:t>未被列入政府采购严重违法失信行为记录名单、军队供应商暂停名单，未在军队采购失信名单禁入处罚期内，未被“信用中国”网站列入失信被执行人、重大税收违法案件当事人。</w:t>
      </w:r>
    </w:p>
    <w:p>
      <w:pPr>
        <w:tabs>
          <w:tab w:val="left" w:pos="0"/>
          <w:tab w:val="left" w:pos="1122"/>
        </w:tabs>
        <w:spacing w:before="194" w:beforeLines="50" w:after="194" w:afterLines="50" w:line="560" w:lineRule="exact"/>
        <w:ind w:left="408" w:leftChars="200"/>
        <w:rPr>
          <w:rFonts w:eastAsia="黑体"/>
          <w:bCs/>
          <w:sz w:val="28"/>
          <w:szCs w:val="28"/>
        </w:rPr>
      </w:pPr>
      <w:r>
        <w:rPr>
          <w:rFonts w:hint="eastAsia" w:eastAsia="黑体"/>
          <w:bCs/>
          <w:sz w:val="28"/>
          <w:szCs w:val="28"/>
        </w:rPr>
        <w:t>五、招标文件申领时间、地点、方式</w:t>
      </w:r>
    </w:p>
    <w:p>
      <w:pPr>
        <w:spacing w:line="560" w:lineRule="exact"/>
        <w:ind w:firstLine="548" w:firstLineChars="200"/>
        <w:rPr>
          <w:rFonts w:ascii="宋体" w:hAnsi="宋体"/>
          <w:bCs/>
          <w:sz w:val="28"/>
          <w:szCs w:val="28"/>
        </w:rPr>
      </w:pPr>
      <w:r>
        <w:rPr>
          <w:rFonts w:ascii="宋体" w:hAnsi="宋体"/>
          <w:bCs/>
          <w:sz w:val="28"/>
          <w:szCs w:val="28"/>
        </w:rPr>
        <w:t>（一）</w:t>
      </w:r>
      <w:r>
        <w:rPr>
          <w:rFonts w:hint="eastAsia" w:ascii="宋体" w:hAnsi="宋体"/>
          <w:bCs/>
          <w:sz w:val="28"/>
          <w:szCs w:val="28"/>
        </w:rPr>
        <w:t>申领</w:t>
      </w:r>
      <w:r>
        <w:rPr>
          <w:rFonts w:ascii="宋体" w:hAnsi="宋体"/>
          <w:bCs/>
          <w:sz w:val="28"/>
          <w:szCs w:val="28"/>
        </w:rPr>
        <w:t>时间</w:t>
      </w:r>
      <w:r>
        <w:rPr>
          <w:rFonts w:hint="eastAsia" w:ascii="宋体" w:hAnsi="宋体"/>
          <w:bCs/>
          <w:sz w:val="28"/>
          <w:szCs w:val="28"/>
        </w:rPr>
        <w:t>：</w:t>
      </w:r>
      <w:r>
        <w:rPr>
          <w:rFonts w:hint="eastAsia" w:ascii="宋体" w:hAnsi="宋体"/>
          <w:sz w:val="28"/>
          <w:szCs w:val="28"/>
          <w:u w:val="single"/>
          <w:lang w:val="en-US" w:eastAsia="zh-CN"/>
        </w:rPr>
        <w:t>2024</w:t>
      </w:r>
      <w:r>
        <w:rPr>
          <w:rFonts w:ascii="宋体" w:hAnsi="宋体"/>
          <w:sz w:val="28"/>
          <w:szCs w:val="28"/>
        </w:rPr>
        <w:t>年</w:t>
      </w:r>
      <w:r>
        <w:rPr>
          <w:rFonts w:hint="eastAsia" w:ascii="宋体" w:hAnsi="宋体"/>
          <w:sz w:val="28"/>
          <w:szCs w:val="28"/>
          <w:u w:val="single"/>
          <w:lang w:val="en-US" w:eastAsia="zh-CN"/>
        </w:rPr>
        <w:t>4</w:t>
      </w:r>
      <w:r>
        <w:rPr>
          <w:rFonts w:ascii="宋体" w:hAnsi="宋体"/>
          <w:sz w:val="28"/>
          <w:szCs w:val="28"/>
        </w:rPr>
        <w:t>月</w:t>
      </w:r>
      <w:r>
        <w:rPr>
          <w:rFonts w:hint="eastAsia" w:ascii="宋体" w:hAnsi="宋体"/>
          <w:sz w:val="28"/>
          <w:szCs w:val="28"/>
          <w:u w:val="single"/>
          <w:lang w:val="en-US" w:eastAsia="zh-CN"/>
        </w:rPr>
        <w:t>3</w:t>
      </w:r>
      <w:r>
        <w:rPr>
          <w:rFonts w:ascii="宋体" w:hAnsi="宋体"/>
          <w:sz w:val="28"/>
          <w:szCs w:val="28"/>
        </w:rPr>
        <w:t>日至</w:t>
      </w:r>
      <w:r>
        <w:rPr>
          <w:rFonts w:hint="eastAsia" w:ascii="宋体" w:hAnsi="宋体"/>
          <w:sz w:val="28"/>
          <w:szCs w:val="28"/>
          <w:u w:val="single"/>
          <w:lang w:val="en-US" w:eastAsia="zh-CN"/>
        </w:rPr>
        <w:t>4</w:t>
      </w:r>
      <w:r>
        <w:rPr>
          <w:rFonts w:ascii="宋体" w:hAnsi="宋体"/>
          <w:sz w:val="28"/>
          <w:szCs w:val="28"/>
        </w:rPr>
        <w:t>月</w:t>
      </w:r>
      <w:r>
        <w:rPr>
          <w:rFonts w:hint="eastAsia" w:ascii="宋体" w:hAnsi="宋体"/>
          <w:sz w:val="28"/>
          <w:szCs w:val="28"/>
          <w:u w:val="single"/>
          <w:lang w:val="en-US" w:eastAsia="zh-CN"/>
        </w:rPr>
        <w:t>10</w:t>
      </w:r>
      <w:r>
        <w:rPr>
          <w:rFonts w:ascii="宋体" w:hAnsi="宋体"/>
          <w:sz w:val="28"/>
          <w:szCs w:val="28"/>
        </w:rPr>
        <w:t>日</w:t>
      </w:r>
      <w:r>
        <w:rPr>
          <w:rFonts w:hint="eastAsia" w:ascii="宋体" w:hAnsi="宋体"/>
          <w:bCs/>
          <w:sz w:val="28"/>
          <w:szCs w:val="28"/>
        </w:rPr>
        <w:t>，</w:t>
      </w:r>
      <w:r>
        <w:rPr>
          <w:rFonts w:hint="eastAsia" w:ascii="宋体" w:hAnsi="宋体"/>
          <w:bCs/>
          <w:sz w:val="28"/>
          <w:szCs w:val="28"/>
          <w:lang w:val="en-US" w:eastAsia="zh-CN"/>
        </w:rPr>
        <w:t>8:00-18:00</w:t>
      </w:r>
      <w:r>
        <w:rPr>
          <w:rFonts w:hint="eastAsia" w:ascii="宋体" w:hAnsi="宋体"/>
          <w:bCs/>
          <w:sz w:val="28"/>
          <w:szCs w:val="28"/>
        </w:rPr>
        <w:t>。</w:t>
      </w:r>
    </w:p>
    <w:p>
      <w:pPr>
        <w:tabs>
          <w:tab w:val="left" w:pos="0"/>
        </w:tabs>
        <w:spacing w:line="560" w:lineRule="exact"/>
        <w:ind w:firstLine="548" w:firstLineChars="200"/>
        <w:rPr>
          <w:rFonts w:ascii="宋体" w:hAnsi="宋体"/>
          <w:bCs/>
          <w:sz w:val="28"/>
          <w:szCs w:val="28"/>
          <w:u w:val="single"/>
        </w:rPr>
      </w:pPr>
      <w:r>
        <w:rPr>
          <w:rFonts w:ascii="宋体" w:hAnsi="宋体"/>
          <w:bCs/>
          <w:sz w:val="28"/>
          <w:szCs w:val="28"/>
        </w:rPr>
        <w:t>（二）</w:t>
      </w:r>
      <w:r>
        <w:rPr>
          <w:rFonts w:hint="eastAsia" w:ascii="宋体" w:hAnsi="宋体"/>
          <w:bCs/>
          <w:sz w:val="28"/>
          <w:szCs w:val="28"/>
        </w:rPr>
        <w:t>申领</w:t>
      </w:r>
      <w:r>
        <w:rPr>
          <w:rFonts w:ascii="宋体" w:hAnsi="宋体"/>
          <w:bCs/>
          <w:sz w:val="28"/>
          <w:szCs w:val="28"/>
        </w:rPr>
        <w:t>地点：</w:t>
      </w:r>
      <w:r>
        <w:rPr>
          <w:rFonts w:hint="eastAsia"/>
          <w:sz w:val="28"/>
          <w:szCs w:val="28"/>
          <w:u w:val="single"/>
        </w:rPr>
        <w:t>投标人在招标人官网（</w:t>
      </w:r>
      <w:r>
        <w:fldChar w:fldCharType="begin"/>
      </w:r>
      <w:r>
        <w:instrText xml:space="preserve"> HYPERLINK "https://www.xqhospital.com.cn/" </w:instrText>
      </w:r>
      <w:r>
        <w:fldChar w:fldCharType="separate"/>
      </w:r>
      <w:r>
        <w:rPr>
          <w:rStyle w:val="48"/>
          <w:sz w:val="28"/>
          <w:szCs w:val="28"/>
        </w:rPr>
        <w:t>www.xqhospital.com.cn</w:t>
      </w:r>
      <w:r>
        <w:rPr>
          <w:rStyle w:val="48"/>
          <w:sz w:val="28"/>
          <w:szCs w:val="28"/>
        </w:rPr>
        <w:fldChar w:fldCharType="end"/>
      </w:r>
      <w:r>
        <w:rPr>
          <w:rFonts w:hint="eastAsia"/>
          <w:sz w:val="28"/>
          <w:szCs w:val="28"/>
          <w:u w:val="single"/>
        </w:rPr>
        <w:t>）自行下载招标文件</w:t>
      </w:r>
      <w:r>
        <w:rPr>
          <w:rFonts w:ascii="宋体" w:hAnsi="宋体"/>
          <w:bCs/>
          <w:sz w:val="28"/>
          <w:szCs w:val="28"/>
          <w:u w:val="single"/>
        </w:rPr>
        <w:t>。</w:t>
      </w:r>
    </w:p>
    <w:p>
      <w:pPr>
        <w:tabs>
          <w:tab w:val="left" w:pos="0"/>
        </w:tabs>
        <w:spacing w:line="560" w:lineRule="exact"/>
        <w:ind w:firstLine="548" w:firstLineChars="200"/>
        <w:rPr>
          <w:rFonts w:ascii="宋体" w:hAnsi="宋体"/>
          <w:bCs/>
          <w:sz w:val="28"/>
          <w:szCs w:val="28"/>
        </w:rPr>
      </w:pPr>
      <w:r>
        <w:rPr>
          <w:rFonts w:ascii="宋体" w:hAnsi="宋体"/>
          <w:bCs/>
          <w:sz w:val="28"/>
          <w:szCs w:val="28"/>
        </w:rPr>
        <w:t>（</w:t>
      </w:r>
      <w:r>
        <w:rPr>
          <w:rFonts w:hint="eastAsia" w:ascii="宋体" w:hAnsi="宋体"/>
          <w:bCs/>
          <w:sz w:val="28"/>
          <w:szCs w:val="28"/>
        </w:rPr>
        <w:t>三</w:t>
      </w:r>
      <w:r>
        <w:rPr>
          <w:rFonts w:ascii="宋体" w:hAnsi="宋体"/>
          <w:bCs/>
          <w:sz w:val="28"/>
          <w:szCs w:val="28"/>
        </w:rPr>
        <w:t>）</w:t>
      </w:r>
      <w:r>
        <w:rPr>
          <w:rFonts w:hint="eastAsia" w:ascii="宋体" w:hAnsi="宋体"/>
          <w:bCs/>
          <w:sz w:val="28"/>
          <w:szCs w:val="28"/>
        </w:rPr>
        <w:t>申领</w:t>
      </w:r>
      <w:r>
        <w:rPr>
          <w:rFonts w:ascii="宋体" w:hAnsi="宋体"/>
          <w:bCs/>
          <w:sz w:val="28"/>
          <w:szCs w:val="28"/>
        </w:rPr>
        <w:t>招标文件时需提供以下</w:t>
      </w:r>
      <w:r>
        <w:rPr>
          <w:rFonts w:hint="eastAsia" w:ascii="宋体" w:hAnsi="宋体"/>
          <w:bCs/>
          <w:sz w:val="28"/>
          <w:szCs w:val="28"/>
        </w:rPr>
        <w:t>资料：</w:t>
      </w:r>
    </w:p>
    <w:p>
      <w:pPr>
        <w:tabs>
          <w:tab w:val="left" w:pos="0"/>
        </w:tabs>
        <w:spacing w:line="560" w:lineRule="exact"/>
        <w:ind w:firstLine="548" w:firstLineChars="200"/>
        <w:rPr>
          <w:rFonts w:ascii="宋体" w:hAnsi="宋体"/>
          <w:sz w:val="28"/>
          <w:szCs w:val="28"/>
        </w:rPr>
      </w:pPr>
      <w:r>
        <w:rPr>
          <w:rFonts w:ascii="宋体" w:hAnsi="宋体"/>
          <w:sz w:val="28"/>
          <w:szCs w:val="28"/>
        </w:rPr>
        <w:t>1.</w:t>
      </w:r>
      <w:r>
        <w:rPr>
          <w:rFonts w:hint="eastAsia" w:ascii="宋体" w:hAnsi="宋体"/>
          <w:sz w:val="28"/>
          <w:szCs w:val="28"/>
        </w:rPr>
        <w:t>营业执照或事业单位法人证书复印件加盖公章</w:t>
      </w:r>
      <w:r>
        <w:rPr>
          <w:rFonts w:ascii="宋体" w:hAnsi="宋体"/>
          <w:sz w:val="28"/>
          <w:szCs w:val="28"/>
        </w:rPr>
        <w:t>(军队单位不需要提供)；</w:t>
      </w:r>
    </w:p>
    <w:p>
      <w:pPr>
        <w:tabs>
          <w:tab w:val="left" w:pos="0"/>
        </w:tabs>
        <w:spacing w:line="560" w:lineRule="exact"/>
        <w:ind w:firstLine="548" w:firstLineChars="200"/>
        <w:rPr>
          <w:rFonts w:ascii="宋体" w:hAnsi="宋体"/>
          <w:sz w:val="28"/>
          <w:szCs w:val="28"/>
        </w:rPr>
      </w:pPr>
      <w:r>
        <w:rPr>
          <w:rFonts w:ascii="宋体" w:hAnsi="宋体"/>
          <w:sz w:val="28"/>
          <w:szCs w:val="28"/>
        </w:rPr>
        <w:t>2.法定代表人资格证明书原件</w:t>
      </w:r>
      <w:r>
        <w:rPr>
          <w:rFonts w:hint="eastAsia" w:ascii="宋体" w:hAnsi="宋体"/>
          <w:sz w:val="28"/>
          <w:szCs w:val="28"/>
        </w:rPr>
        <w:t>扫描件</w:t>
      </w:r>
      <w:r>
        <w:rPr>
          <w:rFonts w:ascii="宋体" w:hAnsi="宋体"/>
          <w:sz w:val="28"/>
          <w:szCs w:val="28"/>
        </w:rPr>
        <w:t>；</w:t>
      </w:r>
    </w:p>
    <w:p>
      <w:pPr>
        <w:tabs>
          <w:tab w:val="left" w:pos="0"/>
        </w:tabs>
        <w:spacing w:line="560" w:lineRule="exact"/>
        <w:ind w:firstLine="548" w:firstLineChars="200"/>
        <w:rPr>
          <w:rFonts w:ascii="宋体" w:hAnsi="宋体"/>
          <w:sz w:val="28"/>
          <w:szCs w:val="28"/>
        </w:rPr>
      </w:pPr>
      <w:r>
        <w:rPr>
          <w:rFonts w:ascii="宋体" w:hAnsi="宋体"/>
          <w:sz w:val="28"/>
          <w:szCs w:val="28"/>
        </w:rPr>
        <w:t>3.法定代表人授权书原件</w:t>
      </w:r>
      <w:r>
        <w:rPr>
          <w:rFonts w:hint="eastAsia" w:ascii="宋体" w:hAnsi="宋体"/>
          <w:sz w:val="28"/>
          <w:szCs w:val="28"/>
        </w:rPr>
        <w:t>扫描件</w:t>
      </w:r>
      <w:r>
        <w:rPr>
          <w:rFonts w:ascii="宋体" w:hAnsi="宋体"/>
          <w:sz w:val="28"/>
          <w:szCs w:val="28"/>
        </w:rPr>
        <w:t>，授权代表身份证和授权代表在</w:t>
      </w:r>
      <w:r>
        <w:rPr>
          <w:rFonts w:hint="eastAsia" w:ascii="宋体" w:hAnsi="宋体"/>
          <w:sz w:val="28"/>
          <w:szCs w:val="28"/>
        </w:rPr>
        <w:t>标前4个月内（不含投标当月）连续3个月由投标供应商缴纳社保证明材料，代缴社保证明材料不予认可。</w:t>
      </w:r>
    </w:p>
    <w:p>
      <w:pPr>
        <w:spacing w:line="560" w:lineRule="exact"/>
        <w:ind w:firstLine="548" w:firstLineChars="200"/>
        <w:rPr>
          <w:rFonts w:ascii="宋体" w:hAnsi="宋体"/>
          <w:bCs/>
          <w:sz w:val="28"/>
          <w:szCs w:val="28"/>
        </w:rPr>
      </w:pPr>
      <w:r>
        <w:rPr>
          <w:rFonts w:ascii="宋体" w:hAnsi="宋体"/>
          <w:bCs/>
          <w:sz w:val="28"/>
          <w:szCs w:val="28"/>
        </w:rPr>
        <w:t>4.非外资</w:t>
      </w:r>
      <w:r>
        <w:rPr>
          <w:rFonts w:hint="eastAsia" w:ascii="宋体" w:hAnsi="宋体"/>
          <w:bCs/>
          <w:sz w:val="28"/>
          <w:szCs w:val="28"/>
        </w:rPr>
        <w:t>（含港澳台）独资</w:t>
      </w:r>
      <w:r>
        <w:rPr>
          <w:rFonts w:ascii="宋体" w:hAnsi="宋体"/>
          <w:bCs/>
          <w:sz w:val="28"/>
          <w:szCs w:val="28"/>
        </w:rPr>
        <w:t>企业或外资控股企业的书面声明</w:t>
      </w:r>
      <w:r>
        <w:rPr>
          <w:rFonts w:hint="eastAsia" w:ascii="宋体" w:hAnsi="宋体"/>
          <w:bCs/>
          <w:sz w:val="28"/>
          <w:szCs w:val="28"/>
        </w:rPr>
        <w:t>（企业提供，事业单位、军队单位不需要提供）</w:t>
      </w:r>
      <w:r>
        <w:rPr>
          <w:rFonts w:ascii="宋体" w:hAnsi="宋体"/>
          <w:bCs/>
          <w:sz w:val="28"/>
          <w:szCs w:val="28"/>
        </w:rPr>
        <w:t>；</w:t>
      </w:r>
    </w:p>
    <w:p>
      <w:pPr>
        <w:spacing w:line="560" w:lineRule="exact"/>
        <w:ind w:firstLine="548" w:firstLineChars="200"/>
        <w:rPr>
          <w:rFonts w:ascii="宋体" w:hAnsi="宋体"/>
          <w:bCs/>
          <w:sz w:val="28"/>
          <w:szCs w:val="28"/>
        </w:rPr>
      </w:pPr>
      <w:r>
        <w:rPr>
          <w:rFonts w:ascii="宋体" w:hAnsi="宋体"/>
          <w:bCs/>
          <w:sz w:val="28"/>
          <w:szCs w:val="28"/>
        </w:rPr>
        <w:t>5.投标供应商主要股东或出资人信息</w:t>
      </w:r>
      <w:r>
        <w:rPr>
          <w:rFonts w:hint="eastAsia" w:ascii="宋体" w:hAnsi="宋体"/>
          <w:bCs/>
          <w:sz w:val="28"/>
          <w:szCs w:val="28"/>
        </w:rPr>
        <w:t>；</w:t>
      </w:r>
    </w:p>
    <w:p>
      <w:pPr>
        <w:snapToGrid w:val="0"/>
        <w:spacing w:line="560" w:lineRule="exact"/>
        <w:ind w:firstLine="548" w:firstLineChars="200"/>
        <w:rPr>
          <w:rFonts w:ascii="宋体" w:hAnsi="宋体"/>
          <w:bCs/>
          <w:sz w:val="28"/>
          <w:szCs w:val="28"/>
        </w:rPr>
      </w:pPr>
      <w:r>
        <w:rPr>
          <w:rFonts w:ascii="宋体" w:hAnsi="宋体"/>
          <w:bCs/>
          <w:sz w:val="28"/>
          <w:szCs w:val="28"/>
        </w:rPr>
        <w:t>6.未被列入政府采购严重违法失信行为记录名单、军队供应商暂停名单，未在军队采购失信名单禁入处罚期内，未被“信用中国”网站列入失信被执行人、重大税收违法案件当事人</w:t>
      </w:r>
      <w:r>
        <w:rPr>
          <w:rFonts w:hint="eastAsia" w:ascii="宋体" w:hAnsi="宋体"/>
          <w:bCs/>
          <w:sz w:val="28"/>
          <w:szCs w:val="28"/>
        </w:rPr>
        <w:t>的承诺书</w:t>
      </w:r>
      <w:r>
        <w:rPr>
          <w:rFonts w:ascii="宋体" w:hAnsi="宋体"/>
          <w:bCs/>
          <w:sz w:val="28"/>
          <w:szCs w:val="28"/>
        </w:rPr>
        <w:t>；</w:t>
      </w:r>
    </w:p>
    <w:p>
      <w:pPr>
        <w:numPr>
          <w:ilvl w:val="0"/>
          <w:numId w:val="1"/>
        </w:numPr>
        <w:tabs>
          <w:tab w:val="left" w:pos="0"/>
        </w:tabs>
        <w:spacing w:line="560" w:lineRule="atLeast"/>
        <w:ind w:firstLine="548" w:firstLineChars="200"/>
        <w:rPr>
          <w:rFonts w:ascii="宋体" w:hAnsi="宋体"/>
          <w:bCs/>
          <w:sz w:val="28"/>
          <w:szCs w:val="28"/>
        </w:rPr>
      </w:pPr>
      <w:r>
        <w:rPr>
          <w:rFonts w:hint="eastAsia" w:ascii="宋体" w:hAnsi="宋体"/>
          <w:bCs/>
          <w:sz w:val="28"/>
          <w:szCs w:val="28"/>
        </w:rPr>
        <w:t>申领</w:t>
      </w:r>
      <w:r>
        <w:rPr>
          <w:rFonts w:ascii="宋体" w:hAnsi="宋体"/>
          <w:bCs/>
          <w:sz w:val="28"/>
          <w:szCs w:val="28"/>
        </w:rPr>
        <w:t>方式</w:t>
      </w:r>
    </w:p>
    <w:p>
      <w:pPr>
        <w:tabs>
          <w:tab w:val="left" w:pos="0"/>
        </w:tabs>
        <w:adjustRightInd w:val="0"/>
        <w:snapToGrid w:val="0"/>
        <w:spacing w:line="560" w:lineRule="exact"/>
        <w:ind w:firstLine="548" w:firstLineChars="200"/>
        <w:rPr>
          <w:sz w:val="28"/>
          <w:szCs w:val="28"/>
        </w:rPr>
      </w:pPr>
      <w:r>
        <w:rPr>
          <w:rFonts w:hint="eastAsia" w:cs="Times New Roman"/>
          <w:sz w:val="28"/>
          <w:szCs w:val="28"/>
        </w:rPr>
        <w:t>本项目采取网上发售方式。投标人自行在</w:t>
      </w:r>
      <w:r>
        <w:rPr>
          <w:rFonts w:ascii="Times New Roman" w:hAnsi="Times New Roman" w:cs="Times New Roman"/>
          <w:sz w:val="28"/>
          <w:szCs w:val="28"/>
          <w:lang w:val="zh-CN"/>
        </w:rPr>
        <w:t>医院官网</w:t>
      </w:r>
      <w:r>
        <w:rPr>
          <w:rFonts w:ascii="Times New Roman" w:hAnsi="Times New Roman" w:cs="Times New Roman"/>
          <w:sz w:val="28"/>
          <w:szCs w:val="28"/>
        </w:rPr>
        <w:t>（https://www.xqhospital.com.cn/）</w:t>
      </w:r>
      <w:r>
        <w:rPr>
          <w:rFonts w:hint="eastAsia" w:ascii="Times New Roman" w:hAnsi="Times New Roman" w:cs="Times New Roman"/>
          <w:sz w:val="28"/>
          <w:szCs w:val="28"/>
        </w:rPr>
        <w:t>下载，无论下载与否均视为投标人知晓全部招标信息。投标人</w:t>
      </w:r>
      <w:r>
        <w:rPr>
          <w:rFonts w:hint="eastAsia" w:cs="Times New Roman"/>
          <w:sz w:val="28"/>
          <w:szCs w:val="28"/>
        </w:rPr>
        <w:t>采取发送</w:t>
      </w:r>
      <w:r>
        <w:rPr>
          <w:rFonts w:cs="Times New Roman"/>
          <w:sz w:val="28"/>
          <w:szCs w:val="28"/>
        </w:rPr>
        <w:t>电子邮件</w:t>
      </w:r>
      <w:r>
        <w:rPr>
          <w:rFonts w:hint="eastAsia" w:cs="Times New Roman"/>
          <w:sz w:val="28"/>
          <w:szCs w:val="28"/>
        </w:rPr>
        <w:t>方式递交报名资料，邮件主题：项目名称</w:t>
      </w:r>
      <w:r>
        <w:rPr>
          <w:rFonts w:cs="Times New Roman"/>
          <w:sz w:val="28"/>
          <w:szCs w:val="28"/>
        </w:rPr>
        <w:t>+</w:t>
      </w:r>
      <w:r>
        <w:rPr>
          <w:rFonts w:hint="eastAsia" w:cs="Times New Roman"/>
          <w:sz w:val="28"/>
          <w:szCs w:val="28"/>
        </w:rPr>
        <w:t>项目编号</w:t>
      </w:r>
      <w:r>
        <w:rPr>
          <w:rFonts w:cs="Times New Roman"/>
          <w:sz w:val="28"/>
          <w:szCs w:val="28"/>
        </w:rPr>
        <w:t>+</w:t>
      </w:r>
      <w:r>
        <w:rPr>
          <w:rFonts w:hint="eastAsia" w:cs="Times New Roman"/>
          <w:sz w:val="28"/>
          <w:szCs w:val="28"/>
        </w:rPr>
        <w:t>公司名称+联系人+联系电话；邮件内容：列明公司名称、法定代表人或授权代表人</w:t>
      </w:r>
      <w:r>
        <w:rPr>
          <w:rFonts w:hint="eastAsia" w:cs="Times New Roman"/>
          <w:bCs/>
          <w:sz w:val="28"/>
          <w:szCs w:val="28"/>
        </w:rPr>
        <w:t>姓名</w:t>
      </w:r>
      <w:r>
        <w:rPr>
          <w:rFonts w:hint="eastAsia" w:cs="Times New Roman"/>
          <w:sz w:val="28"/>
          <w:szCs w:val="28"/>
        </w:rPr>
        <w:t>及</w:t>
      </w:r>
      <w:r>
        <w:rPr>
          <w:rFonts w:hint="eastAsia" w:cs="Times New Roman"/>
          <w:bCs/>
          <w:sz w:val="28"/>
          <w:szCs w:val="28"/>
        </w:rPr>
        <w:t>联系方式；</w:t>
      </w:r>
      <w:r>
        <w:rPr>
          <w:rFonts w:hint="eastAsia" w:cs="Times New Roman"/>
          <w:sz w:val="28"/>
          <w:szCs w:val="28"/>
        </w:rPr>
        <w:t>邮件附件：需采用</w:t>
      </w:r>
      <w:r>
        <w:rPr>
          <w:rFonts w:cs="Times New Roman"/>
          <w:sz w:val="28"/>
          <w:szCs w:val="28"/>
        </w:rPr>
        <w:t>A4</w:t>
      </w:r>
      <w:r>
        <w:rPr>
          <w:rFonts w:hint="eastAsia" w:cs="Times New Roman"/>
          <w:sz w:val="28"/>
          <w:szCs w:val="28"/>
        </w:rPr>
        <w:t>纸幅面，将报名材料加盖企业鲜章，按顺序制作成1个PDF格式文件，文件名称与主题一致，复印件扫描无效。报名</w:t>
      </w:r>
      <w:r>
        <w:rPr>
          <w:rFonts w:cs="Times New Roman"/>
          <w:sz w:val="28"/>
          <w:szCs w:val="28"/>
        </w:rPr>
        <w:t>材料</w:t>
      </w:r>
      <w:r>
        <w:rPr>
          <w:rFonts w:hint="eastAsia" w:cs="Times New Roman"/>
          <w:sz w:val="28"/>
          <w:szCs w:val="28"/>
        </w:rPr>
        <w:t>审核通过后，采购</w:t>
      </w:r>
      <w:r>
        <w:rPr>
          <w:rFonts w:cs="Times New Roman"/>
          <w:sz w:val="28"/>
          <w:szCs w:val="28"/>
        </w:rPr>
        <w:t>机构联系人</w:t>
      </w:r>
      <w:r>
        <w:rPr>
          <w:rFonts w:hint="eastAsia" w:cs="Times New Roman"/>
          <w:sz w:val="28"/>
          <w:szCs w:val="28"/>
        </w:rPr>
        <w:t>向供应商邮箱发送采购人投标保证金账户；审核未通过的，采购</w:t>
      </w:r>
      <w:r>
        <w:rPr>
          <w:rFonts w:cs="Times New Roman"/>
          <w:sz w:val="28"/>
          <w:szCs w:val="28"/>
        </w:rPr>
        <w:t>机构联系人</w:t>
      </w:r>
      <w:r>
        <w:rPr>
          <w:rFonts w:hint="eastAsia" w:cs="Times New Roman"/>
          <w:sz w:val="28"/>
          <w:szCs w:val="28"/>
        </w:rPr>
        <w:t>以</w:t>
      </w:r>
      <w:r>
        <w:rPr>
          <w:rFonts w:cs="Times New Roman"/>
          <w:sz w:val="28"/>
          <w:szCs w:val="28"/>
        </w:rPr>
        <w:t>邮件形式回复审核情况，供应商</w:t>
      </w:r>
      <w:r>
        <w:rPr>
          <w:rFonts w:hint="eastAsia" w:cs="Times New Roman"/>
          <w:sz w:val="28"/>
          <w:szCs w:val="28"/>
        </w:rPr>
        <w:t>可在招标文件申领时间内重新提交材料。采购机构</w:t>
      </w:r>
      <w:r>
        <w:rPr>
          <w:rFonts w:cs="Times New Roman"/>
          <w:sz w:val="28"/>
          <w:szCs w:val="28"/>
        </w:rPr>
        <w:t>邮箱：</w:t>
      </w:r>
      <w:r>
        <w:rPr>
          <w:rFonts w:hint="eastAsia" w:cs="Times New Roman"/>
          <w:sz w:val="28"/>
          <w:szCs w:val="28"/>
          <w:u w:val="single"/>
        </w:rPr>
        <w:t>xqyycgzx774929@163.com</w:t>
      </w:r>
      <w:r>
        <w:rPr>
          <w:rFonts w:hint="eastAsia" w:cs="Times New Roman"/>
          <w:sz w:val="28"/>
          <w:szCs w:val="28"/>
        </w:rPr>
        <w:t>。未按要求报名的供应商不得参与投标</w:t>
      </w:r>
      <w:r>
        <w:rPr>
          <w:rFonts w:hint="eastAsia"/>
          <w:sz w:val="28"/>
          <w:szCs w:val="28"/>
          <w:lang w:val="en-US" w:eastAsia="zh-CN"/>
        </w:rPr>
        <w:t>。</w:t>
      </w:r>
    </w:p>
    <w:p>
      <w:pPr>
        <w:tabs>
          <w:tab w:val="left" w:pos="0"/>
          <w:tab w:val="left" w:pos="1122"/>
        </w:tabs>
        <w:spacing w:before="194" w:beforeLines="50" w:after="194" w:afterLines="50" w:line="560" w:lineRule="atLeast"/>
        <w:ind w:left="408" w:leftChars="200"/>
        <w:rPr>
          <w:rFonts w:eastAsia="黑体"/>
          <w:bCs/>
          <w:sz w:val="28"/>
          <w:szCs w:val="28"/>
        </w:rPr>
      </w:pPr>
      <w:r>
        <w:rPr>
          <w:rFonts w:hint="eastAsia" w:eastAsia="黑体"/>
          <w:bCs/>
          <w:sz w:val="28"/>
          <w:szCs w:val="28"/>
        </w:rPr>
        <w:t>六、投标开始和截止时间及地点、方式</w:t>
      </w:r>
    </w:p>
    <w:p>
      <w:pPr>
        <w:numPr>
          <w:ilvl w:val="0"/>
          <w:numId w:val="0"/>
        </w:numPr>
        <w:spacing w:line="560" w:lineRule="atLeast"/>
        <w:ind w:left="0" w:leftChars="0" w:firstLine="548" w:firstLineChars="200"/>
        <w:rPr>
          <w:rFonts w:eastAsia="黑体"/>
          <w:bCs/>
          <w:sz w:val="28"/>
          <w:szCs w:val="28"/>
        </w:rPr>
      </w:pPr>
      <w:r>
        <w:rPr>
          <w:rFonts w:hint="eastAsia" w:ascii="宋体" w:hAnsi="宋体" w:eastAsia="宋体" w:cs="Times New Roman"/>
          <w:bCs/>
          <w:kern w:val="2"/>
          <w:sz w:val="28"/>
          <w:szCs w:val="28"/>
          <w:lang w:val="en-US" w:eastAsia="zh-CN" w:bidi="ar-SA"/>
        </w:rPr>
        <w:t>（一）</w:t>
      </w:r>
      <w:r>
        <w:rPr>
          <w:rFonts w:hint="eastAsia"/>
          <w:bCs/>
          <w:sz w:val="28"/>
          <w:szCs w:val="28"/>
        </w:rPr>
        <w:t>投标开始时间：</w:t>
      </w:r>
      <w:r>
        <w:rPr>
          <w:rFonts w:hint="eastAsia"/>
          <w:sz w:val="28"/>
          <w:szCs w:val="28"/>
          <w:u w:val="single"/>
          <w:lang w:val="en-US" w:eastAsia="zh-CN"/>
        </w:rPr>
        <w:t>2024</w:t>
      </w:r>
      <w:r>
        <w:rPr>
          <w:sz w:val="28"/>
          <w:szCs w:val="28"/>
        </w:rPr>
        <w:t>年</w:t>
      </w:r>
      <w:r>
        <w:rPr>
          <w:rFonts w:hint="eastAsia" w:ascii="宋体" w:hAnsi="宋体"/>
          <w:sz w:val="28"/>
          <w:szCs w:val="28"/>
          <w:u w:val="single"/>
          <w:lang w:val="en-US" w:eastAsia="zh-CN"/>
        </w:rPr>
        <w:t>4</w:t>
      </w:r>
      <w:r>
        <w:rPr>
          <w:sz w:val="28"/>
          <w:szCs w:val="28"/>
        </w:rPr>
        <w:t>月</w:t>
      </w:r>
      <w:r>
        <w:rPr>
          <w:rFonts w:hint="eastAsia" w:ascii="宋体" w:hAnsi="宋体"/>
          <w:sz w:val="28"/>
          <w:szCs w:val="28"/>
          <w:u w:val="single"/>
          <w:lang w:val="en-US" w:eastAsia="zh-CN"/>
        </w:rPr>
        <w:t>24</w:t>
      </w:r>
      <w:r>
        <w:rPr>
          <w:sz w:val="28"/>
          <w:szCs w:val="28"/>
        </w:rPr>
        <w:t>日</w:t>
      </w:r>
      <w:r>
        <w:rPr>
          <w:bCs/>
          <w:sz w:val="28"/>
          <w:szCs w:val="28"/>
          <w:u w:val="single"/>
        </w:rPr>
        <w:t xml:space="preserve"> </w:t>
      </w:r>
      <w:r>
        <w:rPr>
          <w:rFonts w:hint="eastAsia"/>
          <w:bCs/>
          <w:sz w:val="28"/>
          <w:szCs w:val="28"/>
          <w:u w:val="single"/>
          <w:lang w:val="en-US" w:eastAsia="zh-CN"/>
        </w:rPr>
        <w:t>9</w:t>
      </w:r>
      <w:r>
        <w:rPr>
          <w:bCs/>
          <w:sz w:val="28"/>
          <w:szCs w:val="28"/>
          <w:u w:val="single"/>
        </w:rPr>
        <w:t xml:space="preserve"> </w:t>
      </w:r>
      <w:r>
        <w:rPr>
          <w:rFonts w:hint="eastAsia"/>
          <w:bCs/>
          <w:sz w:val="28"/>
          <w:szCs w:val="28"/>
        </w:rPr>
        <w:t>时</w:t>
      </w:r>
      <w:r>
        <w:rPr>
          <w:bCs/>
          <w:sz w:val="28"/>
          <w:szCs w:val="28"/>
          <w:u w:val="single"/>
        </w:rPr>
        <w:t xml:space="preserve"> </w:t>
      </w:r>
      <w:r>
        <w:rPr>
          <w:rFonts w:hint="eastAsia"/>
          <w:bCs/>
          <w:sz w:val="28"/>
          <w:szCs w:val="28"/>
          <w:u w:val="single"/>
          <w:lang w:val="en-US" w:eastAsia="zh-CN"/>
        </w:rPr>
        <w:t>00</w:t>
      </w:r>
      <w:r>
        <w:rPr>
          <w:bCs/>
          <w:sz w:val="28"/>
          <w:szCs w:val="28"/>
          <w:u w:val="single"/>
        </w:rPr>
        <w:t xml:space="preserve"> </w:t>
      </w:r>
      <w:r>
        <w:rPr>
          <w:rFonts w:hint="eastAsia"/>
          <w:bCs/>
          <w:sz w:val="28"/>
          <w:szCs w:val="28"/>
        </w:rPr>
        <w:t>分（北京时间）。</w:t>
      </w:r>
    </w:p>
    <w:p>
      <w:pPr>
        <w:numPr>
          <w:ilvl w:val="0"/>
          <w:numId w:val="0"/>
        </w:numPr>
        <w:spacing w:line="560" w:lineRule="exact"/>
        <w:ind w:left="0" w:leftChars="0" w:firstLine="548" w:firstLineChars="200"/>
        <w:rPr>
          <w:bCs/>
          <w:sz w:val="28"/>
          <w:szCs w:val="28"/>
        </w:rPr>
      </w:pPr>
      <w:r>
        <w:rPr>
          <w:rFonts w:hint="eastAsia" w:ascii="宋体" w:hAnsi="宋体" w:eastAsia="宋体" w:cs="Times New Roman"/>
          <w:bCs/>
          <w:kern w:val="2"/>
          <w:sz w:val="28"/>
          <w:szCs w:val="28"/>
          <w:lang w:val="en-US" w:eastAsia="zh-CN" w:bidi="ar-SA"/>
        </w:rPr>
        <w:t>（二）</w:t>
      </w:r>
      <w:r>
        <w:rPr>
          <w:rFonts w:hint="eastAsia"/>
          <w:bCs/>
          <w:sz w:val="28"/>
          <w:szCs w:val="28"/>
        </w:rPr>
        <w:t>投标截止时间：</w:t>
      </w:r>
      <w:r>
        <w:rPr>
          <w:rFonts w:hint="eastAsia"/>
          <w:sz w:val="28"/>
          <w:szCs w:val="28"/>
          <w:u w:val="single"/>
          <w:lang w:val="en-US" w:eastAsia="zh-CN"/>
        </w:rPr>
        <w:t>2024</w:t>
      </w:r>
      <w:r>
        <w:rPr>
          <w:sz w:val="28"/>
          <w:szCs w:val="28"/>
        </w:rPr>
        <w:t>年</w:t>
      </w:r>
      <w:r>
        <w:rPr>
          <w:rFonts w:hint="eastAsia" w:ascii="宋体" w:hAnsi="宋体"/>
          <w:sz w:val="28"/>
          <w:szCs w:val="28"/>
          <w:u w:val="single"/>
          <w:lang w:val="en-US" w:eastAsia="zh-CN"/>
        </w:rPr>
        <w:t>4</w:t>
      </w:r>
      <w:r>
        <w:rPr>
          <w:sz w:val="28"/>
          <w:szCs w:val="28"/>
        </w:rPr>
        <w:t>月</w:t>
      </w:r>
      <w:r>
        <w:rPr>
          <w:rFonts w:hint="eastAsia" w:ascii="宋体" w:hAnsi="宋体"/>
          <w:sz w:val="28"/>
          <w:szCs w:val="28"/>
          <w:u w:val="single"/>
          <w:lang w:val="en-US" w:eastAsia="zh-CN"/>
        </w:rPr>
        <w:t>24</w:t>
      </w:r>
      <w:r>
        <w:rPr>
          <w:sz w:val="28"/>
          <w:szCs w:val="28"/>
        </w:rPr>
        <w:t>日</w:t>
      </w:r>
      <w:r>
        <w:rPr>
          <w:bCs/>
          <w:sz w:val="28"/>
          <w:szCs w:val="28"/>
          <w:u w:val="single"/>
        </w:rPr>
        <w:t xml:space="preserve"> </w:t>
      </w:r>
      <w:r>
        <w:rPr>
          <w:rFonts w:hint="eastAsia"/>
          <w:bCs/>
          <w:sz w:val="28"/>
          <w:szCs w:val="28"/>
          <w:u w:val="single"/>
          <w:lang w:val="en-US" w:eastAsia="zh-CN"/>
        </w:rPr>
        <w:t>9</w:t>
      </w:r>
      <w:r>
        <w:rPr>
          <w:bCs/>
          <w:sz w:val="28"/>
          <w:szCs w:val="28"/>
          <w:u w:val="single"/>
        </w:rPr>
        <w:t xml:space="preserve"> </w:t>
      </w:r>
      <w:r>
        <w:rPr>
          <w:rFonts w:hint="eastAsia"/>
          <w:bCs/>
          <w:sz w:val="28"/>
          <w:szCs w:val="28"/>
        </w:rPr>
        <w:t>时</w:t>
      </w:r>
      <w:r>
        <w:rPr>
          <w:bCs/>
          <w:sz w:val="28"/>
          <w:szCs w:val="28"/>
          <w:u w:val="single"/>
        </w:rPr>
        <w:t xml:space="preserve"> </w:t>
      </w:r>
      <w:r>
        <w:rPr>
          <w:rFonts w:hint="eastAsia"/>
          <w:bCs/>
          <w:sz w:val="28"/>
          <w:szCs w:val="28"/>
          <w:u w:val="single"/>
          <w:lang w:val="en-US" w:eastAsia="zh-CN"/>
        </w:rPr>
        <w:t>30</w:t>
      </w:r>
      <w:r>
        <w:rPr>
          <w:bCs/>
          <w:sz w:val="28"/>
          <w:szCs w:val="28"/>
          <w:u w:val="single"/>
        </w:rPr>
        <w:t xml:space="preserve"> </w:t>
      </w:r>
      <w:r>
        <w:rPr>
          <w:rFonts w:hint="eastAsia"/>
          <w:bCs/>
          <w:sz w:val="28"/>
          <w:szCs w:val="28"/>
        </w:rPr>
        <w:t>分（北京时间）。</w:t>
      </w:r>
    </w:p>
    <w:p>
      <w:pPr>
        <w:numPr>
          <w:ilvl w:val="255"/>
          <w:numId w:val="0"/>
        </w:numPr>
        <w:spacing w:line="560" w:lineRule="exact"/>
        <w:ind w:firstLine="548" w:firstLineChars="200"/>
        <w:rPr>
          <w:bCs/>
          <w:sz w:val="28"/>
          <w:szCs w:val="28"/>
        </w:rPr>
      </w:pPr>
      <w:r>
        <w:rPr>
          <w:rFonts w:hint="eastAsia" w:ascii="Times New Roman" w:hAnsi="Times New Roman" w:eastAsia="仿宋_GB2312" w:cs="Times New Roman"/>
          <w:bCs/>
          <w:kern w:val="0"/>
          <w:sz w:val="28"/>
          <w:szCs w:val="28"/>
          <w:lang w:val="en-US" w:eastAsia="zh-CN" w:bidi="ar-SA"/>
        </w:rPr>
        <w:t>（</w:t>
      </w:r>
      <w:r>
        <w:rPr>
          <w:rFonts w:hint="eastAsia" w:cs="Times New Roman"/>
          <w:bCs/>
          <w:kern w:val="0"/>
          <w:sz w:val="28"/>
          <w:szCs w:val="28"/>
          <w:lang w:val="en-US" w:eastAsia="zh-CN" w:bidi="ar-SA"/>
        </w:rPr>
        <w:t>三</w:t>
      </w:r>
      <w:r>
        <w:rPr>
          <w:rFonts w:hint="eastAsia" w:ascii="Times New Roman" w:hAnsi="Times New Roman" w:eastAsia="仿宋_GB2312" w:cs="Times New Roman"/>
          <w:bCs/>
          <w:kern w:val="0"/>
          <w:sz w:val="28"/>
          <w:szCs w:val="28"/>
          <w:lang w:val="en-US" w:eastAsia="zh-CN" w:bidi="ar-SA"/>
        </w:rPr>
        <w:t>）投标地点：</w:t>
      </w:r>
      <w:r>
        <w:rPr>
          <w:rFonts w:hint="eastAsia"/>
          <w:sz w:val="28"/>
          <w:szCs w:val="28"/>
          <w:u w:val="single"/>
        </w:rPr>
        <w:t>重庆市沙坪坝区（具体位置报名成功后发送至投标人邮箱）</w:t>
      </w:r>
      <w:r>
        <w:rPr>
          <w:sz w:val="28"/>
          <w:szCs w:val="28"/>
        </w:rPr>
        <w:t>。</w:t>
      </w:r>
    </w:p>
    <w:p>
      <w:pPr>
        <w:pStyle w:val="114"/>
        <w:spacing w:line="560" w:lineRule="exact"/>
        <w:ind w:left="11" w:firstLine="548"/>
        <w:rPr>
          <w:bCs/>
          <w:sz w:val="28"/>
          <w:szCs w:val="28"/>
        </w:rPr>
      </w:pPr>
      <w:r>
        <w:rPr>
          <w:rFonts w:hint="eastAsia"/>
          <w:bCs/>
          <w:sz w:val="28"/>
          <w:szCs w:val="28"/>
        </w:rPr>
        <w:t>投标方式：由投标供应商法定代表人或授权代表现场递交投标文件，不接受邮寄等其他方式。</w:t>
      </w:r>
    </w:p>
    <w:p>
      <w:pPr>
        <w:tabs>
          <w:tab w:val="left" w:pos="0"/>
          <w:tab w:val="left" w:pos="1122"/>
        </w:tabs>
        <w:spacing w:before="194" w:beforeLines="50" w:after="194" w:afterLines="50" w:line="560" w:lineRule="exact"/>
        <w:ind w:left="408" w:leftChars="200"/>
        <w:rPr>
          <w:rFonts w:eastAsia="黑体"/>
          <w:bCs/>
          <w:sz w:val="28"/>
          <w:szCs w:val="28"/>
        </w:rPr>
      </w:pPr>
      <w:r>
        <w:rPr>
          <w:rFonts w:hint="eastAsia" w:eastAsia="黑体"/>
          <w:bCs/>
          <w:sz w:val="28"/>
          <w:szCs w:val="28"/>
        </w:rPr>
        <w:t>七、开标时间、地点</w:t>
      </w:r>
    </w:p>
    <w:p>
      <w:pPr>
        <w:numPr>
          <w:ilvl w:val="0"/>
          <w:numId w:val="0"/>
        </w:numPr>
        <w:spacing w:line="560" w:lineRule="exact"/>
        <w:ind w:firstLine="548" w:firstLineChars="200"/>
        <w:rPr>
          <w:bCs/>
          <w:sz w:val="28"/>
          <w:szCs w:val="28"/>
        </w:rPr>
      </w:pPr>
      <w:r>
        <w:rPr>
          <w:rFonts w:hint="eastAsia" w:ascii="宋体" w:hAnsi="宋体" w:eastAsia="宋体" w:cs="Times New Roman"/>
          <w:bCs/>
          <w:kern w:val="2"/>
          <w:sz w:val="28"/>
          <w:szCs w:val="28"/>
          <w:lang w:val="en-US" w:eastAsia="zh-CN" w:bidi="ar-SA"/>
        </w:rPr>
        <w:t>（一）</w:t>
      </w:r>
      <w:r>
        <w:rPr>
          <w:rFonts w:hint="eastAsia"/>
          <w:bCs/>
          <w:sz w:val="28"/>
          <w:szCs w:val="28"/>
        </w:rPr>
        <w:t>开标时间：</w:t>
      </w:r>
      <w:r>
        <w:rPr>
          <w:rFonts w:hint="eastAsia"/>
          <w:sz w:val="28"/>
          <w:szCs w:val="28"/>
          <w:u w:val="single"/>
          <w:lang w:val="en-US" w:eastAsia="zh-CN"/>
        </w:rPr>
        <w:t>2024</w:t>
      </w:r>
      <w:r>
        <w:rPr>
          <w:sz w:val="28"/>
          <w:szCs w:val="28"/>
        </w:rPr>
        <w:t>年</w:t>
      </w:r>
      <w:r>
        <w:rPr>
          <w:rFonts w:hint="eastAsia" w:ascii="宋体" w:hAnsi="宋体"/>
          <w:sz w:val="28"/>
          <w:szCs w:val="28"/>
          <w:u w:val="single"/>
          <w:lang w:val="en-US" w:eastAsia="zh-CN"/>
        </w:rPr>
        <w:t>4</w:t>
      </w:r>
      <w:r>
        <w:rPr>
          <w:sz w:val="28"/>
          <w:szCs w:val="28"/>
        </w:rPr>
        <w:t>月</w:t>
      </w:r>
      <w:r>
        <w:rPr>
          <w:rFonts w:hint="eastAsia" w:ascii="宋体" w:hAnsi="宋体"/>
          <w:sz w:val="28"/>
          <w:szCs w:val="28"/>
          <w:u w:val="single"/>
          <w:lang w:val="en-US" w:eastAsia="zh-CN"/>
        </w:rPr>
        <w:t>24</w:t>
      </w:r>
      <w:r>
        <w:rPr>
          <w:sz w:val="28"/>
          <w:szCs w:val="28"/>
        </w:rPr>
        <w:t>日</w:t>
      </w:r>
      <w:r>
        <w:rPr>
          <w:bCs/>
          <w:sz w:val="28"/>
          <w:szCs w:val="28"/>
          <w:u w:val="single"/>
        </w:rPr>
        <w:t xml:space="preserve"> </w:t>
      </w:r>
      <w:r>
        <w:rPr>
          <w:rFonts w:hint="eastAsia"/>
          <w:bCs/>
          <w:sz w:val="28"/>
          <w:szCs w:val="28"/>
          <w:u w:val="single"/>
          <w:lang w:val="en-US" w:eastAsia="zh-CN"/>
        </w:rPr>
        <w:t>9</w:t>
      </w:r>
      <w:r>
        <w:rPr>
          <w:bCs/>
          <w:sz w:val="28"/>
          <w:szCs w:val="28"/>
          <w:u w:val="single"/>
        </w:rPr>
        <w:t xml:space="preserve"> </w:t>
      </w:r>
      <w:r>
        <w:rPr>
          <w:rFonts w:hint="eastAsia"/>
          <w:bCs/>
          <w:sz w:val="28"/>
          <w:szCs w:val="28"/>
        </w:rPr>
        <w:t>时</w:t>
      </w:r>
      <w:r>
        <w:rPr>
          <w:bCs/>
          <w:sz w:val="28"/>
          <w:szCs w:val="28"/>
          <w:u w:val="single"/>
        </w:rPr>
        <w:t xml:space="preserve"> </w:t>
      </w:r>
      <w:r>
        <w:rPr>
          <w:rFonts w:hint="eastAsia"/>
          <w:bCs/>
          <w:sz w:val="28"/>
          <w:szCs w:val="28"/>
          <w:u w:val="single"/>
          <w:lang w:val="en-US" w:eastAsia="zh-CN"/>
        </w:rPr>
        <w:t>30</w:t>
      </w:r>
      <w:r>
        <w:rPr>
          <w:bCs/>
          <w:sz w:val="28"/>
          <w:szCs w:val="28"/>
          <w:u w:val="single"/>
        </w:rPr>
        <w:t xml:space="preserve"> </w:t>
      </w:r>
      <w:r>
        <w:rPr>
          <w:rFonts w:hint="eastAsia"/>
          <w:bCs/>
          <w:sz w:val="28"/>
          <w:szCs w:val="28"/>
        </w:rPr>
        <w:t>分。</w:t>
      </w:r>
    </w:p>
    <w:p>
      <w:pPr>
        <w:numPr>
          <w:ilvl w:val="0"/>
          <w:numId w:val="0"/>
        </w:numPr>
        <w:adjustRightInd w:val="0"/>
        <w:snapToGrid w:val="0"/>
        <w:spacing w:line="560" w:lineRule="exact"/>
        <w:ind w:left="0" w:leftChars="0" w:firstLine="548" w:firstLineChars="200"/>
        <w:rPr>
          <w:sz w:val="28"/>
          <w:szCs w:val="28"/>
        </w:rPr>
      </w:pPr>
      <w:r>
        <w:rPr>
          <w:rFonts w:hint="eastAsia" w:ascii="宋体" w:hAnsi="宋体" w:eastAsia="宋体" w:cs="Times New Roman"/>
          <w:bCs/>
          <w:kern w:val="2"/>
          <w:sz w:val="28"/>
          <w:szCs w:val="28"/>
          <w:lang w:val="en-US" w:eastAsia="zh-CN" w:bidi="ar-SA"/>
        </w:rPr>
        <w:t>（二）</w:t>
      </w:r>
      <w:r>
        <w:rPr>
          <w:rFonts w:hint="eastAsia"/>
          <w:bCs/>
          <w:sz w:val="28"/>
          <w:szCs w:val="28"/>
        </w:rPr>
        <w:t>开标地点：</w:t>
      </w:r>
      <w:r>
        <w:rPr>
          <w:rFonts w:hint="eastAsia"/>
          <w:sz w:val="28"/>
          <w:szCs w:val="28"/>
          <w:u w:val="single"/>
        </w:rPr>
        <w:t>重庆市沙坪坝区（具体位置报名成功后发送至投标人邮箱）</w:t>
      </w:r>
      <w:r>
        <w:rPr>
          <w:sz w:val="28"/>
          <w:szCs w:val="28"/>
        </w:rPr>
        <w:t>。</w:t>
      </w:r>
    </w:p>
    <w:p>
      <w:pPr>
        <w:tabs>
          <w:tab w:val="left" w:pos="0"/>
          <w:tab w:val="left" w:pos="1122"/>
        </w:tabs>
        <w:spacing w:line="560" w:lineRule="exact"/>
        <w:ind w:firstLine="548" w:firstLineChars="200"/>
        <w:rPr>
          <w:rFonts w:eastAsia="黑体"/>
          <w:bCs/>
          <w:sz w:val="28"/>
          <w:szCs w:val="28"/>
        </w:rPr>
      </w:pPr>
      <w:r>
        <w:rPr>
          <w:rFonts w:hint="eastAsia" w:eastAsia="黑体"/>
          <w:bCs/>
          <w:sz w:val="28"/>
          <w:szCs w:val="28"/>
          <w:lang w:eastAsia="zh-CN"/>
        </w:rPr>
        <w:t>八</w:t>
      </w:r>
      <w:r>
        <w:rPr>
          <w:rFonts w:hint="eastAsia" w:eastAsia="黑体"/>
          <w:bCs/>
          <w:sz w:val="28"/>
          <w:szCs w:val="28"/>
        </w:rPr>
        <w:t>、</w:t>
      </w:r>
      <w:r>
        <w:rPr>
          <w:rFonts w:ascii="黑体" w:hAnsi="黑体" w:eastAsia="黑体"/>
          <w:bCs/>
          <w:sz w:val="28"/>
          <w:szCs w:val="28"/>
        </w:rPr>
        <w:t>本采购项目相关信息在《军队采购网》（</w:t>
      </w:r>
      <w:r>
        <w:fldChar w:fldCharType="begin"/>
      </w:r>
      <w:r>
        <w:instrText xml:space="preserve"> HYPERLINK "http://www.plap.cn/" </w:instrText>
      </w:r>
      <w:r>
        <w:fldChar w:fldCharType="separate"/>
      </w:r>
      <w:r>
        <w:rPr>
          <w:rFonts w:ascii="黑体" w:hAnsi="黑体" w:eastAsia="黑体"/>
          <w:bCs/>
          <w:sz w:val="28"/>
          <w:szCs w:val="28"/>
        </w:rPr>
        <w:t>www.plap.cn</w:t>
      </w:r>
      <w:r>
        <w:rPr>
          <w:rFonts w:ascii="黑体" w:hAnsi="黑体" w:eastAsia="黑体"/>
          <w:bCs/>
          <w:sz w:val="28"/>
          <w:szCs w:val="28"/>
        </w:rPr>
        <w:fldChar w:fldCharType="end"/>
      </w:r>
      <w:r>
        <w:rPr>
          <w:rFonts w:ascii="黑体" w:hAnsi="黑体" w:eastAsia="黑体"/>
          <w:bCs/>
          <w:sz w:val="28"/>
          <w:szCs w:val="28"/>
        </w:rPr>
        <w:t>）</w:t>
      </w:r>
      <w:r>
        <w:rPr>
          <w:rFonts w:hint="eastAsia" w:ascii="黑体" w:hAnsi="黑体" w:eastAsia="黑体"/>
          <w:bCs/>
          <w:sz w:val="28"/>
          <w:szCs w:val="28"/>
        </w:rPr>
        <w:t>和</w:t>
      </w:r>
      <w:r>
        <w:rPr>
          <w:rFonts w:ascii="黑体" w:hAnsi="黑体" w:eastAsia="黑体"/>
          <w:bCs/>
          <w:sz w:val="28"/>
          <w:szCs w:val="28"/>
        </w:rPr>
        <w:t xml:space="preserve">                      </w:t>
      </w:r>
      <w:r>
        <w:rPr>
          <w:rFonts w:hint="eastAsia"/>
          <w:sz w:val="28"/>
          <w:szCs w:val="28"/>
        </w:rPr>
        <w:t>《中国政府采购网》（</w:t>
      </w:r>
      <w:r>
        <w:fldChar w:fldCharType="begin"/>
      </w:r>
      <w:r>
        <w:instrText xml:space="preserve"> HYPERLINK "http://www.ccgp.gov.cn/" </w:instrText>
      </w:r>
      <w:r>
        <w:fldChar w:fldCharType="separate"/>
      </w:r>
      <w:r>
        <w:rPr>
          <w:rStyle w:val="48"/>
          <w:rFonts w:hint="eastAsia"/>
          <w:sz w:val="28"/>
          <w:szCs w:val="28"/>
        </w:rPr>
        <w:t>www.ccgp.gov.cn</w:t>
      </w:r>
      <w:r>
        <w:rPr>
          <w:rStyle w:val="48"/>
          <w:rFonts w:hint="eastAsia"/>
          <w:sz w:val="28"/>
          <w:szCs w:val="28"/>
        </w:rPr>
        <w:fldChar w:fldCharType="end"/>
      </w:r>
      <w:r>
        <w:rPr>
          <w:rFonts w:hint="eastAsia"/>
          <w:sz w:val="28"/>
          <w:szCs w:val="28"/>
        </w:rPr>
        <w:t>）、医院官网（</w:t>
      </w:r>
      <w:r>
        <w:fldChar w:fldCharType="begin"/>
      </w:r>
      <w:r>
        <w:instrText xml:space="preserve"> HYPERLINK "https://www.xqhospital.com.cn/" </w:instrText>
      </w:r>
      <w:r>
        <w:fldChar w:fldCharType="separate"/>
      </w:r>
      <w:r>
        <w:rPr>
          <w:rStyle w:val="48"/>
          <w:rFonts w:hint="eastAsia"/>
          <w:sz w:val="28"/>
          <w:szCs w:val="28"/>
        </w:rPr>
        <w:t>www.xqhospital.com.cn</w:t>
      </w:r>
      <w:r>
        <w:rPr>
          <w:rStyle w:val="48"/>
          <w:rFonts w:hint="eastAsia"/>
          <w:sz w:val="28"/>
          <w:szCs w:val="28"/>
        </w:rPr>
        <w:fldChar w:fldCharType="end"/>
      </w:r>
      <w:r>
        <w:rPr>
          <w:rFonts w:hint="eastAsia"/>
          <w:sz w:val="28"/>
          <w:szCs w:val="28"/>
        </w:rPr>
        <w:t>）上发布</w:t>
      </w:r>
      <w:r>
        <w:rPr>
          <w:rFonts w:ascii="黑体" w:hAnsi="黑体" w:eastAsia="黑体"/>
          <w:bCs/>
          <w:sz w:val="28"/>
          <w:szCs w:val="28"/>
        </w:rPr>
        <w:t>上发布。</w:t>
      </w:r>
    </w:p>
    <w:p>
      <w:pPr>
        <w:tabs>
          <w:tab w:val="left" w:pos="0"/>
          <w:tab w:val="left" w:pos="1122"/>
        </w:tabs>
        <w:spacing w:before="194" w:beforeLines="50" w:after="194" w:afterLines="50" w:line="400" w:lineRule="exact"/>
        <w:ind w:firstLine="548" w:firstLineChars="200"/>
        <w:jc w:val="left"/>
        <w:rPr>
          <w:rFonts w:eastAsia="黑体"/>
          <w:bCs/>
          <w:sz w:val="28"/>
          <w:szCs w:val="28"/>
        </w:rPr>
      </w:pPr>
      <w:r>
        <w:rPr>
          <w:rFonts w:hint="eastAsia" w:eastAsia="黑体"/>
          <w:bCs/>
          <w:sz w:val="28"/>
          <w:szCs w:val="28"/>
          <w:lang w:eastAsia="zh-CN"/>
        </w:rPr>
        <w:t>九</w:t>
      </w:r>
      <w:r>
        <w:rPr>
          <w:rFonts w:hint="eastAsia" w:eastAsia="黑体"/>
          <w:bCs/>
          <w:sz w:val="28"/>
          <w:szCs w:val="28"/>
        </w:rPr>
        <w:t>、采购机构联系方式</w:t>
      </w:r>
    </w:p>
    <w:p>
      <w:pPr>
        <w:spacing w:line="560" w:lineRule="exact"/>
        <w:ind w:firstLine="548" w:firstLineChars="200"/>
        <w:rPr>
          <w:rFonts w:hint="eastAsia"/>
          <w:sz w:val="28"/>
          <w:szCs w:val="28"/>
        </w:rPr>
      </w:pPr>
      <w:r>
        <w:rPr>
          <w:sz w:val="28"/>
          <w:szCs w:val="28"/>
        </w:rPr>
        <w:t>联 系 人：</w:t>
      </w:r>
      <w:r>
        <w:rPr>
          <w:rFonts w:hint="eastAsia"/>
          <w:sz w:val="28"/>
          <w:szCs w:val="28"/>
          <w:u w:val="single"/>
          <w:lang w:val="en-US" w:eastAsia="zh-CN"/>
        </w:rPr>
        <w:t>夏</w:t>
      </w:r>
      <w:r>
        <w:rPr>
          <w:rFonts w:hint="eastAsia"/>
          <w:sz w:val="28"/>
          <w:szCs w:val="28"/>
          <w:u w:val="single"/>
        </w:rPr>
        <w:t>助理（报名情况咨询）</w:t>
      </w:r>
    </w:p>
    <w:p>
      <w:pPr>
        <w:spacing w:line="560" w:lineRule="exact"/>
        <w:ind w:firstLine="548" w:firstLineChars="200"/>
        <w:rPr>
          <w:rFonts w:hint="default" w:eastAsia="宋体"/>
          <w:sz w:val="28"/>
          <w:szCs w:val="28"/>
          <w:u w:val="single"/>
          <w:lang w:val="en-US" w:eastAsia="zh-CN"/>
        </w:rPr>
      </w:pPr>
      <w:r>
        <w:rPr>
          <w:rFonts w:hint="eastAsia"/>
          <w:sz w:val="28"/>
          <w:szCs w:val="28"/>
        </w:rPr>
        <w:t>办公电话</w:t>
      </w:r>
      <w:r>
        <w:rPr>
          <w:sz w:val="28"/>
          <w:szCs w:val="28"/>
        </w:rPr>
        <w:t>：</w:t>
      </w:r>
      <w:r>
        <w:rPr>
          <w:rFonts w:hint="eastAsia"/>
          <w:sz w:val="28"/>
          <w:szCs w:val="28"/>
          <w:u w:val="single"/>
        </w:rPr>
        <w:t>023-687</w:t>
      </w:r>
      <w:r>
        <w:rPr>
          <w:rFonts w:hint="eastAsia"/>
          <w:sz w:val="28"/>
          <w:szCs w:val="28"/>
          <w:u w:val="single"/>
          <w:lang w:val="en-US" w:eastAsia="zh-CN"/>
        </w:rPr>
        <w:t>63908</w:t>
      </w:r>
    </w:p>
    <w:p>
      <w:pPr>
        <w:spacing w:line="560" w:lineRule="exact"/>
        <w:ind w:firstLine="454" w:firstLineChars="100"/>
        <w:rPr>
          <w:sz w:val="28"/>
          <w:szCs w:val="28"/>
        </w:rPr>
      </w:pPr>
      <w:r>
        <w:rPr>
          <w:rFonts w:hint="eastAsia"/>
          <w:spacing w:val="90"/>
          <w:kern w:val="0"/>
          <w:sz w:val="28"/>
          <w:szCs w:val="28"/>
          <w:fitText w:val="1200" w:id="1041061698"/>
        </w:rPr>
        <w:t>联系</w:t>
      </w:r>
      <w:r>
        <w:rPr>
          <w:rFonts w:hint="eastAsia"/>
          <w:spacing w:val="0"/>
          <w:kern w:val="0"/>
          <w:sz w:val="28"/>
          <w:szCs w:val="28"/>
          <w:fitText w:val="1200" w:id="1041061698"/>
        </w:rPr>
        <w:t>人</w:t>
      </w:r>
      <w:r>
        <w:rPr>
          <w:rFonts w:hint="eastAsia"/>
          <w:sz w:val="28"/>
          <w:szCs w:val="28"/>
        </w:rPr>
        <w:t>：</w:t>
      </w:r>
      <w:r>
        <w:rPr>
          <w:sz w:val="28"/>
          <w:szCs w:val="28"/>
          <w:u w:val="single"/>
        </w:rPr>
        <w:t xml:space="preserve"> </w:t>
      </w:r>
      <w:r>
        <w:rPr>
          <w:rFonts w:hint="eastAsia"/>
          <w:sz w:val="28"/>
          <w:szCs w:val="28"/>
          <w:u w:val="single"/>
          <w:lang w:val="en-US" w:eastAsia="zh-CN"/>
        </w:rPr>
        <w:t>陈</w:t>
      </w:r>
      <w:r>
        <w:rPr>
          <w:rFonts w:hint="eastAsia"/>
          <w:sz w:val="28"/>
          <w:szCs w:val="28"/>
          <w:u w:val="single"/>
        </w:rPr>
        <w:t>助理（项目咨询）</w:t>
      </w:r>
      <w:r>
        <w:rPr>
          <w:sz w:val="28"/>
          <w:szCs w:val="28"/>
          <w:u w:val="single"/>
        </w:rPr>
        <w:t xml:space="preserve"> </w:t>
      </w:r>
    </w:p>
    <w:p>
      <w:pPr>
        <w:spacing w:line="560" w:lineRule="exact"/>
        <w:ind w:firstLine="548" w:firstLineChars="200"/>
        <w:rPr>
          <w:rFonts w:hint="default" w:eastAsia="宋体"/>
          <w:sz w:val="28"/>
          <w:szCs w:val="28"/>
          <w:u w:val="single"/>
          <w:lang w:val="en-US" w:eastAsia="zh-CN"/>
        </w:rPr>
      </w:pPr>
      <w:r>
        <w:rPr>
          <w:rFonts w:hint="eastAsia"/>
          <w:sz w:val="28"/>
          <w:szCs w:val="28"/>
        </w:rPr>
        <w:t>办公电话</w:t>
      </w:r>
      <w:r>
        <w:rPr>
          <w:sz w:val="28"/>
          <w:szCs w:val="28"/>
        </w:rPr>
        <w:t>：</w:t>
      </w:r>
      <w:r>
        <w:rPr>
          <w:rFonts w:hint="eastAsia"/>
          <w:sz w:val="28"/>
          <w:szCs w:val="28"/>
          <w:u w:val="single"/>
        </w:rPr>
        <w:t>023-687749</w:t>
      </w:r>
      <w:r>
        <w:rPr>
          <w:rFonts w:hint="eastAsia"/>
          <w:sz w:val="28"/>
          <w:szCs w:val="28"/>
          <w:u w:val="single"/>
          <w:lang w:val="en-US" w:eastAsia="zh-CN"/>
        </w:rPr>
        <w:t>27</w:t>
      </w:r>
    </w:p>
    <w:p>
      <w:pPr>
        <w:spacing w:line="360" w:lineRule="auto"/>
        <w:ind w:firstLine="548" w:firstLineChars="200"/>
        <w:rPr>
          <w:bCs/>
          <w:color w:val="000000" w:themeColor="text1"/>
          <w:sz w:val="28"/>
          <w:szCs w:val="28"/>
          <w:u w:val="single"/>
          <w14:textFill>
            <w14:solidFill>
              <w14:schemeClr w14:val="tx1"/>
            </w14:solidFill>
          </w14:textFill>
        </w:rPr>
      </w:pPr>
      <w:r>
        <w:rPr>
          <w:sz w:val="28"/>
          <w:szCs w:val="28"/>
        </w:rPr>
        <w:t>地    址：</w:t>
      </w:r>
      <w:r>
        <w:rPr>
          <w:sz w:val="28"/>
          <w:szCs w:val="28"/>
          <w:u w:val="single"/>
        </w:rPr>
        <w:t xml:space="preserve">  </w:t>
      </w:r>
      <w:r>
        <w:rPr>
          <w:rFonts w:hint="eastAsia"/>
          <w:sz w:val="28"/>
          <w:szCs w:val="28"/>
          <w:u w:val="single"/>
        </w:rPr>
        <w:t>重庆市沙坪坝区</w:t>
      </w:r>
    </w:p>
    <w:p>
      <w:pPr>
        <w:tabs>
          <w:tab w:val="left" w:pos="0"/>
          <w:tab w:val="left" w:pos="1122"/>
        </w:tabs>
        <w:spacing w:before="194" w:beforeLines="50" w:after="194" w:afterLines="50" w:line="560" w:lineRule="exact"/>
        <w:ind w:firstLine="548" w:firstLineChars="200"/>
        <w:jc w:val="left"/>
        <w:rPr>
          <w:rFonts w:ascii="Times New Roman" w:hAnsi="Times New Roman" w:eastAsia="黑体" w:cs="Times New Roman"/>
          <w:sz w:val="28"/>
          <w:szCs w:val="28"/>
          <w:highlight w:val="none"/>
        </w:rPr>
      </w:pPr>
      <w:r>
        <w:rPr>
          <w:rFonts w:hint="eastAsia" w:ascii="Times New Roman" w:hAnsi="Times New Roman" w:eastAsia="黑体" w:cs="Times New Roman"/>
          <w:sz w:val="28"/>
          <w:szCs w:val="28"/>
          <w:highlight w:val="none"/>
        </w:rPr>
        <w:t>十、监督部门联系方式</w:t>
      </w:r>
    </w:p>
    <w:p>
      <w:pPr>
        <w:spacing w:line="360" w:lineRule="auto"/>
        <w:ind w:firstLine="548" w:firstLineChars="200"/>
        <w:rPr>
          <w:rFonts w:ascii="Times New Roman" w:hAnsi="Times New Roman" w:cs="Times New Roman"/>
          <w:bCs/>
          <w:sz w:val="28"/>
          <w:szCs w:val="28"/>
          <w:highlight w:val="none"/>
          <w:u w:val="single"/>
        </w:rPr>
      </w:pPr>
      <w:r>
        <w:rPr>
          <w:rFonts w:hint="eastAsia" w:ascii="Times New Roman" w:hAnsi="Times New Roman" w:cs="Times New Roman"/>
          <w:bCs/>
          <w:sz w:val="28"/>
          <w:szCs w:val="28"/>
          <w:highlight w:val="none"/>
        </w:rPr>
        <w:t>项目监督人：</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u w:val="single"/>
          <w:lang w:val="en-US" w:eastAsia="zh-CN"/>
        </w:rPr>
        <w:t xml:space="preserve"> </w:t>
      </w:r>
      <w:r>
        <w:rPr>
          <w:rFonts w:hint="eastAsia" w:ascii="Times New Roman" w:hAnsi="Times New Roman" w:cs="Times New Roman"/>
          <w:bCs/>
          <w:sz w:val="28"/>
          <w:szCs w:val="28"/>
          <w:highlight w:val="none"/>
          <w:u w:val="single"/>
        </w:rPr>
        <w:t>叶助理</w:t>
      </w:r>
      <w:r>
        <w:rPr>
          <w:rFonts w:hint="eastAsia" w:ascii="Times New Roman" w:hAnsi="Times New Roman" w:cs="Times New Roman"/>
          <w:bCs/>
          <w:sz w:val="28"/>
          <w:szCs w:val="28"/>
          <w:highlight w:val="none"/>
          <w:u w:val="single"/>
          <w:lang w:val="en-US" w:eastAsia="zh-CN"/>
        </w:rPr>
        <w:t xml:space="preserve"> </w:t>
      </w:r>
      <w:r>
        <w:rPr>
          <w:rFonts w:ascii="Times New Roman" w:hAnsi="Times New Roman" w:cs="Times New Roman"/>
          <w:bCs/>
          <w:sz w:val="28"/>
          <w:szCs w:val="28"/>
          <w:highlight w:val="none"/>
          <w:u w:val="single"/>
        </w:rPr>
        <w:t xml:space="preserve"> </w:t>
      </w:r>
    </w:p>
    <w:p>
      <w:pPr>
        <w:spacing w:line="360" w:lineRule="auto"/>
        <w:ind w:firstLine="548" w:firstLineChars="200"/>
        <w:rPr>
          <w:rFonts w:ascii="Times New Roman" w:hAnsi="Times New Roman" w:cs="Times New Roman"/>
          <w:bCs/>
          <w:sz w:val="28"/>
          <w:szCs w:val="28"/>
          <w:highlight w:val="none"/>
          <w:u w:val="single"/>
        </w:rPr>
      </w:pPr>
      <w:r>
        <w:rPr>
          <w:rFonts w:hint="eastAsia" w:ascii="Times New Roman" w:hAnsi="Times New Roman" w:cs="Times New Roman"/>
          <w:bCs/>
          <w:sz w:val="28"/>
          <w:szCs w:val="28"/>
          <w:highlight w:val="none"/>
        </w:rPr>
        <w:t>办公电话：</w:t>
      </w:r>
      <w:r>
        <w:rPr>
          <w:rFonts w:hint="eastAsia" w:ascii="Times New Roman" w:hAnsi="Times New Roman" w:cs="Times New Roman"/>
          <w:bCs/>
          <w:sz w:val="28"/>
          <w:szCs w:val="28"/>
          <w:highlight w:val="none"/>
          <w:u w:val="single"/>
        </w:rPr>
        <w:t>023-68755377</w:t>
      </w:r>
    </w:p>
    <w:p>
      <w:pPr>
        <w:spacing w:line="360" w:lineRule="auto"/>
        <w:ind w:firstLine="548"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移动电话：</w:t>
      </w:r>
      <w:r>
        <w:rPr>
          <w:rFonts w:hint="eastAsia" w:ascii="Times New Roman" w:hAnsi="Times New Roman" w:cs="Times New Roman"/>
          <w:bCs/>
          <w:sz w:val="28"/>
          <w:szCs w:val="28"/>
          <w:highlight w:val="none"/>
          <w:u w:val="single"/>
        </w:rPr>
        <w:t>19332280724</w:t>
      </w:r>
      <w:r>
        <w:rPr>
          <w:rFonts w:ascii="Times New Roman" w:hAnsi="Times New Roman" w:cs="Times New Roman"/>
          <w:bCs/>
          <w:sz w:val="28"/>
          <w:szCs w:val="28"/>
          <w:highlight w:val="none"/>
          <w:u w:val="single"/>
        </w:rPr>
        <w:t xml:space="preserve"> </w:t>
      </w:r>
    </w:p>
    <w:p>
      <w:pPr>
        <w:spacing w:line="560" w:lineRule="exact"/>
        <w:ind w:firstLine="548" w:firstLineChars="200"/>
        <w:jc w:val="center"/>
        <w:rPr>
          <w:bCs/>
          <w:sz w:val="28"/>
          <w:szCs w:val="28"/>
        </w:rPr>
      </w:pPr>
      <w:r>
        <w:rPr>
          <w:rFonts w:hint="eastAsia"/>
          <w:bCs/>
          <w:sz w:val="28"/>
          <w:szCs w:val="28"/>
          <w:lang w:val="en-US" w:eastAsia="zh-CN"/>
        </w:rPr>
        <w:t xml:space="preserve">                    </w:t>
      </w:r>
      <w:r>
        <w:rPr>
          <w:rFonts w:hint="eastAsia"/>
          <w:bCs/>
          <w:sz w:val="28"/>
          <w:szCs w:val="28"/>
        </w:rPr>
        <w:t>采购机构：</w:t>
      </w:r>
      <w:r>
        <w:rPr>
          <w:rFonts w:hint="eastAsia" w:cs="Times New Roman"/>
          <w:sz w:val="28"/>
          <w:szCs w:val="28"/>
          <w:highlight w:val="none"/>
          <w:u w:val="single"/>
          <w:lang w:eastAsia="zh-CN"/>
        </w:rPr>
        <w:t>物资采购中心</w:t>
      </w:r>
    </w:p>
    <w:p>
      <w:pPr>
        <w:keepLines/>
        <w:widowControl/>
        <w:adjustRightInd w:val="0"/>
        <w:snapToGrid w:val="0"/>
        <w:spacing w:before="194" w:beforeLines="50" w:line="360" w:lineRule="auto"/>
        <w:ind w:firstLine="5617" w:firstLineChars="2050"/>
        <w:jc w:val="left"/>
        <w:rPr>
          <w:rFonts w:ascii="宋体" w:hAnsi="宋体" w:cs="Courier New"/>
          <w:bCs/>
          <w:sz w:val="32"/>
          <w:szCs w:val="32"/>
        </w:rPr>
      </w:pPr>
      <w:r>
        <w:rPr>
          <w:rFonts w:hint="eastAsia"/>
          <w:bCs/>
          <w:sz w:val="28"/>
          <w:szCs w:val="28"/>
          <w:u w:val="single"/>
          <w:lang w:val="en-US" w:eastAsia="zh-CN"/>
        </w:rPr>
        <w:t>2024</w:t>
      </w:r>
      <w:r>
        <w:rPr>
          <w:rFonts w:hint="eastAsia"/>
          <w:bCs/>
          <w:sz w:val="28"/>
          <w:szCs w:val="28"/>
        </w:rPr>
        <w:t>年</w:t>
      </w:r>
      <w:r>
        <w:rPr>
          <w:rFonts w:hint="eastAsia"/>
          <w:bCs/>
          <w:sz w:val="28"/>
          <w:szCs w:val="28"/>
          <w:u w:val="single"/>
          <w:lang w:val="en-US" w:eastAsia="zh-CN"/>
        </w:rPr>
        <w:t>4</w:t>
      </w:r>
      <w:r>
        <w:rPr>
          <w:rFonts w:hint="eastAsia"/>
          <w:bCs/>
          <w:sz w:val="28"/>
          <w:szCs w:val="28"/>
        </w:rPr>
        <w:t>月</w:t>
      </w:r>
      <w:r>
        <w:rPr>
          <w:rFonts w:hint="eastAsia"/>
          <w:bCs/>
          <w:sz w:val="28"/>
          <w:szCs w:val="28"/>
          <w:u w:val="single"/>
          <w:lang w:val="en-US" w:eastAsia="zh-CN"/>
        </w:rPr>
        <w:t>2</w:t>
      </w:r>
      <w:r>
        <w:rPr>
          <w:rFonts w:hint="eastAsia"/>
          <w:bCs/>
          <w:sz w:val="28"/>
          <w:szCs w:val="28"/>
        </w:rPr>
        <w:t>日</w:t>
      </w:r>
      <w:r>
        <w:rPr>
          <w:rFonts w:hAnsi="宋体"/>
          <w:bCs/>
          <w:sz w:val="32"/>
          <w:szCs w:val="32"/>
        </w:rPr>
        <w:br w:type="page"/>
      </w:r>
    </w:p>
    <w:p>
      <w:pPr>
        <w:rPr>
          <w:rFonts w:ascii="宋体" w:hAnsi="宋体" w:cs="宋体"/>
          <w:bCs/>
          <w:sz w:val="28"/>
          <w:szCs w:val="28"/>
        </w:rPr>
        <w:sectPr>
          <w:headerReference r:id="rId8" w:type="default"/>
          <w:pgSz w:w="11906" w:h="16838"/>
          <w:pgMar w:top="1418" w:right="1134" w:bottom="1418" w:left="1418" w:header="851" w:footer="851" w:gutter="0"/>
          <w:cols w:space="720" w:num="1"/>
          <w:docGrid w:type="linesAndChars" w:linePitch="388" w:charSpace="-1260"/>
        </w:sectPr>
      </w:pPr>
    </w:p>
    <w:p>
      <w:pPr>
        <w:pStyle w:val="3"/>
        <w:spacing w:before="156" w:beforeLines="50" w:after="156" w:afterLines="50" w:line="560" w:lineRule="exact"/>
        <w:jc w:val="center"/>
        <w:rPr>
          <w:b w:val="0"/>
          <w:sz w:val="36"/>
          <w:szCs w:val="36"/>
          <w:lang w:val="zh-CN"/>
        </w:rPr>
      </w:pPr>
      <w:bookmarkStart w:id="409" w:name="_Toc8647"/>
      <w:bookmarkStart w:id="410" w:name="_Toc12397"/>
      <w:bookmarkStart w:id="411" w:name="_Toc112317781"/>
      <w:bookmarkStart w:id="412" w:name="_Toc5855"/>
      <w:r>
        <w:rPr>
          <w:rFonts w:hint="eastAsia"/>
          <w:b w:val="0"/>
          <w:sz w:val="36"/>
          <w:szCs w:val="36"/>
          <w:lang w:val="zh-CN"/>
        </w:rPr>
        <w:t>第五章</w:t>
      </w:r>
      <w:r>
        <w:rPr>
          <w:b w:val="0"/>
          <w:sz w:val="36"/>
          <w:szCs w:val="36"/>
        </w:rPr>
        <w:t xml:space="preserve"> </w:t>
      </w:r>
      <w:r>
        <w:rPr>
          <w:rFonts w:hint="eastAsia"/>
          <w:b w:val="0"/>
          <w:sz w:val="36"/>
          <w:szCs w:val="36"/>
          <w:lang w:val="zh-CN"/>
        </w:rPr>
        <w:t>采购项目技术和商务要求</w:t>
      </w:r>
      <w:bookmarkEnd w:id="409"/>
      <w:bookmarkEnd w:id="410"/>
      <w:bookmarkEnd w:id="411"/>
      <w:bookmarkEnd w:id="412"/>
    </w:p>
    <w:p>
      <w:pPr>
        <w:pStyle w:val="4"/>
        <w:keepNext/>
        <w:keepLines/>
        <w:spacing w:before="157" w:beforeLines="50" w:after="157" w:afterLines="50" w:line="560" w:lineRule="exact"/>
        <w:rPr>
          <w:rFonts w:hint="eastAsia" w:ascii="黑体" w:hAnsi="黑体" w:eastAsia="黑体" w:cs="黑体"/>
          <w:b w:val="0"/>
          <w:sz w:val="28"/>
          <w:szCs w:val="28"/>
          <w:lang w:val="en-US" w:eastAsia="zh-CN"/>
        </w:rPr>
      </w:pPr>
      <w:bookmarkStart w:id="413" w:name="_Toc9273"/>
      <w:bookmarkStart w:id="414" w:name="_Toc13416"/>
      <w:bookmarkStart w:id="415" w:name="_Toc27260"/>
      <w:bookmarkStart w:id="416" w:name="_Toc11028"/>
      <w:bookmarkStart w:id="417" w:name="_Toc25703"/>
      <w:bookmarkStart w:id="418" w:name="_Toc189"/>
      <w:bookmarkStart w:id="419" w:name="_Toc22387"/>
      <w:r>
        <w:rPr>
          <w:rFonts w:hint="eastAsia" w:ascii="黑体" w:hAnsi="黑体" w:eastAsia="黑体" w:cs="黑体"/>
          <w:b w:val="0"/>
          <w:sz w:val="28"/>
          <w:szCs w:val="28"/>
          <w:lang w:val="en-US" w:eastAsia="zh-CN"/>
        </w:rPr>
        <w:t>一、货物一览表</w:t>
      </w:r>
      <w:bookmarkEnd w:id="413"/>
      <w:bookmarkEnd w:id="414"/>
      <w:bookmarkEnd w:id="415"/>
      <w:bookmarkEnd w:id="416"/>
    </w:p>
    <w:tbl>
      <w:tblPr>
        <w:tblStyle w:val="42"/>
        <w:tblW w:w="0" w:type="auto"/>
        <w:tblInd w:w="108" w:type="dxa"/>
        <w:tblLayout w:type="fixed"/>
        <w:tblCellMar>
          <w:top w:w="0" w:type="dxa"/>
          <w:left w:w="108" w:type="dxa"/>
          <w:bottom w:w="0" w:type="dxa"/>
          <w:right w:w="108" w:type="dxa"/>
        </w:tblCellMar>
      </w:tblPr>
      <w:tblGrid>
        <w:gridCol w:w="813"/>
        <w:gridCol w:w="2732"/>
        <w:gridCol w:w="3124"/>
        <w:gridCol w:w="992"/>
        <w:gridCol w:w="851"/>
        <w:gridCol w:w="849"/>
      </w:tblGrid>
      <w:tr>
        <w:tblPrEx>
          <w:tblCellMar>
            <w:top w:w="0" w:type="dxa"/>
            <w:left w:w="108" w:type="dxa"/>
            <w:bottom w:w="0" w:type="dxa"/>
            <w:right w:w="108" w:type="dxa"/>
          </w:tblCellMar>
        </w:tblPrEx>
        <w:trPr>
          <w:trHeight w:val="540" w:hRule="atLeast"/>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sz w:val="24"/>
                <w:szCs w:val="32"/>
              </w:rPr>
            </w:pPr>
            <w:bookmarkStart w:id="420" w:name="_Toc285612596"/>
            <w:bookmarkStart w:id="421" w:name="_Toc3692"/>
            <w:bookmarkStart w:id="422" w:name="_Toc21754"/>
            <w:r>
              <w:rPr>
                <w:sz w:val="24"/>
                <w:szCs w:val="32"/>
              </w:rPr>
              <w:t>包号</w:t>
            </w:r>
          </w:p>
        </w:tc>
        <w:tc>
          <w:tcPr>
            <w:tcW w:w="2732" w:type="dxa"/>
            <w:tcBorders>
              <w:top w:val="single" w:color="auto" w:sz="4" w:space="0"/>
              <w:left w:val="nil"/>
              <w:bottom w:val="single" w:color="auto" w:sz="4" w:space="0"/>
              <w:right w:val="single" w:color="auto" w:sz="4" w:space="0"/>
            </w:tcBorders>
            <w:noWrap w:val="0"/>
            <w:vAlign w:val="center"/>
          </w:tcPr>
          <w:p>
            <w:pPr>
              <w:widowControl/>
              <w:jc w:val="center"/>
              <w:rPr>
                <w:sz w:val="24"/>
                <w:szCs w:val="32"/>
              </w:rPr>
            </w:pPr>
            <w:r>
              <w:rPr>
                <w:rFonts w:hint="eastAsia"/>
                <w:sz w:val="24"/>
                <w:szCs w:val="32"/>
              </w:rPr>
              <w:t>货物</w:t>
            </w:r>
            <w:r>
              <w:rPr>
                <w:sz w:val="24"/>
                <w:szCs w:val="32"/>
              </w:rPr>
              <w:t>名称</w:t>
            </w:r>
          </w:p>
        </w:tc>
        <w:tc>
          <w:tcPr>
            <w:tcW w:w="31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sz w:val="24"/>
                <w:szCs w:val="32"/>
              </w:rPr>
            </w:pPr>
            <w:r>
              <w:rPr>
                <w:sz w:val="24"/>
                <w:szCs w:val="32"/>
              </w:rPr>
              <w:t>技术指标参数要求</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sz w:val="24"/>
                <w:szCs w:val="32"/>
              </w:rPr>
            </w:pPr>
            <w:r>
              <w:rPr>
                <w:sz w:val="24"/>
                <w:szCs w:val="32"/>
              </w:rPr>
              <w:t>计量</w:t>
            </w:r>
          </w:p>
          <w:p>
            <w:pPr>
              <w:widowControl/>
              <w:jc w:val="center"/>
              <w:rPr>
                <w:sz w:val="24"/>
                <w:szCs w:val="32"/>
              </w:rPr>
            </w:pPr>
            <w:r>
              <w:rPr>
                <w:sz w:val="24"/>
                <w:szCs w:val="32"/>
              </w:rPr>
              <w:t>单位</w:t>
            </w:r>
          </w:p>
        </w:tc>
        <w:tc>
          <w:tcPr>
            <w:tcW w:w="851" w:type="dxa"/>
            <w:tcBorders>
              <w:top w:val="single" w:color="auto" w:sz="4" w:space="0"/>
              <w:left w:val="nil"/>
              <w:bottom w:val="single" w:color="auto" w:sz="4" w:space="0"/>
              <w:right w:val="single" w:color="auto" w:sz="4" w:space="0"/>
            </w:tcBorders>
            <w:noWrap w:val="0"/>
            <w:vAlign w:val="center"/>
          </w:tcPr>
          <w:p>
            <w:pPr>
              <w:widowControl/>
              <w:jc w:val="center"/>
              <w:rPr>
                <w:sz w:val="24"/>
                <w:szCs w:val="32"/>
              </w:rPr>
            </w:pPr>
            <w:r>
              <w:rPr>
                <w:sz w:val="24"/>
                <w:szCs w:val="32"/>
              </w:rPr>
              <w:t>数量</w:t>
            </w:r>
          </w:p>
        </w:tc>
        <w:tc>
          <w:tcPr>
            <w:tcW w:w="849" w:type="dxa"/>
            <w:tcBorders>
              <w:top w:val="single" w:color="auto" w:sz="4" w:space="0"/>
              <w:left w:val="nil"/>
              <w:bottom w:val="single" w:color="auto" w:sz="4" w:space="0"/>
              <w:right w:val="single" w:color="auto" w:sz="4" w:space="0"/>
            </w:tcBorders>
            <w:noWrap w:val="0"/>
            <w:vAlign w:val="center"/>
          </w:tcPr>
          <w:p>
            <w:pPr>
              <w:widowControl/>
              <w:jc w:val="center"/>
              <w:rPr>
                <w:sz w:val="24"/>
                <w:szCs w:val="32"/>
              </w:rPr>
            </w:pPr>
            <w:r>
              <w:rPr>
                <w:sz w:val="24"/>
                <w:szCs w:val="32"/>
              </w:rPr>
              <w:t>备注</w:t>
            </w:r>
          </w:p>
        </w:tc>
      </w:tr>
      <w:tr>
        <w:tblPrEx>
          <w:tblCellMar>
            <w:top w:w="0" w:type="dxa"/>
            <w:left w:w="108" w:type="dxa"/>
            <w:bottom w:w="0" w:type="dxa"/>
            <w:right w:w="108" w:type="dxa"/>
          </w:tblCellMar>
        </w:tblPrEx>
        <w:trPr>
          <w:trHeight w:val="678" w:hRule="atLeast"/>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hint="default" w:eastAsia="宋体"/>
                <w:sz w:val="22"/>
                <w:szCs w:val="22"/>
                <w:lang w:val="en-US" w:eastAsia="zh-CN"/>
              </w:rPr>
            </w:pPr>
            <w:r>
              <w:rPr>
                <w:rFonts w:hint="eastAsia"/>
                <w:sz w:val="22"/>
                <w:szCs w:val="22"/>
                <w:lang w:val="en-US" w:eastAsia="zh-CN"/>
              </w:rPr>
              <w:t>01</w:t>
            </w:r>
          </w:p>
        </w:tc>
        <w:tc>
          <w:tcPr>
            <w:tcW w:w="2732" w:type="dxa"/>
            <w:tcBorders>
              <w:top w:val="single" w:color="auto" w:sz="4" w:space="0"/>
              <w:left w:val="nil"/>
              <w:bottom w:val="single" w:color="auto" w:sz="4" w:space="0"/>
              <w:right w:val="single" w:color="auto" w:sz="4" w:space="0"/>
            </w:tcBorders>
            <w:noWrap w:val="0"/>
            <w:vAlign w:val="center"/>
          </w:tcPr>
          <w:p>
            <w:pPr>
              <w:spacing w:line="560" w:lineRule="exact"/>
              <w:jc w:val="center"/>
              <w:rPr>
                <w:sz w:val="22"/>
                <w:szCs w:val="22"/>
              </w:rPr>
            </w:pPr>
            <w:r>
              <w:rPr>
                <w:rFonts w:hint="eastAsia" w:asciiTheme="minorEastAsia" w:hAnsiTheme="minorEastAsia" w:eastAsiaTheme="minorEastAsia" w:cstheme="minorEastAsia"/>
                <w:kern w:val="0"/>
                <w:sz w:val="24"/>
                <w:szCs w:val="24"/>
                <w:lang w:val="zh-CN" w:bidi="zh-CN"/>
              </w:rPr>
              <w:t>显示器（8M）</w:t>
            </w:r>
          </w:p>
        </w:tc>
        <w:tc>
          <w:tcPr>
            <w:tcW w:w="3124"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default" w:eastAsia="宋体"/>
                <w:sz w:val="22"/>
                <w:szCs w:val="22"/>
                <w:lang w:val="en-US" w:eastAsia="zh-CN"/>
              </w:rPr>
            </w:pPr>
            <w:r>
              <w:rPr>
                <w:rFonts w:hint="eastAsia"/>
                <w:sz w:val="22"/>
                <w:szCs w:val="22"/>
                <w:lang w:val="en-US" w:eastAsia="zh-CN"/>
              </w:rPr>
              <w:t>详见技术要求</w:t>
            </w:r>
          </w:p>
        </w:tc>
        <w:tc>
          <w:tcPr>
            <w:tcW w:w="992" w:type="dxa"/>
            <w:tcBorders>
              <w:top w:val="single" w:color="auto" w:sz="4" w:space="0"/>
              <w:left w:val="nil"/>
              <w:bottom w:val="single" w:color="auto" w:sz="4" w:space="0"/>
              <w:right w:val="single" w:color="auto" w:sz="4" w:space="0"/>
            </w:tcBorders>
            <w:noWrap w:val="0"/>
            <w:vAlign w:val="center"/>
          </w:tcPr>
          <w:p>
            <w:pPr>
              <w:spacing w:line="560" w:lineRule="exact"/>
              <w:jc w:val="center"/>
              <w:rPr>
                <w:rFonts w:hint="default" w:eastAsia="宋体"/>
                <w:sz w:val="22"/>
                <w:szCs w:val="22"/>
                <w:lang w:val="en-US" w:eastAsia="zh-CN"/>
              </w:rPr>
            </w:pPr>
            <w:r>
              <w:rPr>
                <w:rFonts w:hint="eastAsia"/>
                <w:sz w:val="22"/>
                <w:szCs w:val="22"/>
                <w:lang w:val="en-US" w:eastAsia="zh-CN"/>
              </w:rPr>
              <w:t>台</w:t>
            </w:r>
          </w:p>
        </w:tc>
        <w:tc>
          <w:tcPr>
            <w:tcW w:w="851" w:type="dxa"/>
            <w:tcBorders>
              <w:top w:val="single" w:color="auto" w:sz="4" w:space="0"/>
              <w:left w:val="nil"/>
              <w:bottom w:val="single" w:color="auto" w:sz="4" w:space="0"/>
              <w:right w:val="single" w:color="auto" w:sz="4" w:space="0"/>
            </w:tcBorders>
            <w:noWrap w:val="0"/>
            <w:vAlign w:val="center"/>
          </w:tcPr>
          <w:p>
            <w:pPr>
              <w:spacing w:line="560" w:lineRule="exact"/>
              <w:jc w:val="center"/>
              <w:rPr>
                <w:rFonts w:hint="default" w:eastAsia="宋体"/>
                <w:sz w:val="22"/>
                <w:szCs w:val="22"/>
                <w:lang w:val="en-US" w:eastAsia="zh-CN"/>
              </w:rPr>
            </w:pPr>
            <w:r>
              <w:rPr>
                <w:rFonts w:hint="eastAsia"/>
                <w:sz w:val="22"/>
                <w:szCs w:val="22"/>
                <w:lang w:val="en-US" w:eastAsia="zh-CN"/>
              </w:rPr>
              <w:t>10</w:t>
            </w:r>
          </w:p>
        </w:tc>
        <w:tc>
          <w:tcPr>
            <w:tcW w:w="849"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eastAsia" w:eastAsia="宋体"/>
                <w:sz w:val="22"/>
                <w:szCs w:val="22"/>
                <w:lang w:val="en-US" w:eastAsia="zh-CN"/>
              </w:rPr>
            </w:pPr>
            <w:r>
              <w:rPr>
                <w:rFonts w:hint="eastAsia"/>
                <w:sz w:val="22"/>
                <w:szCs w:val="22"/>
                <w:lang w:val="en-US" w:eastAsia="zh-CN"/>
              </w:rPr>
              <w:t>/</w:t>
            </w:r>
          </w:p>
        </w:tc>
      </w:tr>
      <w:tr>
        <w:tblPrEx>
          <w:tblCellMar>
            <w:top w:w="0" w:type="dxa"/>
            <w:left w:w="108" w:type="dxa"/>
            <w:bottom w:w="0" w:type="dxa"/>
            <w:right w:w="108" w:type="dxa"/>
          </w:tblCellMar>
        </w:tblPrEx>
        <w:trPr>
          <w:trHeight w:val="678" w:hRule="atLeast"/>
        </w:trPr>
        <w:tc>
          <w:tcPr>
            <w:tcW w:w="9361" w:type="dxa"/>
            <w:gridSpan w:val="6"/>
            <w:tcBorders>
              <w:top w:val="single" w:color="auto" w:sz="4" w:space="0"/>
              <w:left w:val="single" w:color="auto" w:sz="4" w:space="0"/>
              <w:bottom w:val="single" w:color="auto" w:sz="4" w:space="0"/>
              <w:right w:val="single" w:color="auto" w:sz="4" w:space="0"/>
            </w:tcBorders>
            <w:noWrap w:val="0"/>
            <w:vAlign w:val="center"/>
          </w:tcPr>
          <w:p>
            <w:pPr>
              <w:ind w:left="0" w:leftChars="0" w:firstLine="422" w:firstLineChars="200"/>
            </w:pPr>
            <w:r>
              <w:rPr>
                <w:rFonts w:hint="eastAsia"/>
                <w:b/>
                <w:bCs/>
              </w:rPr>
              <w:t>注：</w:t>
            </w:r>
            <w:r>
              <w:t> 1</w:t>
            </w:r>
            <w:r>
              <w:rPr>
                <w:rFonts w:hint="eastAsia"/>
              </w:rPr>
              <w:t>.</w:t>
            </w:r>
            <w:r>
              <w:t>带“★”符号项目为必须满足指标，若出现一项负偏离，则视为废标</w:t>
            </w:r>
            <w:r>
              <w:rPr>
                <w:rFonts w:hint="eastAsia"/>
              </w:rPr>
              <w:t>，</w:t>
            </w:r>
            <w:r>
              <w:t>带“▲”符号项目为重要指标</w:t>
            </w:r>
            <w:r>
              <w:rPr>
                <w:rFonts w:hint="eastAsia"/>
              </w:rPr>
              <w:t>，</w:t>
            </w:r>
            <w:r>
              <w:t>其他项目为一般指标</w:t>
            </w:r>
          </w:p>
          <w:p>
            <w:pPr>
              <w:ind w:left="0" w:leftChars="0" w:firstLine="840" w:firstLineChars="400"/>
              <w:rPr>
                <w:rFonts w:hint="default" w:ascii="Times New Roman" w:hAnsi="Times New Roman" w:eastAsia="宋体" w:cs="Times New Roman"/>
                <w:lang w:val="zh-CN"/>
              </w:rPr>
            </w:pPr>
            <w:r>
              <w:rPr>
                <w:rFonts w:hint="eastAsia" w:ascii="Times New Roman" w:hAnsi="Times New Roman" w:eastAsia="宋体" w:cs="Times New Roman"/>
                <w:lang w:val="en-US" w:eastAsia="zh-CN"/>
              </w:rPr>
              <w:t>2.</w:t>
            </w:r>
            <w:r>
              <w:rPr>
                <w:rFonts w:hint="default" w:ascii="Times New Roman" w:hAnsi="Times New Roman" w:eastAsia="宋体" w:cs="Times New Roman"/>
              </w:rPr>
              <w:t>注星号（“★”）的关键参数要求提供</w:t>
            </w:r>
            <w:r>
              <w:rPr>
                <w:rFonts w:ascii="Times New Roman" w:hAnsi="Times New Roman" w:eastAsia="宋体" w:cs="Times New Roman"/>
                <w:lang w:val="zh-CN"/>
              </w:rPr>
              <w:t>产品规格表</w:t>
            </w:r>
            <w:r>
              <w:rPr>
                <w:rFonts w:hint="default" w:ascii="Times New Roman" w:hAnsi="Times New Roman" w:eastAsia="宋体" w:cs="Times New Roman"/>
                <w:lang w:val="zh-CN"/>
              </w:rPr>
              <w:t>、产品宣传彩页、技术白皮书、制造商官方网站发布的产品信息、说明书等</w:t>
            </w:r>
            <w:r>
              <w:rPr>
                <w:rFonts w:ascii="Times New Roman" w:hAnsi="Times New Roman" w:eastAsia="宋体" w:cs="Times New Roman"/>
                <w:lang w:val="zh-CN"/>
              </w:rPr>
              <w:t>或检测机构出具的检测报告等</w:t>
            </w:r>
            <w:r>
              <w:rPr>
                <w:rFonts w:hint="default" w:ascii="Times New Roman" w:hAnsi="Times New Roman" w:eastAsia="宋体" w:cs="Times New Roman"/>
              </w:rPr>
              <w:t>技术资料支持（定制产品除外）。</w:t>
            </w:r>
            <w:r>
              <w:rPr>
                <w:rFonts w:hint="default" w:ascii="Times New Roman" w:hAnsi="Times New Roman" w:eastAsia="宋体" w:cs="Times New Roman"/>
                <w:b w:val="0"/>
                <w:bCs w:val="0"/>
                <w:lang w:val="zh-CN"/>
              </w:rPr>
              <w:t>（以上资料</w:t>
            </w:r>
            <w:r>
              <w:rPr>
                <w:rFonts w:hint="default" w:ascii="Times New Roman" w:hAnsi="Times New Roman" w:eastAsia="宋体" w:cs="Times New Roman"/>
                <w:lang w:val="zh-CN"/>
              </w:rPr>
              <w:t>只要能证明“★”关键参数要求既可，不需全部提供。）</w:t>
            </w:r>
          </w:p>
          <w:p>
            <w:pPr>
              <w:ind w:left="0" w:leftChars="0" w:firstLine="840" w:firstLineChars="400"/>
              <w:rPr>
                <w:rFonts w:hint="eastAsia"/>
                <w:b/>
                <w:bCs/>
                <w:lang w:val="zh-CN"/>
              </w:rPr>
            </w:pPr>
            <w:r>
              <w:rPr>
                <w:rFonts w:hint="eastAsia" w:ascii="Times New Roman" w:hAnsi="Times New Roman" w:eastAsia="宋体" w:cs="Times New Roman"/>
                <w:lang w:val="en-US" w:eastAsia="zh-CN"/>
              </w:rPr>
              <w:t>3.</w:t>
            </w:r>
            <w:r>
              <w:rPr>
                <w:rFonts w:hint="default" w:ascii="Times New Roman" w:hAnsi="Times New Roman" w:eastAsia="宋体" w:cs="Times New Roman"/>
                <w:lang w:val="zh-CN" w:eastAsia="zh-CN"/>
              </w:rPr>
              <w:t>对于采购需求中难以验证、难以评判的指标由制造商出具承诺函即可；对于需要定制、涉及安装调试等客观内容无法提供技术证明资料的部分由投标人出具完全响应的承诺即可（承诺形式包含出具承诺函或技术参数响应偏离表响应无偏离）。</w:t>
            </w:r>
          </w:p>
        </w:tc>
      </w:tr>
    </w:tbl>
    <w:p>
      <w:pPr>
        <w:pStyle w:val="4"/>
        <w:keepNext/>
        <w:keepLines/>
        <w:pageBreakBefore w:val="0"/>
        <w:widowControl w:val="0"/>
        <w:kinsoku/>
        <w:wordWrap/>
        <w:overflowPunct/>
        <w:topLinePunct w:val="0"/>
        <w:autoSpaceDE/>
        <w:autoSpaceDN/>
        <w:bidi w:val="0"/>
        <w:adjustRightInd/>
        <w:snapToGrid/>
        <w:spacing w:before="157" w:beforeLines="50" w:after="157" w:afterLines="50" w:line="560" w:lineRule="exact"/>
        <w:textAlignment w:val="auto"/>
        <w:rPr>
          <w:rFonts w:hint="eastAsia" w:ascii="黑体" w:hAnsi="黑体" w:eastAsia="黑体" w:cs="黑体"/>
          <w:b w:val="0"/>
          <w:bCs/>
          <w:sz w:val="28"/>
          <w:szCs w:val="28"/>
        </w:rPr>
      </w:pPr>
      <w:bookmarkStart w:id="423" w:name="_Toc24099"/>
      <w:bookmarkStart w:id="424" w:name="_Toc9667"/>
      <w:bookmarkStart w:id="425" w:name="_Toc22402"/>
      <w:bookmarkStart w:id="426" w:name="_Toc7059"/>
      <w:r>
        <w:rPr>
          <w:rFonts w:hint="eastAsia" w:ascii="黑体" w:hAnsi="黑体" w:eastAsia="黑体" w:cs="黑体"/>
          <w:b w:val="0"/>
          <w:bCs/>
          <w:sz w:val="28"/>
          <w:szCs w:val="28"/>
          <w:lang w:val="en-US" w:eastAsia="zh-CN"/>
        </w:rPr>
        <w:t>二</w:t>
      </w:r>
      <w:r>
        <w:rPr>
          <w:rFonts w:hint="eastAsia" w:ascii="黑体" w:hAnsi="黑体" w:eastAsia="黑体" w:cs="黑体"/>
          <w:b w:val="0"/>
          <w:bCs/>
          <w:sz w:val="28"/>
          <w:szCs w:val="28"/>
        </w:rPr>
        <w:t>、</w:t>
      </w:r>
      <w:bookmarkEnd w:id="420"/>
      <w:r>
        <w:rPr>
          <w:rFonts w:hint="eastAsia" w:ascii="黑体" w:hAnsi="黑体" w:eastAsia="黑体" w:cs="黑体"/>
          <w:b w:val="0"/>
          <w:bCs/>
          <w:sz w:val="28"/>
          <w:szCs w:val="28"/>
        </w:rPr>
        <w:t>技术要求</w:t>
      </w:r>
      <w:bookmarkEnd w:id="421"/>
      <w:bookmarkEnd w:id="422"/>
      <w:bookmarkEnd w:id="423"/>
      <w:bookmarkEnd w:id="424"/>
      <w:bookmarkEnd w:id="425"/>
      <w:bookmarkEnd w:id="426"/>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6"/>
        <w:gridCol w:w="3383"/>
        <w:gridCol w:w="1310"/>
        <w:gridCol w:w="2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496" w:type="dxa"/>
            <w:noWrap w:val="0"/>
            <w:vAlign w:val="center"/>
          </w:tcPr>
          <w:p>
            <w:pPr>
              <w:spacing w:line="300" w:lineRule="exact"/>
              <w:jc w:val="center"/>
              <w:rPr>
                <w:rFonts w:ascii="宋体" w:hAnsi="宋体" w:cs="华文中宋"/>
                <w:b/>
                <w:bCs/>
                <w:szCs w:val="21"/>
              </w:rPr>
            </w:pPr>
            <w:r>
              <w:rPr>
                <w:rFonts w:hint="eastAsia" w:ascii="宋体" w:hAnsi="宋体" w:cs="华文中宋"/>
                <w:b/>
                <w:bCs/>
                <w:szCs w:val="21"/>
              </w:rPr>
              <w:t>产品用途及使用范围</w:t>
            </w:r>
          </w:p>
        </w:tc>
        <w:tc>
          <w:tcPr>
            <w:tcW w:w="6887" w:type="dxa"/>
            <w:gridSpan w:val="3"/>
            <w:noWrap w:val="0"/>
            <w:vAlign w:val="center"/>
          </w:tcPr>
          <w:p>
            <w:pPr>
              <w:spacing w:line="480" w:lineRule="exact"/>
              <w:rPr>
                <w:rFonts w:hint="default" w:ascii="仿宋_GB2312" w:eastAsia="仿宋_GB2312" w:cs="仿宋_GB2312"/>
                <w:szCs w:val="21"/>
                <w:lang w:val="en-US"/>
              </w:rPr>
            </w:pPr>
            <w:r>
              <w:rPr>
                <w:rFonts w:hint="eastAsia" w:asciiTheme="minorEastAsia" w:hAnsiTheme="minorEastAsia" w:eastAsiaTheme="minorEastAsia" w:cstheme="minorEastAsia"/>
                <w:kern w:val="0"/>
                <w:sz w:val="24"/>
                <w:szCs w:val="24"/>
                <w:lang w:val="zh-CN" w:bidi="zh-CN"/>
              </w:rPr>
              <w:t>用于专家审查全科的各种影像报告；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496" w:type="dxa"/>
            <w:noWrap w:val="0"/>
            <w:vAlign w:val="center"/>
          </w:tcPr>
          <w:p>
            <w:pPr>
              <w:spacing w:line="300" w:lineRule="exact"/>
              <w:jc w:val="center"/>
              <w:rPr>
                <w:rFonts w:ascii="宋体" w:hAnsi="宋体" w:cs="华文中宋"/>
                <w:b/>
                <w:bCs/>
                <w:szCs w:val="21"/>
              </w:rPr>
            </w:pPr>
            <w:r>
              <w:rPr>
                <w:rFonts w:hint="eastAsia" w:ascii="宋体" w:hAnsi="宋体" w:cs="华文中宋"/>
                <w:b/>
                <w:bCs/>
                <w:szCs w:val="21"/>
              </w:rPr>
              <w:t>安装场地</w:t>
            </w:r>
          </w:p>
        </w:tc>
        <w:tc>
          <w:tcPr>
            <w:tcW w:w="6887" w:type="dxa"/>
            <w:gridSpan w:val="3"/>
            <w:noWrap w:val="0"/>
            <w:vAlign w:val="center"/>
          </w:tcPr>
          <w:p>
            <w:pPr>
              <w:spacing w:line="320" w:lineRule="exact"/>
              <w:rPr>
                <w:rFonts w:hint="default" w:ascii="宋体" w:hAnsi="宋体" w:eastAsia="宋体"/>
                <w:szCs w:val="21"/>
                <w:lang w:val="en-US" w:eastAsia="zh-CN"/>
              </w:rPr>
            </w:pPr>
            <w:r>
              <w:rPr>
                <w:rFonts w:hint="default" w:ascii="宋体" w:hAnsi="宋体" w:eastAsia="宋体"/>
                <w:szCs w:val="21"/>
                <w:lang w:val="en-US" w:eastAsia="zh-CN"/>
              </w:rPr>
              <w:t>放射诊断楼</w:t>
            </w:r>
            <w:r>
              <w:rPr>
                <w:rFonts w:hint="eastAsia" w:ascii="宋体" w:hAnsi="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496" w:type="dxa"/>
            <w:noWrap w:val="0"/>
            <w:vAlign w:val="center"/>
          </w:tcPr>
          <w:p>
            <w:pPr>
              <w:spacing w:line="300" w:lineRule="exact"/>
              <w:jc w:val="center"/>
              <w:rPr>
                <w:rFonts w:ascii="宋体" w:hAnsi="宋体" w:cs="华文中宋"/>
                <w:b/>
                <w:bCs/>
                <w:szCs w:val="21"/>
              </w:rPr>
            </w:pPr>
            <w:r>
              <w:rPr>
                <w:rFonts w:hint="eastAsia" w:ascii="宋体" w:hAnsi="宋体" w:cs="华文中宋"/>
                <w:b/>
                <w:bCs/>
                <w:szCs w:val="21"/>
              </w:rPr>
              <w:t>使用环境</w:t>
            </w:r>
          </w:p>
        </w:tc>
        <w:tc>
          <w:tcPr>
            <w:tcW w:w="6887" w:type="dxa"/>
            <w:gridSpan w:val="3"/>
            <w:noWrap w:val="0"/>
            <w:vAlign w:val="center"/>
          </w:tcPr>
          <w:p>
            <w:pPr>
              <w:spacing w:line="320" w:lineRule="exact"/>
              <w:rPr>
                <w:rFonts w:hint="default" w:ascii="宋体" w:hAnsi="宋体" w:eastAsia="宋体"/>
                <w:szCs w:val="21"/>
                <w:lang w:val="en-US" w:eastAsia="zh-CN"/>
              </w:rPr>
            </w:pPr>
            <w:r>
              <w:rPr>
                <w:rFonts w:hint="eastAsia" w:ascii="宋体" w:hAnsi="宋体"/>
                <w:szCs w:val="21"/>
                <w:lang w:val="en-US" w:eastAsia="zh-CN"/>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9383" w:type="dxa"/>
            <w:gridSpan w:val="4"/>
            <w:noWrap w:val="0"/>
            <w:vAlign w:val="center"/>
          </w:tcPr>
          <w:p>
            <w:pPr>
              <w:spacing w:line="300" w:lineRule="exact"/>
              <w:jc w:val="center"/>
              <w:rPr>
                <w:rFonts w:ascii="宋体" w:hAnsi="宋体"/>
                <w:b/>
                <w:szCs w:val="21"/>
              </w:rPr>
            </w:pPr>
            <w:r>
              <w:rPr>
                <w:rFonts w:hint="eastAsia" w:ascii="宋体" w:hAnsi="宋体" w:cs="华文中宋"/>
                <w:b/>
                <w:bCs/>
                <w:szCs w:val="21"/>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5879" w:type="dxa"/>
            <w:gridSpan w:val="2"/>
            <w:noWrap w:val="0"/>
            <w:vAlign w:val="center"/>
          </w:tcPr>
          <w:p>
            <w:pPr>
              <w:jc w:val="center"/>
              <w:rPr>
                <w:rFonts w:ascii="宋体" w:hAnsi="宋体" w:cs="华文中宋"/>
                <w:b/>
                <w:bCs/>
                <w:szCs w:val="21"/>
              </w:rPr>
            </w:pPr>
            <w:r>
              <w:rPr>
                <w:rFonts w:hint="eastAsia" w:ascii="宋体" w:hAnsi="宋体" w:cs="华文中宋"/>
                <w:b/>
                <w:bCs/>
                <w:szCs w:val="21"/>
              </w:rPr>
              <w:t>具体性能与参数要求</w:t>
            </w:r>
          </w:p>
        </w:tc>
        <w:tc>
          <w:tcPr>
            <w:tcW w:w="3504" w:type="dxa"/>
            <w:gridSpan w:val="2"/>
            <w:noWrap w:val="0"/>
            <w:vAlign w:val="center"/>
          </w:tcPr>
          <w:p>
            <w:pPr>
              <w:jc w:val="center"/>
              <w:rPr>
                <w:rFonts w:hint="eastAsia" w:ascii="宋体" w:hAnsi="宋体" w:cs="华文中宋"/>
                <w:szCs w:val="21"/>
              </w:rPr>
            </w:pPr>
            <w:r>
              <w:rPr>
                <w:rFonts w:hint="eastAsia" w:ascii="宋体" w:hAnsi="宋体" w:cs="华文中宋"/>
                <w:b/>
                <w:bCs/>
                <w:szCs w:val="21"/>
                <w:lang w:val="zh-CN"/>
              </w:rPr>
              <w:t>可量化指标正偏离认定情况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5879" w:type="dxa"/>
            <w:gridSpan w:val="2"/>
            <w:noWrap w:val="0"/>
            <w:vAlign w:val="center"/>
          </w:tcPr>
          <w:p>
            <w:pPr>
              <w:jc w:val="left"/>
              <w:rPr>
                <w:rFonts w:hint="default" w:asciiTheme="minorEastAsia" w:hAnsiTheme="minorEastAsia" w:eastAsiaTheme="minorEastAsia" w:cstheme="minorEastAsia"/>
                <w:kern w:val="0"/>
                <w:sz w:val="24"/>
                <w:szCs w:val="24"/>
                <w:lang w:val="en-US" w:eastAsia="zh-CN" w:bidi="zh-CN"/>
              </w:rPr>
            </w:pPr>
            <w:r>
              <w:rPr>
                <w:rFonts w:hint="eastAsia" w:asciiTheme="minorEastAsia" w:hAnsiTheme="minorEastAsia" w:eastAsiaTheme="minorEastAsia" w:cstheme="minorEastAsia"/>
                <w:kern w:val="0"/>
                <w:sz w:val="24"/>
                <w:szCs w:val="24"/>
                <w:lang w:bidi="zh-CN"/>
              </w:rPr>
              <w:t>★1.</w:t>
            </w:r>
            <w:r>
              <w:rPr>
                <w:rFonts w:hint="eastAsia" w:asciiTheme="minorEastAsia" w:hAnsiTheme="minorEastAsia" w:eastAsiaTheme="minorEastAsia" w:cstheme="minorEastAsia"/>
                <w:sz w:val="24"/>
                <w:szCs w:val="24"/>
                <w:lang w:bidi="zh-CN"/>
              </w:rPr>
              <w:t>LED背光，屏幕尺寸≥</w:t>
            </w:r>
            <w:r>
              <w:rPr>
                <w:rFonts w:hint="eastAsia" w:asciiTheme="minorEastAsia" w:hAnsiTheme="minorEastAsia" w:eastAsiaTheme="minorEastAsia" w:cstheme="minorEastAsia"/>
                <w:color w:val="C00000"/>
                <w:sz w:val="24"/>
                <w:szCs w:val="24"/>
                <w:lang w:bidi="zh-CN"/>
              </w:rPr>
              <w:t>31英寸</w:t>
            </w:r>
            <w:r>
              <w:rPr>
                <w:rFonts w:hint="eastAsia" w:asciiTheme="minorEastAsia" w:hAnsiTheme="minorEastAsia" w:eastAsiaTheme="minorEastAsia" w:cstheme="minorEastAsia"/>
                <w:sz w:val="24"/>
                <w:szCs w:val="24"/>
                <w:lang w:bidi="zh-CN"/>
              </w:rPr>
              <w:t>，分辨率≥3840×2160。输入接口：VGA、DVI×2、HDMI×2、DP×2可接收≥7</w:t>
            </w:r>
            <w:r>
              <w:rPr>
                <w:rFonts w:hint="eastAsia" w:asciiTheme="minorEastAsia" w:hAnsiTheme="minorEastAsia" w:eastAsiaTheme="minorEastAsia" w:cstheme="minorEastAsia"/>
                <w:sz w:val="24"/>
                <w:szCs w:val="24"/>
                <w:lang w:val="en-US" w:bidi="zh-CN"/>
              </w:rPr>
              <w:t>路</w:t>
            </w:r>
            <w:r>
              <w:rPr>
                <w:rFonts w:hint="eastAsia" w:asciiTheme="minorEastAsia" w:hAnsiTheme="minorEastAsia" w:eastAsiaTheme="minorEastAsia" w:cstheme="minorEastAsia"/>
                <w:sz w:val="24"/>
                <w:szCs w:val="24"/>
                <w:lang w:bidi="zh-CN"/>
              </w:rPr>
              <w:t>独立信号并同时显示（整机主板自带接口，非信号转接头、和外接拓展设备）；</w:t>
            </w:r>
          </w:p>
        </w:tc>
        <w:tc>
          <w:tcPr>
            <w:tcW w:w="3504" w:type="dxa"/>
            <w:gridSpan w:val="2"/>
            <w:noWrap w:val="0"/>
            <w:vAlign w:val="center"/>
          </w:tcPr>
          <w:p>
            <w:pPr>
              <w:jc w:val="center"/>
              <w:rPr>
                <w:rFonts w:hint="eastAsia" w:asciiTheme="minorEastAsia" w:hAnsiTheme="minorEastAsia" w:eastAsiaTheme="minorEastAsia" w:cstheme="minorEastAsia"/>
                <w:kern w:val="0"/>
                <w:sz w:val="24"/>
                <w:szCs w:val="24"/>
                <w:lang w:val="en-US" w:eastAsia="zh-CN" w:bidi="zh-CN"/>
              </w:rPr>
            </w:pPr>
            <w:r>
              <w:rPr>
                <w:rFonts w:hint="eastAsia" w:asciiTheme="minorEastAsia" w:hAnsiTheme="minorEastAsia" w:eastAsiaTheme="minorEastAsia" w:cstheme="minorEastAsia"/>
                <w:kern w:val="0"/>
                <w:sz w:val="24"/>
                <w:szCs w:val="24"/>
                <w:lang w:bidi="zh-CN"/>
              </w:rPr>
              <w:t>信号接口越多，适用于多种工作模式加分，尺寸、分辨率高的加分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5879" w:type="dxa"/>
            <w:gridSpan w:val="2"/>
            <w:noWrap w:val="0"/>
            <w:vAlign w:val="center"/>
          </w:tcPr>
          <w:p>
            <w:pPr>
              <w:jc w:val="left"/>
              <w:rPr>
                <w:rFonts w:hint="eastAsia" w:asciiTheme="minorEastAsia" w:hAnsiTheme="minorEastAsia" w:eastAsiaTheme="minorEastAsia" w:cstheme="minorEastAsia"/>
                <w:kern w:val="0"/>
                <w:sz w:val="24"/>
                <w:szCs w:val="24"/>
                <w:lang w:val="en-US" w:eastAsia="zh-CN" w:bidi="zh-CN"/>
              </w:rPr>
            </w:pPr>
            <w:r>
              <w:rPr>
                <w:rFonts w:hint="eastAsia" w:asciiTheme="minorEastAsia" w:hAnsiTheme="minorEastAsia" w:eastAsiaTheme="minorEastAsia" w:cstheme="minorEastAsia"/>
                <w:kern w:val="0"/>
                <w:sz w:val="24"/>
                <w:szCs w:val="24"/>
                <w:lang w:bidi="zh-CN"/>
              </w:rPr>
              <w:t>▲2.多功能应用：显示器前框≥15个机械按键（非外接拓展按键或软件虚拟按键），可一键快捷切换单屏/双屏/三屏/四屏/画中画等，并实时在屏幕上显示当前机内温度实际数值和亮度的实际数值；</w:t>
            </w:r>
          </w:p>
        </w:tc>
        <w:tc>
          <w:tcPr>
            <w:tcW w:w="3504" w:type="dxa"/>
            <w:gridSpan w:val="2"/>
            <w:noWrap w:val="0"/>
            <w:vAlign w:val="center"/>
          </w:tcPr>
          <w:p>
            <w:pPr>
              <w:jc w:val="center"/>
              <w:rPr>
                <w:rFonts w:hint="eastAsia" w:asciiTheme="minorEastAsia" w:hAnsiTheme="minorEastAsia" w:eastAsiaTheme="minorEastAsia" w:cstheme="minorEastAsia"/>
                <w:kern w:val="0"/>
                <w:sz w:val="24"/>
                <w:szCs w:val="24"/>
                <w:lang w:val="en-US" w:eastAsia="zh-CN" w:bidi="zh-CN"/>
              </w:rPr>
            </w:pPr>
            <w:r>
              <w:rPr>
                <w:rFonts w:hint="eastAsia" w:asciiTheme="minorEastAsia" w:hAnsiTheme="minorEastAsia" w:eastAsiaTheme="minorEastAsia" w:cstheme="minorEastAsia"/>
                <w:kern w:val="0"/>
                <w:sz w:val="24"/>
                <w:szCs w:val="24"/>
                <w:lang w:bidi="zh-CN"/>
              </w:rPr>
              <w:t>机械按键越多，功能越全加分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5879" w:type="dxa"/>
            <w:gridSpan w:val="2"/>
            <w:noWrap w:val="0"/>
            <w:vAlign w:val="center"/>
          </w:tcPr>
          <w:p>
            <w:pPr>
              <w:jc w:val="left"/>
              <w:rPr>
                <w:rFonts w:hint="eastAsia" w:asciiTheme="minorEastAsia" w:hAnsiTheme="minorEastAsia" w:eastAsiaTheme="minorEastAsia" w:cstheme="minorEastAsia"/>
                <w:kern w:val="0"/>
                <w:sz w:val="24"/>
                <w:szCs w:val="24"/>
                <w:lang w:val="en-US" w:eastAsia="zh-CN" w:bidi="zh-CN"/>
              </w:rPr>
            </w:pPr>
            <w:r>
              <w:rPr>
                <w:rFonts w:hint="eastAsia" w:asciiTheme="minorEastAsia" w:hAnsiTheme="minorEastAsia" w:eastAsiaTheme="minorEastAsia" w:cstheme="minorEastAsia"/>
                <w:kern w:val="0"/>
                <w:sz w:val="24"/>
                <w:szCs w:val="24"/>
                <w:lang w:bidi="zh-CN"/>
              </w:rPr>
              <w:t>▲3.屏幕上显示≥8</w:t>
            </w:r>
            <w:r>
              <w:rPr>
                <w:rFonts w:hint="eastAsia" w:asciiTheme="minorEastAsia" w:hAnsiTheme="minorEastAsia" w:eastAsiaTheme="minorEastAsia" w:cstheme="minorEastAsia"/>
                <w:kern w:val="0"/>
                <w:sz w:val="24"/>
                <w:szCs w:val="24"/>
                <w:lang w:val="en-US" w:bidi="zh-CN"/>
              </w:rPr>
              <w:t>路</w:t>
            </w:r>
            <w:r>
              <w:rPr>
                <w:rFonts w:hint="eastAsia" w:asciiTheme="minorEastAsia" w:hAnsiTheme="minorEastAsia" w:eastAsiaTheme="minorEastAsia" w:cstheme="minorEastAsia"/>
                <w:kern w:val="0"/>
                <w:sz w:val="24"/>
                <w:szCs w:val="24"/>
                <w:lang w:bidi="zh-CN"/>
              </w:rPr>
              <w:t>独立画面模式，可对每路信号进行独立的医学影像校正。（整机主板自带接口，非信号转接头、软件和外接拓展设备）；</w:t>
            </w:r>
          </w:p>
        </w:tc>
        <w:tc>
          <w:tcPr>
            <w:tcW w:w="3504" w:type="dxa"/>
            <w:gridSpan w:val="2"/>
            <w:noWrap w:val="0"/>
            <w:vAlign w:val="center"/>
          </w:tcPr>
          <w:p>
            <w:pPr>
              <w:jc w:val="center"/>
              <w:rPr>
                <w:rFonts w:hint="eastAsia" w:asciiTheme="minorEastAsia" w:hAnsiTheme="minorEastAsia" w:eastAsiaTheme="minorEastAsia" w:cstheme="minorEastAsia"/>
                <w:kern w:val="0"/>
                <w:sz w:val="24"/>
                <w:szCs w:val="24"/>
                <w:lang w:val="en-US" w:eastAsia="zh-CN" w:bidi="zh-CN"/>
              </w:rPr>
            </w:pPr>
            <w:r>
              <w:rPr>
                <w:rFonts w:hint="eastAsia" w:asciiTheme="minorEastAsia" w:hAnsiTheme="minorEastAsia" w:eastAsiaTheme="minorEastAsia" w:cstheme="minorEastAsia"/>
                <w:kern w:val="0"/>
                <w:sz w:val="24"/>
                <w:szCs w:val="24"/>
                <w:lang w:bidi="zh-CN"/>
              </w:rPr>
              <w:t>独立信号画面多的加分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5879" w:type="dxa"/>
            <w:gridSpan w:val="2"/>
            <w:noWrap w:val="0"/>
            <w:vAlign w:val="center"/>
          </w:tcPr>
          <w:p>
            <w:pPr>
              <w:widowControl/>
              <w:jc w:val="left"/>
              <w:rPr>
                <w:rFonts w:hint="default" w:asciiTheme="minorEastAsia" w:hAnsiTheme="minorEastAsia" w:eastAsiaTheme="minorEastAsia" w:cstheme="minorEastAsia"/>
                <w:kern w:val="0"/>
                <w:sz w:val="24"/>
                <w:szCs w:val="24"/>
                <w:lang w:val="en-US" w:eastAsia="zh-CN" w:bidi="zh-CN"/>
              </w:rPr>
            </w:pPr>
            <w:r>
              <w:rPr>
                <w:rFonts w:hint="eastAsia" w:asciiTheme="minorEastAsia" w:hAnsiTheme="minorEastAsia" w:eastAsiaTheme="minorEastAsia" w:cstheme="minorEastAsia"/>
                <w:kern w:val="0"/>
                <w:sz w:val="24"/>
                <w:szCs w:val="24"/>
                <w:lang w:bidi="zh-CN"/>
              </w:rPr>
              <w:t>4.视角≥178°，亮度≥850cd/㎡，支持色彩≥10.7亿（LUT:彩色≥48Bit）；</w:t>
            </w:r>
          </w:p>
        </w:tc>
        <w:tc>
          <w:tcPr>
            <w:tcW w:w="3504" w:type="dxa"/>
            <w:gridSpan w:val="2"/>
            <w:noWrap w:val="0"/>
            <w:vAlign w:val="center"/>
          </w:tcPr>
          <w:p>
            <w:pPr>
              <w:spacing w:line="480" w:lineRule="exact"/>
              <w:jc w:val="center"/>
              <w:rPr>
                <w:rFonts w:hint="eastAsia" w:ascii="仿宋_GB2312" w:eastAsia="仿宋_GB2312" w:cs="仿宋_GB2312"/>
                <w:szCs w:val="21"/>
                <w:lang w:val="en-US" w:eastAsia="zh-CN"/>
              </w:rPr>
            </w:pPr>
            <w:r>
              <w:rPr>
                <w:rFonts w:hint="eastAsia" w:ascii="仿宋_GB2312" w:eastAsia="仿宋_GB2312" w:cs="仿宋_GB2312"/>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5879" w:type="dxa"/>
            <w:gridSpan w:val="2"/>
            <w:noWrap w:val="0"/>
            <w:vAlign w:val="center"/>
          </w:tcPr>
          <w:p>
            <w:pPr>
              <w:widowControl/>
              <w:jc w:val="left"/>
              <w:rPr>
                <w:rFonts w:hint="eastAsia" w:asciiTheme="minorEastAsia" w:hAnsiTheme="minorEastAsia" w:eastAsiaTheme="minorEastAsia" w:cstheme="minorEastAsia"/>
                <w:kern w:val="0"/>
                <w:sz w:val="24"/>
                <w:szCs w:val="24"/>
                <w:lang w:val="en-US" w:eastAsia="zh-CN" w:bidi="zh-CN"/>
              </w:rPr>
            </w:pPr>
            <w:r>
              <w:rPr>
                <w:rFonts w:hint="eastAsia" w:asciiTheme="minorEastAsia" w:hAnsiTheme="minorEastAsia" w:eastAsiaTheme="minorEastAsia" w:cstheme="minorEastAsia"/>
                <w:kern w:val="0"/>
                <w:sz w:val="24"/>
                <w:szCs w:val="24"/>
                <w:lang w:bidi="zh-CN"/>
              </w:rPr>
              <w:t>5.分辨率自适应系统：多功能应用分屏后，显示器可自动识别最佳分辨率，无需手动调节；</w:t>
            </w:r>
          </w:p>
        </w:tc>
        <w:tc>
          <w:tcPr>
            <w:tcW w:w="3504" w:type="dxa"/>
            <w:gridSpan w:val="2"/>
            <w:noWrap w:val="0"/>
            <w:vAlign w:val="center"/>
          </w:tcPr>
          <w:p>
            <w:pPr>
              <w:spacing w:line="480" w:lineRule="exact"/>
              <w:jc w:val="center"/>
              <w:rPr>
                <w:rFonts w:hint="eastAsia" w:ascii="仿宋_GB2312" w:eastAsia="仿宋_GB2312" w:cs="仿宋_GB2312"/>
                <w:szCs w:val="21"/>
              </w:rPr>
            </w:pPr>
            <w:r>
              <w:rPr>
                <w:rFonts w:hint="eastAsia" w:ascii="仿宋_GB2312" w:eastAsia="仿宋_GB2312" w:cs="仿宋_GB2312"/>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5879" w:type="dxa"/>
            <w:gridSpan w:val="2"/>
            <w:noWrap w:val="0"/>
            <w:vAlign w:val="center"/>
          </w:tcPr>
          <w:p>
            <w:pPr>
              <w:widowControl/>
              <w:jc w:val="left"/>
              <w:rPr>
                <w:rFonts w:hint="eastAsia" w:asciiTheme="minorEastAsia" w:hAnsiTheme="minorEastAsia" w:eastAsiaTheme="minorEastAsia" w:cstheme="minorEastAsia"/>
                <w:kern w:val="0"/>
                <w:sz w:val="24"/>
                <w:szCs w:val="24"/>
                <w:lang w:val="en-US" w:eastAsia="zh-CN" w:bidi="zh-CN"/>
              </w:rPr>
            </w:pPr>
            <w:r>
              <w:rPr>
                <w:rFonts w:hint="eastAsia" w:asciiTheme="minorEastAsia" w:hAnsiTheme="minorEastAsia" w:eastAsiaTheme="minorEastAsia" w:cstheme="minorEastAsia"/>
                <w:kern w:val="0"/>
                <w:sz w:val="24"/>
                <w:szCs w:val="24"/>
                <w:lang w:bidi="zh-CN"/>
              </w:rPr>
              <w:t>6.显示器完全符合DICOM3.14标准，支持DICOM自动校准，内置≥16条医疗曲线；</w:t>
            </w:r>
          </w:p>
        </w:tc>
        <w:tc>
          <w:tcPr>
            <w:tcW w:w="3504" w:type="dxa"/>
            <w:gridSpan w:val="2"/>
            <w:noWrap w:val="0"/>
            <w:vAlign w:val="center"/>
          </w:tcPr>
          <w:p>
            <w:pPr>
              <w:spacing w:line="480" w:lineRule="exact"/>
              <w:jc w:val="center"/>
              <w:rPr>
                <w:rFonts w:hint="eastAsia" w:ascii="仿宋_GB2312" w:eastAsia="仿宋_GB2312" w:cs="仿宋_GB2312"/>
                <w:szCs w:val="21"/>
              </w:rPr>
            </w:pPr>
            <w:r>
              <w:rPr>
                <w:rFonts w:hint="eastAsia" w:ascii="仿宋_GB2312" w:eastAsia="仿宋_GB2312" w:cs="仿宋_GB2312"/>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5879" w:type="dxa"/>
            <w:gridSpan w:val="2"/>
            <w:noWrap w:val="0"/>
            <w:vAlign w:val="center"/>
          </w:tcPr>
          <w:p>
            <w:pPr>
              <w:widowControl/>
              <w:jc w:val="left"/>
              <w:rPr>
                <w:rFonts w:hint="eastAsia" w:asciiTheme="minorEastAsia" w:hAnsiTheme="minorEastAsia" w:eastAsiaTheme="minorEastAsia" w:cstheme="minorEastAsia"/>
                <w:kern w:val="0"/>
                <w:sz w:val="24"/>
                <w:szCs w:val="24"/>
                <w:lang w:val="en-US" w:eastAsia="zh-CN" w:bidi="zh-CN"/>
              </w:rPr>
            </w:pPr>
            <w:r>
              <w:rPr>
                <w:rFonts w:hint="eastAsia" w:asciiTheme="minorEastAsia" w:hAnsiTheme="minorEastAsia" w:eastAsiaTheme="minorEastAsia" w:cstheme="minorEastAsia"/>
                <w:kern w:val="0"/>
                <w:sz w:val="24"/>
                <w:szCs w:val="24"/>
                <w:lang w:bidi="zh-CN"/>
              </w:rPr>
              <w:t>7.具有一键切换灯箱模式，方便医生胶片诊断</w:t>
            </w:r>
          </w:p>
        </w:tc>
        <w:tc>
          <w:tcPr>
            <w:tcW w:w="3504" w:type="dxa"/>
            <w:gridSpan w:val="2"/>
            <w:noWrap w:val="0"/>
            <w:vAlign w:val="center"/>
          </w:tcPr>
          <w:p>
            <w:pPr>
              <w:spacing w:line="480" w:lineRule="exact"/>
              <w:jc w:val="center"/>
              <w:rPr>
                <w:rFonts w:hint="eastAsia" w:ascii="仿宋_GB2312" w:eastAsia="仿宋_GB2312" w:cs="仿宋_GB2312"/>
                <w:szCs w:val="21"/>
              </w:rPr>
            </w:pPr>
            <w:r>
              <w:rPr>
                <w:rFonts w:hint="eastAsia" w:ascii="仿宋_GB2312" w:eastAsia="仿宋_GB2312" w:cs="仿宋_GB2312"/>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5879" w:type="dxa"/>
            <w:gridSpan w:val="2"/>
            <w:noWrap w:val="0"/>
            <w:vAlign w:val="center"/>
          </w:tcPr>
          <w:p>
            <w:pPr>
              <w:widowControl/>
              <w:jc w:val="left"/>
              <w:rPr>
                <w:rFonts w:hint="eastAsia" w:asciiTheme="minorEastAsia" w:hAnsiTheme="minorEastAsia" w:eastAsiaTheme="minorEastAsia" w:cstheme="minorEastAsia"/>
                <w:kern w:val="0"/>
                <w:sz w:val="24"/>
                <w:szCs w:val="24"/>
                <w:lang w:val="en-US" w:eastAsia="zh-CN" w:bidi="zh-CN"/>
              </w:rPr>
            </w:pPr>
            <w:r>
              <w:rPr>
                <w:rFonts w:hint="eastAsia" w:asciiTheme="minorEastAsia" w:hAnsiTheme="minorEastAsia" w:eastAsiaTheme="minorEastAsia" w:cstheme="minorEastAsia"/>
                <w:kern w:val="0"/>
                <w:sz w:val="24"/>
                <w:szCs w:val="24"/>
                <w:lang w:bidi="zh-CN"/>
              </w:rPr>
              <w:t>8.智能浮窗：可通过显示器独立信号输入在桌面上显示独立窗口，窗口位置可以调节，便于多功能会诊及远程诊断模式；</w:t>
            </w:r>
          </w:p>
        </w:tc>
        <w:tc>
          <w:tcPr>
            <w:tcW w:w="3504" w:type="dxa"/>
            <w:gridSpan w:val="2"/>
            <w:noWrap w:val="0"/>
            <w:vAlign w:val="center"/>
          </w:tcPr>
          <w:p>
            <w:pPr>
              <w:spacing w:line="480" w:lineRule="exact"/>
              <w:jc w:val="center"/>
              <w:rPr>
                <w:rFonts w:hint="eastAsia" w:ascii="仿宋_GB2312" w:eastAsia="仿宋_GB2312" w:cs="仿宋_GB2312"/>
                <w:szCs w:val="21"/>
              </w:rPr>
            </w:pPr>
            <w:r>
              <w:rPr>
                <w:rFonts w:hint="eastAsia" w:ascii="仿宋_GB2312" w:eastAsia="仿宋_GB2312" w:cs="仿宋_GB2312"/>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9383" w:type="dxa"/>
            <w:gridSpan w:val="4"/>
            <w:noWrap w:val="0"/>
            <w:vAlign w:val="center"/>
          </w:tcPr>
          <w:p>
            <w:pPr>
              <w:spacing w:line="480" w:lineRule="exact"/>
              <w:rPr>
                <w:rFonts w:hint="eastAsia" w:ascii="仿宋_GB2312" w:eastAsia="仿宋_GB2312" w:cs="仿宋_GB2312"/>
                <w:szCs w:val="21"/>
              </w:rPr>
            </w:pPr>
            <w:r>
              <w:rPr>
                <w:rFonts w:hint="eastAsia" w:ascii="仿宋_GB2312" w:eastAsia="仿宋_GB2312" w:cs="仿宋_GB2312"/>
                <w:szCs w:val="21"/>
              </w:rPr>
              <w:t>（“★”和 正偏离参数请在“技术指标参数响应偏离表”中标注对应支撑材料页码）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7189" w:type="dxa"/>
            <w:gridSpan w:val="3"/>
            <w:noWrap w:val="0"/>
            <w:vAlign w:val="center"/>
          </w:tcPr>
          <w:p>
            <w:pPr>
              <w:spacing w:line="300" w:lineRule="exact"/>
              <w:jc w:val="center"/>
              <w:rPr>
                <w:rFonts w:ascii="宋体" w:hAnsi="宋体" w:cs="华文中宋"/>
                <w:b/>
                <w:bCs/>
                <w:szCs w:val="21"/>
              </w:rPr>
            </w:pPr>
            <w:r>
              <w:rPr>
                <w:rFonts w:hint="eastAsia" w:ascii="宋体" w:hAnsi="宋体" w:cs="华文中宋"/>
                <w:b/>
                <w:bCs/>
                <w:szCs w:val="21"/>
              </w:rPr>
              <w:t>单台设备配置清单</w:t>
            </w:r>
          </w:p>
        </w:tc>
        <w:tc>
          <w:tcPr>
            <w:tcW w:w="2194" w:type="dxa"/>
            <w:noWrap w:val="0"/>
            <w:vAlign w:val="center"/>
          </w:tcPr>
          <w:p>
            <w:pPr>
              <w:jc w:val="center"/>
              <w:rPr>
                <w:rFonts w:ascii="宋体" w:hAnsi="宋体" w:cs="华文中宋"/>
                <w:b/>
                <w:bCs/>
                <w:szCs w:val="21"/>
              </w:rPr>
            </w:pPr>
            <w:r>
              <w:rPr>
                <w:rFonts w:hint="eastAsia" w:ascii="宋体" w:hAnsi="宋体" w:cs="华文中宋"/>
                <w:b/>
                <w:bCs/>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noWrap w:val="0"/>
            <w:vAlign w:val="center"/>
          </w:tcPr>
          <w:p>
            <w:pPr>
              <w:jc w:val="center"/>
              <w:rPr>
                <w:rFonts w:hint="eastAsia" w:asciiTheme="minorEastAsia" w:hAnsiTheme="minorEastAsia" w:eastAsiaTheme="minorEastAsia" w:cstheme="minorEastAsia"/>
                <w:kern w:val="0"/>
                <w:sz w:val="24"/>
                <w:szCs w:val="24"/>
                <w:lang w:val="en-US" w:eastAsia="zh-CN" w:bidi="zh-CN"/>
              </w:rPr>
            </w:pPr>
            <w:r>
              <w:rPr>
                <w:rFonts w:hint="eastAsia" w:asciiTheme="minorEastAsia" w:hAnsiTheme="minorEastAsia" w:eastAsiaTheme="minorEastAsia" w:cstheme="minorEastAsia"/>
                <w:kern w:val="0"/>
                <w:sz w:val="24"/>
                <w:szCs w:val="24"/>
                <w:lang w:bidi="zh-CN"/>
              </w:rPr>
              <w:t>显示器</w:t>
            </w:r>
          </w:p>
        </w:tc>
        <w:tc>
          <w:tcPr>
            <w:tcW w:w="2194" w:type="dxa"/>
            <w:noWrap w:val="0"/>
            <w:vAlign w:val="center"/>
          </w:tcPr>
          <w:p>
            <w:pPr>
              <w:jc w:val="center"/>
              <w:rPr>
                <w:rFonts w:hint="eastAsia" w:asciiTheme="minorEastAsia" w:hAnsiTheme="minorEastAsia" w:eastAsiaTheme="minorEastAsia" w:cstheme="minorEastAsia"/>
                <w:kern w:val="0"/>
                <w:sz w:val="24"/>
                <w:szCs w:val="24"/>
                <w:lang w:val="en-US" w:eastAsia="zh-CN" w:bidi="zh-CN"/>
              </w:rPr>
            </w:pPr>
            <w:r>
              <w:rPr>
                <w:rFonts w:hint="eastAsia" w:asciiTheme="minorEastAsia" w:hAnsiTheme="minorEastAsia" w:eastAsiaTheme="minorEastAsia" w:cstheme="minorEastAsia"/>
                <w:kern w:val="0"/>
                <w:sz w:val="24"/>
                <w:szCs w:val="24"/>
                <w:lang w:val="en-US" w:bidi="zh-CN"/>
              </w:rPr>
              <w:t>1</w:t>
            </w:r>
            <w:r>
              <w:rPr>
                <w:rFonts w:hint="eastAsia" w:asciiTheme="minorEastAsia" w:hAnsiTheme="minorEastAsia" w:eastAsiaTheme="minorEastAsia" w:cstheme="minorEastAsia"/>
                <w:kern w:val="0"/>
                <w:sz w:val="24"/>
                <w:szCs w:val="24"/>
                <w:lang w:bidi="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noWrap w:val="0"/>
            <w:vAlign w:val="center"/>
          </w:tcPr>
          <w:p>
            <w:pPr>
              <w:jc w:val="center"/>
              <w:rPr>
                <w:rFonts w:hint="eastAsia" w:asciiTheme="minorEastAsia" w:hAnsiTheme="minorEastAsia" w:eastAsiaTheme="minorEastAsia" w:cstheme="minorEastAsia"/>
                <w:kern w:val="0"/>
                <w:sz w:val="24"/>
                <w:szCs w:val="24"/>
                <w:lang w:val="en-US" w:eastAsia="zh-CN" w:bidi="zh-CN"/>
              </w:rPr>
            </w:pPr>
            <w:r>
              <w:rPr>
                <w:rFonts w:hint="eastAsia" w:asciiTheme="minorEastAsia" w:hAnsiTheme="minorEastAsia" w:eastAsiaTheme="minorEastAsia" w:cstheme="minorEastAsia"/>
                <w:kern w:val="0"/>
                <w:sz w:val="24"/>
                <w:szCs w:val="24"/>
                <w:lang w:bidi="zh-CN"/>
              </w:rPr>
              <w:t>电源适配器</w:t>
            </w:r>
          </w:p>
        </w:tc>
        <w:tc>
          <w:tcPr>
            <w:tcW w:w="2194" w:type="dxa"/>
            <w:noWrap w:val="0"/>
            <w:vAlign w:val="center"/>
          </w:tcPr>
          <w:p>
            <w:pPr>
              <w:jc w:val="center"/>
              <w:rPr>
                <w:rFonts w:hint="eastAsia" w:asciiTheme="minorEastAsia" w:hAnsiTheme="minorEastAsia" w:eastAsiaTheme="minorEastAsia" w:cstheme="minorEastAsia"/>
                <w:kern w:val="0"/>
                <w:sz w:val="24"/>
                <w:szCs w:val="24"/>
                <w:lang w:val="en-US" w:eastAsia="zh-CN" w:bidi="zh-CN"/>
              </w:rPr>
            </w:pPr>
            <w:r>
              <w:rPr>
                <w:rFonts w:hint="eastAsia" w:asciiTheme="minorEastAsia" w:hAnsiTheme="minorEastAsia" w:eastAsiaTheme="minorEastAsia" w:cstheme="minorEastAsia"/>
                <w:kern w:val="0"/>
                <w:sz w:val="24"/>
                <w:szCs w:val="24"/>
                <w:lang w:val="en-US" w:bidi="zh-CN"/>
              </w:rPr>
              <w:t>1</w:t>
            </w:r>
            <w:r>
              <w:rPr>
                <w:rFonts w:hint="eastAsia" w:asciiTheme="minorEastAsia" w:hAnsiTheme="minorEastAsia" w:eastAsiaTheme="minorEastAsia" w:cstheme="minorEastAsia"/>
                <w:kern w:val="0"/>
                <w:sz w:val="24"/>
                <w:szCs w:val="24"/>
                <w:lang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noWrap w:val="0"/>
            <w:vAlign w:val="center"/>
          </w:tcPr>
          <w:p>
            <w:pPr>
              <w:jc w:val="center"/>
              <w:rPr>
                <w:rFonts w:hint="eastAsia" w:asciiTheme="minorEastAsia" w:hAnsiTheme="minorEastAsia" w:eastAsiaTheme="minorEastAsia" w:cstheme="minorEastAsia"/>
                <w:kern w:val="0"/>
                <w:sz w:val="24"/>
                <w:szCs w:val="24"/>
                <w:lang w:val="en-US" w:eastAsia="zh-CN" w:bidi="zh-CN"/>
              </w:rPr>
            </w:pPr>
            <w:r>
              <w:rPr>
                <w:rFonts w:hint="eastAsia" w:asciiTheme="minorEastAsia" w:hAnsiTheme="minorEastAsia" w:eastAsiaTheme="minorEastAsia" w:cstheme="minorEastAsia"/>
                <w:kern w:val="0"/>
                <w:sz w:val="24"/>
                <w:szCs w:val="24"/>
                <w:lang w:bidi="zh-CN"/>
              </w:rPr>
              <w:t>信号线</w:t>
            </w:r>
          </w:p>
        </w:tc>
        <w:tc>
          <w:tcPr>
            <w:tcW w:w="2194" w:type="dxa"/>
            <w:noWrap w:val="0"/>
            <w:vAlign w:val="center"/>
          </w:tcPr>
          <w:p>
            <w:pPr>
              <w:jc w:val="center"/>
              <w:rPr>
                <w:rFonts w:hint="eastAsia" w:asciiTheme="minorEastAsia" w:hAnsiTheme="minorEastAsia" w:eastAsiaTheme="minorEastAsia" w:cstheme="minorEastAsia"/>
                <w:kern w:val="0"/>
                <w:sz w:val="24"/>
                <w:szCs w:val="24"/>
                <w:lang w:val="en-US" w:eastAsia="zh-CN" w:bidi="zh-CN"/>
              </w:rPr>
            </w:pPr>
            <w:r>
              <w:rPr>
                <w:rFonts w:hint="eastAsia" w:asciiTheme="minorEastAsia" w:hAnsiTheme="minorEastAsia" w:eastAsiaTheme="minorEastAsia" w:cstheme="minorEastAsia"/>
                <w:kern w:val="0"/>
                <w:sz w:val="24"/>
                <w:szCs w:val="24"/>
                <w:lang w:val="en-US" w:bidi="zh-CN"/>
              </w:rPr>
              <w:t>7</w:t>
            </w:r>
            <w:r>
              <w:rPr>
                <w:rFonts w:hint="eastAsia" w:asciiTheme="minorEastAsia" w:hAnsiTheme="minorEastAsia" w:eastAsiaTheme="minorEastAsia" w:cstheme="minorEastAsia"/>
                <w:kern w:val="0"/>
                <w:sz w:val="24"/>
                <w:szCs w:val="24"/>
                <w:lang w:bidi="zh-CN"/>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noWrap w:val="0"/>
            <w:vAlign w:val="center"/>
          </w:tcPr>
          <w:p>
            <w:pPr>
              <w:jc w:val="center"/>
              <w:rPr>
                <w:rFonts w:hint="eastAsia" w:asciiTheme="minorEastAsia" w:hAnsiTheme="minorEastAsia" w:eastAsiaTheme="minorEastAsia" w:cstheme="minorEastAsia"/>
                <w:kern w:val="0"/>
                <w:sz w:val="24"/>
                <w:szCs w:val="24"/>
                <w:lang w:val="en-US" w:eastAsia="zh-CN" w:bidi="zh-CN"/>
              </w:rPr>
            </w:pPr>
            <w:r>
              <w:rPr>
                <w:rFonts w:hint="eastAsia" w:asciiTheme="minorEastAsia" w:hAnsiTheme="minorEastAsia" w:eastAsiaTheme="minorEastAsia" w:cstheme="minorEastAsia"/>
                <w:kern w:val="0"/>
                <w:sz w:val="24"/>
                <w:szCs w:val="24"/>
                <w:lang w:bidi="zh-CN"/>
              </w:rPr>
              <w:t>安装配件</w:t>
            </w:r>
          </w:p>
        </w:tc>
        <w:tc>
          <w:tcPr>
            <w:tcW w:w="2194" w:type="dxa"/>
            <w:noWrap w:val="0"/>
            <w:vAlign w:val="center"/>
          </w:tcPr>
          <w:p>
            <w:pPr>
              <w:jc w:val="center"/>
              <w:rPr>
                <w:rFonts w:hint="eastAsia" w:asciiTheme="minorEastAsia" w:hAnsiTheme="minorEastAsia" w:eastAsiaTheme="minorEastAsia" w:cstheme="minorEastAsia"/>
                <w:kern w:val="0"/>
                <w:sz w:val="24"/>
                <w:szCs w:val="24"/>
                <w:lang w:val="en-US" w:eastAsia="zh-CN" w:bidi="zh-CN"/>
              </w:rPr>
            </w:pPr>
            <w:r>
              <w:rPr>
                <w:rFonts w:hint="eastAsia" w:asciiTheme="minorEastAsia" w:hAnsiTheme="minorEastAsia" w:eastAsiaTheme="minorEastAsia" w:cstheme="minorEastAsia"/>
                <w:kern w:val="0"/>
                <w:sz w:val="24"/>
                <w:szCs w:val="24"/>
                <w:lang w:val="en-US" w:bidi="zh-CN"/>
              </w:rPr>
              <w:t>1</w:t>
            </w:r>
            <w:r>
              <w:rPr>
                <w:rFonts w:hint="eastAsia" w:asciiTheme="minorEastAsia" w:hAnsiTheme="minorEastAsia" w:eastAsiaTheme="minorEastAsia" w:cstheme="minorEastAsia"/>
                <w:kern w:val="0"/>
                <w:sz w:val="24"/>
                <w:szCs w:val="24"/>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9383" w:type="dxa"/>
            <w:gridSpan w:val="4"/>
            <w:noWrap w:val="0"/>
            <w:vAlign w:val="top"/>
          </w:tcPr>
          <w:p>
            <w:pPr>
              <w:ind w:left="0" w:hanging="630" w:hangingChars="300"/>
              <w:jc w:val="left"/>
              <w:rPr>
                <w:rFonts w:hint="eastAsia"/>
              </w:rPr>
            </w:pPr>
            <w:r>
              <w:t>备注： 1、带“★”符号项目为必须满足指标，若出现一项负偏离，则视为废标 ，需逐条说明具体理由</w:t>
            </w:r>
            <w:r>
              <w:rPr>
                <w:rFonts w:hint="eastAsia"/>
              </w:rPr>
              <w:t xml:space="preserve"> </w:t>
            </w:r>
            <w:r>
              <w:t xml:space="preserve">  </w:t>
            </w:r>
          </w:p>
          <w:p>
            <w:pPr>
              <w:ind w:left="0" w:hanging="630" w:hangingChars="300"/>
              <w:jc w:val="left"/>
              <w:rPr>
                <w:rFonts w:hint="eastAsia"/>
              </w:rPr>
            </w:pPr>
            <w:r>
              <w:t>2、带“▲”符号项目为重要指标</w:t>
            </w:r>
          </w:p>
          <w:p>
            <w:pPr>
              <w:ind w:left="0" w:hanging="630" w:hangingChars="300"/>
              <w:jc w:val="left"/>
            </w:pPr>
            <w:r>
              <w:t>3、其他项目为一般指标</w:t>
            </w:r>
          </w:p>
          <w:p>
            <w:pPr>
              <w:pStyle w:val="17"/>
              <w:spacing w:after="0"/>
              <w:ind w:firstLine="0"/>
            </w:pPr>
            <w:r>
              <w:rPr>
                <w:rFonts w:hint="eastAsia"/>
              </w:rPr>
              <w:t>4、</w:t>
            </w:r>
            <w:r>
              <w:rPr>
                <w:rFonts w:hint="eastAsia" w:ascii="宋体" w:hAnsi="宋体" w:cs="华文中宋"/>
                <w:b/>
                <w:bCs/>
                <w:szCs w:val="21"/>
              </w:rPr>
              <w:t>设备配置清单在</w:t>
            </w:r>
            <w:r>
              <w:rPr>
                <w:rFonts w:hint="eastAsia" w:ascii="宋体" w:hAnsi="宋体" w:cs="华文中宋"/>
                <w:b/>
                <w:bCs/>
                <w:szCs w:val="21"/>
                <w:lang w:eastAsia="zh-CN"/>
              </w:rPr>
              <w:t>商务技术文件</w:t>
            </w:r>
            <w:r>
              <w:rPr>
                <w:rFonts w:hint="eastAsia" w:ascii="宋体" w:hAnsi="宋体" w:cs="华文中宋"/>
                <w:b/>
                <w:bCs/>
                <w:szCs w:val="21"/>
              </w:rPr>
              <w:t>-交货清单中响应即可。</w:t>
            </w:r>
          </w:p>
        </w:tc>
      </w:tr>
    </w:tbl>
    <w:p>
      <w:pPr>
        <w:pStyle w:val="4"/>
        <w:spacing w:before="156" w:beforeLines="50" w:after="156" w:afterLines="50" w:line="560" w:lineRule="exact"/>
        <w:rPr>
          <w:rFonts w:ascii="黑体" w:hAnsi="黑体" w:cs="黑体"/>
          <w:b w:val="0"/>
          <w:sz w:val="28"/>
          <w:szCs w:val="28"/>
        </w:rPr>
      </w:pPr>
      <w:r>
        <w:rPr>
          <w:rFonts w:hint="eastAsia" w:ascii="黑体" w:hAnsi="黑体" w:cs="黑体"/>
          <w:b w:val="0"/>
          <w:sz w:val="28"/>
          <w:szCs w:val="28"/>
          <w:lang w:eastAsia="zh-CN"/>
        </w:rPr>
        <w:t>三</w:t>
      </w:r>
      <w:r>
        <w:rPr>
          <w:rFonts w:hint="eastAsia" w:ascii="黑体" w:hAnsi="黑体" w:cs="黑体"/>
          <w:b w:val="0"/>
          <w:sz w:val="28"/>
          <w:szCs w:val="28"/>
        </w:rPr>
        <w:t>、商务要求</w:t>
      </w:r>
      <w:bookmarkEnd w:id="417"/>
      <w:bookmarkEnd w:id="418"/>
      <w:bookmarkEnd w:id="419"/>
    </w:p>
    <w:p>
      <w:pPr>
        <w:pStyle w:val="114"/>
        <w:pageBreakBefore w:val="0"/>
        <w:widowControl w:val="0"/>
        <w:kinsoku/>
        <w:overflowPunct/>
        <w:topLinePunct w:val="0"/>
        <w:bidi w:val="0"/>
        <w:spacing w:line="560" w:lineRule="exact"/>
        <w:ind w:left="11" w:firstLine="560" w:firstLineChars="200"/>
        <w:jc w:val="both"/>
        <w:rPr>
          <w:rFonts w:hint="eastAsia" w:ascii="宋体" w:hAnsi="宋体" w:eastAsia="宋体" w:cs="宋体"/>
          <w:sz w:val="28"/>
          <w:szCs w:val="28"/>
          <w:lang w:eastAsia="zh-CN"/>
        </w:rPr>
      </w:pPr>
      <w:r>
        <w:rPr>
          <w:rFonts w:hint="eastAsia" w:ascii="宋体" w:hAnsi="宋体" w:eastAsia="宋体" w:cs="宋体"/>
          <w:sz w:val="28"/>
          <w:szCs w:val="28"/>
          <w:lang w:val="zh-CN" w:eastAsia="zh-CN"/>
        </w:rPr>
        <w:t>★（一）</w:t>
      </w:r>
      <w:r>
        <w:rPr>
          <w:rFonts w:hint="eastAsia" w:ascii="宋体" w:hAnsi="宋体" w:eastAsia="宋体" w:cs="宋体"/>
          <w:sz w:val="28"/>
          <w:szCs w:val="28"/>
          <w:lang w:eastAsia="zh-CN"/>
        </w:rPr>
        <w:t>交货时间、地点与方式</w:t>
      </w:r>
    </w:p>
    <w:p>
      <w:pPr>
        <w:pStyle w:val="114"/>
        <w:pageBreakBefore w:val="0"/>
        <w:kinsoku/>
        <w:overflowPunct/>
        <w:topLinePunct w:val="0"/>
        <w:bidi w:val="0"/>
        <w:spacing w:line="560" w:lineRule="exact"/>
        <w:ind w:left="11"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1.交货地点：</w:t>
      </w:r>
      <w:r>
        <w:rPr>
          <w:rFonts w:hint="eastAsia" w:ascii="宋体" w:hAnsi="宋体" w:eastAsia="宋体" w:cs="宋体"/>
          <w:sz w:val="28"/>
          <w:szCs w:val="28"/>
          <w:u w:val="single"/>
          <w:lang w:eastAsia="zh-CN"/>
        </w:rPr>
        <w:t xml:space="preserve"> </w:t>
      </w:r>
      <w:r>
        <w:rPr>
          <w:rFonts w:hint="eastAsia" w:ascii="宋体" w:hAnsi="宋体" w:cs="宋体"/>
          <w:sz w:val="28"/>
          <w:szCs w:val="28"/>
          <w:u w:val="single"/>
          <w:lang w:eastAsia="zh-CN"/>
        </w:rPr>
        <w:t>重庆市沙坪坝（</w:t>
      </w:r>
      <w:r>
        <w:rPr>
          <w:rFonts w:hint="eastAsia" w:ascii="宋体" w:hAnsi="宋体" w:cs="宋体"/>
          <w:sz w:val="28"/>
          <w:szCs w:val="28"/>
          <w:u w:val="single"/>
          <w:lang w:val="en-US" w:eastAsia="zh-CN"/>
        </w:rPr>
        <w:t>采购人指定位置</w:t>
      </w:r>
      <w:r>
        <w:rPr>
          <w:rFonts w:hint="eastAsia" w:ascii="宋体" w:hAnsi="宋体" w:cs="宋体"/>
          <w:sz w:val="28"/>
          <w:szCs w:val="28"/>
          <w:u w:val="single"/>
          <w:lang w:eastAsia="zh-CN"/>
        </w:rPr>
        <w:t>）</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w:t>
      </w:r>
    </w:p>
    <w:p>
      <w:pPr>
        <w:pStyle w:val="114"/>
        <w:pageBreakBefore w:val="0"/>
        <w:kinsoku/>
        <w:overflowPunct/>
        <w:topLinePunct w:val="0"/>
        <w:bidi w:val="0"/>
        <w:spacing w:line="560" w:lineRule="exact"/>
        <w:ind w:left="11"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2.交货期：合同签订</w:t>
      </w:r>
      <w:r>
        <w:rPr>
          <w:rFonts w:hint="eastAsia" w:ascii="宋体" w:hAnsi="宋体" w:cs="宋体"/>
          <w:sz w:val="28"/>
          <w:szCs w:val="28"/>
          <w:lang w:val="en-US" w:eastAsia="zh-CN"/>
        </w:rPr>
        <w:t>后30</w:t>
      </w:r>
      <w:r>
        <w:rPr>
          <w:rFonts w:hint="eastAsia" w:ascii="宋体" w:hAnsi="宋体" w:eastAsia="宋体" w:cs="宋体"/>
          <w:sz w:val="28"/>
          <w:szCs w:val="28"/>
          <w:lang w:eastAsia="zh-CN"/>
        </w:rPr>
        <w:t>天内。</w:t>
      </w:r>
    </w:p>
    <w:p>
      <w:pPr>
        <w:pStyle w:val="114"/>
        <w:pageBreakBefore w:val="0"/>
        <w:kinsoku/>
        <w:overflowPunct/>
        <w:topLinePunct w:val="0"/>
        <w:bidi w:val="0"/>
        <w:spacing w:line="560" w:lineRule="exact"/>
        <w:ind w:left="11"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3.交货方式：</w:t>
      </w:r>
      <w:r>
        <w:rPr>
          <w:rFonts w:hint="eastAsia" w:ascii="宋体" w:hAnsi="宋体" w:eastAsia="宋体" w:cs="宋体"/>
          <w:sz w:val="28"/>
          <w:szCs w:val="28"/>
          <w:lang w:val="zh-CN" w:eastAsia="zh-CN"/>
        </w:rPr>
        <w:t>投标人自行送达采购人指定的地点并完成</w:t>
      </w:r>
      <w:r>
        <w:rPr>
          <w:rFonts w:hint="eastAsia" w:ascii="宋体" w:hAnsi="宋体" w:eastAsia="宋体" w:cs="宋体"/>
          <w:sz w:val="28"/>
          <w:szCs w:val="28"/>
          <w:lang w:eastAsia="zh-CN"/>
        </w:rPr>
        <w:t>全部交货和安装调试</w:t>
      </w:r>
      <w:r>
        <w:rPr>
          <w:rFonts w:hint="eastAsia" w:ascii="宋体" w:hAnsi="宋体" w:eastAsia="宋体" w:cs="宋体"/>
          <w:sz w:val="28"/>
          <w:szCs w:val="28"/>
          <w:lang w:val="zh-CN" w:eastAsia="zh-CN"/>
        </w:rPr>
        <w:t>。</w:t>
      </w:r>
    </w:p>
    <w:p>
      <w:pPr>
        <w:pStyle w:val="114"/>
        <w:pageBreakBefore w:val="0"/>
        <w:widowControl w:val="0"/>
        <w:kinsoku/>
        <w:overflowPunct/>
        <w:topLinePunct w:val="0"/>
        <w:bidi w:val="0"/>
        <w:spacing w:line="560" w:lineRule="exact"/>
        <w:ind w:left="11" w:firstLine="560" w:firstLineChars="200"/>
        <w:jc w:val="both"/>
        <w:rPr>
          <w:rFonts w:hint="eastAsia" w:ascii="宋体" w:hAnsi="宋体" w:eastAsia="宋体" w:cs="宋体"/>
          <w:sz w:val="28"/>
          <w:szCs w:val="28"/>
          <w:lang w:eastAsia="zh-CN"/>
        </w:rPr>
      </w:pPr>
      <w:r>
        <w:rPr>
          <w:rFonts w:hint="eastAsia" w:ascii="宋体" w:hAnsi="宋体" w:eastAsia="宋体" w:cs="宋体"/>
          <w:sz w:val="28"/>
          <w:szCs w:val="28"/>
          <w:lang w:val="zh-CN" w:eastAsia="zh-CN"/>
        </w:rPr>
        <w:t>★（二）</w:t>
      </w:r>
      <w:r>
        <w:rPr>
          <w:rFonts w:hint="eastAsia" w:ascii="宋体" w:hAnsi="宋体" w:eastAsia="宋体" w:cs="宋体"/>
          <w:sz w:val="28"/>
          <w:szCs w:val="28"/>
          <w:lang w:eastAsia="zh-CN"/>
        </w:rPr>
        <w:t>售后服务</w:t>
      </w:r>
    </w:p>
    <w:p>
      <w:pPr>
        <w:pageBreakBefore w:val="0"/>
        <w:numPr>
          <w:ilvl w:val="0"/>
          <w:numId w:val="0"/>
        </w:numPr>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整机免费保修期：自交货验收完毕之日算起至少</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3</w:t>
      </w:r>
      <w:r>
        <w:rPr>
          <w:rFonts w:hint="eastAsia" w:ascii="宋体" w:hAnsi="宋体" w:eastAsia="宋体" w:cs="宋体"/>
          <w:sz w:val="28"/>
          <w:szCs w:val="28"/>
          <w:u w:val="single"/>
        </w:rPr>
        <w:t xml:space="preserve">  </w:t>
      </w:r>
      <w:r>
        <w:rPr>
          <w:rFonts w:hint="eastAsia" w:ascii="宋体" w:hAnsi="宋体" w:eastAsia="宋体" w:cs="宋体"/>
          <w:sz w:val="28"/>
          <w:szCs w:val="28"/>
        </w:rPr>
        <w:t>年。免费保修期内，除消耗品和人为损坏外，</w:t>
      </w:r>
      <w:r>
        <w:rPr>
          <w:rFonts w:hint="eastAsia" w:ascii="宋体" w:hAnsi="宋体" w:eastAsia="宋体" w:cs="宋体"/>
          <w:sz w:val="28"/>
          <w:szCs w:val="28"/>
          <w:lang w:eastAsia="zh-CN"/>
        </w:rPr>
        <w:t>必须免费提供包修、包换、包退服务</w:t>
      </w:r>
      <w:r>
        <w:rPr>
          <w:rFonts w:hint="eastAsia" w:ascii="宋体" w:hAnsi="宋体" w:eastAsia="宋体" w:cs="宋体"/>
          <w:sz w:val="28"/>
          <w:szCs w:val="28"/>
        </w:rPr>
        <w:t>。因此导致的损失采购单位有权向中标供应商追偿。</w:t>
      </w:r>
    </w:p>
    <w:p>
      <w:pPr>
        <w:tabs>
          <w:tab w:val="left" w:pos="0"/>
        </w:tabs>
        <w:autoSpaceDE w:val="0"/>
        <w:autoSpaceDN w:val="0"/>
        <w:adjustRightInd w:val="0"/>
        <w:spacing w:line="560" w:lineRule="exact"/>
        <w:ind w:firstLine="560" w:firstLineChars="200"/>
      </w:pPr>
      <w:r>
        <w:rPr>
          <w:rFonts w:hint="eastAsia" w:ascii="宋体" w:hAnsi="宋体" w:eastAsia="宋体" w:cs="宋体"/>
          <w:kern w:val="0"/>
          <w:sz w:val="28"/>
          <w:szCs w:val="28"/>
          <w:lang w:val="en-US" w:eastAsia="zh-CN" w:bidi="ar-SA"/>
        </w:rPr>
        <w:t>2.免费保修期外，提供终身维修保障等技术服务保障承诺（因产品或配件停产等导致设备无法维修的原因除外）。提供耗材及主要零配件目录（含报价），配件供应时间≥</w:t>
      </w:r>
      <w:r>
        <w:rPr>
          <w:rFonts w:hint="eastAsia" w:ascii="宋体" w:hAnsi="宋体" w:eastAsia="宋体" w:cs="宋体"/>
          <w:kern w:val="0"/>
          <w:sz w:val="28"/>
          <w:szCs w:val="28"/>
          <w:u w:val="none"/>
          <w:lang w:val="en-US" w:eastAsia="zh-CN" w:bidi="ar-SA"/>
        </w:rPr>
        <w:t xml:space="preserve"> </w:t>
      </w:r>
      <w:r>
        <w:rPr>
          <w:rFonts w:hint="eastAsia" w:ascii="宋体" w:hAnsi="宋体" w:cs="宋体"/>
          <w:kern w:val="0"/>
          <w:sz w:val="28"/>
          <w:szCs w:val="28"/>
          <w:u w:val="none"/>
          <w:lang w:val="en-US" w:eastAsia="zh-CN" w:bidi="ar-SA"/>
        </w:rPr>
        <w:t>10</w:t>
      </w:r>
      <w:r>
        <w:rPr>
          <w:rFonts w:hint="eastAsia" w:ascii="宋体" w:hAnsi="宋体" w:eastAsia="宋体" w:cs="宋体"/>
          <w:kern w:val="0"/>
          <w:sz w:val="28"/>
          <w:szCs w:val="28"/>
          <w:lang w:val="en-US" w:eastAsia="zh-CN" w:bidi="ar-SA"/>
        </w:rPr>
        <w:t>年。</w:t>
      </w:r>
    </w:p>
    <w:p>
      <w:pPr>
        <w:tabs>
          <w:tab w:val="left" w:pos="0"/>
        </w:tabs>
        <w:autoSpaceDE w:val="0"/>
        <w:autoSpaceDN w:val="0"/>
        <w:adjustRightInd w:val="0"/>
        <w:spacing w:line="560" w:lineRule="exact"/>
        <w:ind w:firstLine="560" w:firstLineChars="200"/>
        <w:rPr>
          <w:rFonts w:hint="eastAsia" w:ascii="宋体" w:hAnsi="宋体" w:eastAsia="宋体" w:cs="宋体"/>
          <w:color w:val="auto"/>
          <w:sz w:val="28"/>
          <w:szCs w:val="28"/>
          <w:u w:val="single"/>
          <w:lang w:val="zh-CN"/>
        </w:rPr>
      </w:pPr>
      <w:r>
        <w:rPr>
          <w:rFonts w:hint="eastAsia" w:ascii="宋体" w:hAnsi="宋体" w:eastAsia="宋体" w:cs="宋体"/>
          <w:sz w:val="28"/>
          <w:szCs w:val="28"/>
        </w:rPr>
        <w:t>3.投标供应商须承诺，对售后服务需求提供现场技术响应，维修到达现场时间≤</w:t>
      </w:r>
      <w:r>
        <w:rPr>
          <w:rFonts w:hint="eastAsia" w:ascii="宋体" w:hAnsi="宋体" w:cs="宋体"/>
          <w:sz w:val="28"/>
          <w:szCs w:val="28"/>
          <w:lang w:val="en-US" w:eastAsia="zh-CN"/>
        </w:rPr>
        <w:t>6</w:t>
      </w:r>
      <w:r>
        <w:rPr>
          <w:rFonts w:hint="eastAsia" w:ascii="宋体" w:hAnsi="宋体" w:eastAsia="宋体" w:cs="宋体"/>
          <w:sz w:val="28"/>
          <w:szCs w:val="28"/>
        </w:rPr>
        <w:t>小时内（本地）；维修到达现场时间≤</w:t>
      </w:r>
      <w:r>
        <w:rPr>
          <w:rFonts w:hint="eastAsia" w:ascii="宋体" w:hAnsi="宋体" w:cs="宋体"/>
          <w:sz w:val="28"/>
          <w:szCs w:val="28"/>
          <w:lang w:val="en-US" w:eastAsia="zh-CN"/>
        </w:rPr>
        <w:t>24</w:t>
      </w:r>
      <w:r>
        <w:rPr>
          <w:rFonts w:hint="eastAsia" w:ascii="宋体" w:hAnsi="宋体" w:eastAsia="宋体" w:cs="宋体"/>
          <w:sz w:val="28"/>
          <w:szCs w:val="28"/>
        </w:rPr>
        <w:t>小时内（外地）</w:t>
      </w:r>
      <w:r>
        <w:rPr>
          <w:rFonts w:hint="eastAsia" w:ascii="宋体" w:hAnsi="宋体" w:eastAsia="宋体" w:cs="宋体"/>
          <w:color w:val="auto"/>
          <w:sz w:val="28"/>
          <w:szCs w:val="28"/>
          <w:lang w:val="zh-CN"/>
        </w:rPr>
        <w:t>。</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lang w:eastAsia="zh-CN"/>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.软件升级：终身免费升级</w:t>
      </w:r>
      <w:r>
        <w:rPr>
          <w:rFonts w:hint="eastAsia" w:ascii="宋体" w:hAnsi="宋体" w:eastAsia="宋体" w:cs="宋体"/>
          <w:color w:val="auto"/>
          <w:sz w:val="28"/>
          <w:szCs w:val="28"/>
          <w:lang w:eastAsia="zh-CN"/>
        </w:rPr>
        <w:t>（</w:t>
      </w:r>
      <w:r>
        <w:rPr>
          <w:rFonts w:hint="eastAsia" w:ascii="宋体" w:hAnsi="宋体" w:eastAsia="宋体" w:cs="宋体"/>
          <w:sz w:val="28"/>
          <w:szCs w:val="28"/>
          <w:lang w:eastAsia="zh-CN"/>
        </w:rPr>
        <w:t>如本设备涉及软件功能）</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rPr>
        <w:t>.凡涉及与我院HIS、LIS、PACS、电生理系统、病理信息系统等系统连接的设备，要求具有标准数字接口，若投标产品没有匹配的接口，由中标供应商负责改造并承担相应费用</w:t>
      </w:r>
      <w:r>
        <w:rPr>
          <w:rFonts w:hint="eastAsia" w:ascii="宋体" w:hAnsi="宋体" w:eastAsia="宋体" w:cs="宋体"/>
          <w:sz w:val="28"/>
          <w:szCs w:val="28"/>
          <w:lang w:eastAsia="zh-CN"/>
        </w:rPr>
        <w:t>（如涉及）</w:t>
      </w:r>
      <w:r>
        <w:rPr>
          <w:rFonts w:hint="eastAsia" w:ascii="宋体" w:hAnsi="宋体" w:eastAsia="宋体" w:cs="宋体"/>
          <w:sz w:val="28"/>
          <w:szCs w:val="28"/>
        </w:rPr>
        <w:t>。</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rPr>
        <w:t>.安装、培训及验收：</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）安装、培训：</w:t>
      </w:r>
      <w:r>
        <w:rPr>
          <w:rFonts w:hint="eastAsia" w:ascii="宋体" w:hAnsi="宋体" w:eastAsia="宋体" w:cs="宋体"/>
          <w:sz w:val="28"/>
          <w:szCs w:val="28"/>
        </w:rPr>
        <w:t>供应商免费送货上门，免费安装培训。按合同规定的时间内发货到甲方指定地点，并完成安装、调试与技术培训，交付甲方验收。免费提供视频培训或现场培训，内容包括仪器的基本原理、操作应用及仪器的维护保养知识，直到用户能正常使用和维护仪器。</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）产品质量检验验收：</w:t>
      </w:r>
    </w:p>
    <w:p>
      <w:pPr>
        <w:pageBreakBefore w:val="0"/>
        <w:kinsoku/>
        <w:overflowPunct/>
        <w:topLinePunct w:val="0"/>
        <w:bidi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①产品出厂前，中标供应商应当进行产品自检，验收合格后方可出厂。</w:t>
      </w:r>
    </w:p>
    <w:p>
      <w:pPr>
        <w:pageBreakBefore w:val="0"/>
        <w:kinsoku/>
        <w:overflowPunct/>
        <w:topLinePunct w:val="0"/>
        <w:bidi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②产品出厂验收不合格，合同甲方有权拒收货物和解除采购合同，由此造成的损失，由中标供应商承担。出厂验收过程中，中标供应商可有1次整改机会，若第一次检验未通过，合同甲方将书面通知中标供应商限期整改，整改后进行第二次检验，检验合格后方可出厂。若第二次检验仍未通过的，合同甲方有权取消或解除采购合同，由此造成的损失，由中标供应商承担。</w:t>
      </w:r>
    </w:p>
    <w:p>
      <w:pPr>
        <w:pageBreakBefore w:val="0"/>
        <w:kinsoku/>
        <w:overflowPunct/>
        <w:topLinePunct w:val="0"/>
        <w:bidi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③货物到达现场后，中标供应商应及时通知采购人，向项目使用方申请验收；验收小组由采购人按规定组建。</w:t>
      </w:r>
    </w:p>
    <w:p>
      <w:pPr>
        <w:pageBreakBefore w:val="0"/>
        <w:kinsoku/>
        <w:overflowPunct/>
        <w:topLinePunct w:val="0"/>
        <w:bidi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④中标供应商应提供包括但不限于产品说明书、维护手册、维修手册、软件光盘、故障代码表、备件清单、零部件、维修密码等在内的材料和信息。</w:t>
      </w:r>
    </w:p>
    <w:p>
      <w:pPr>
        <w:pStyle w:val="16"/>
        <w:pageBreakBefore w:val="0"/>
        <w:kinsoku/>
        <w:overflowPunct/>
        <w:topLinePunct w:val="0"/>
        <w:bidi w:val="0"/>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⑤</w:t>
      </w:r>
      <w:r>
        <w:rPr>
          <w:rFonts w:hint="eastAsia" w:ascii="宋体" w:hAnsi="宋体" w:eastAsia="宋体" w:cs="宋体"/>
          <w:sz w:val="28"/>
          <w:szCs w:val="28"/>
        </w:rPr>
        <w:t>验收标准按国际标准</w:t>
      </w:r>
      <w:r>
        <w:rPr>
          <w:rFonts w:hint="eastAsia" w:ascii="宋体" w:hAnsi="宋体" w:eastAsia="宋体" w:cs="宋体"/>
          <w:sz w:val="28"/>
          <w:szCs w:val="28"/>
          <w:lang w:eastAsia="zh-CN"/>
        </w:rPr>
        <w:t>或国家标准</w:t>
      </w:r>
      <w:r>
        <w:rPr>
          <w:rFonts w:hint="eastAsia" w:ascii="宋体" w:hAnsi="宋体" w:eastAsia="宋体" w:cs="宋体"/>
          <w:sz w:val="28"/>
          <w:szCs w:val="28"/>
        </w:rPr>
        <w:t>或经双方协商认可的标准、合同要求及技术协议执行。</w:t>
      </w:r>
    </w:p>
    <w:p>
      <w:pPr>
        <w:pageBreakBefore w:val="0"/>
        <w:kinsoku/>
        <w:overflowPunct/>
        <w:topLinePunct w:val="0"/>
        <w:bidi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⑥验收合格后，由验收小组和中标供应商在验收报告上共同签字确认。验收不合格的，合同甲方不得办理价款支付手续，并有权取消采购合同，由此造成的损失，由中标供应商承担。</w:t>
      </w:r>
    </w:p>
    <w:p>
      <w:pPr>
        <w:pStyle w:val="16"/>
        <w:pageBreakBefore w:val="0"/>
        <w:kinsoku/>
        <w:overflowPunct/>
        <w:topLinePunct w:val="0"/>
        <w:bidi w:val="0"/>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⑦</w:t>
      </w:r>
      <w:r>
        <w:rPr>
          <w:rFonts w:hint="eastAsia" w:ascii="宋体" w:hAnsi="宋体" w:eastAsia="宋体" w:cs="宋体"/>
          <w:sz w:val="28"/>
          <w:szCs w:val="28"/>
        </w:rPr>
        <w:t>使用方在产品使用过程中，发现产品性能指标未达到要求的，中标供应商按照需求方明确的整改期限（不超过1个月），可有1次整改机会，在规定期限内未整改完毕的，由此造成的损失，由中标供应商承担。</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7</w:t>
      </w:r>
      <w:r>
        <w:rPr>
          <w:rFonts w:hint="eastAsia" w:ascii="宋体" w:hAnsi="宋体" w:eastAsia="宋体" w:cs="宋体"/>
          <w:sz w:val="28"/>
          <w:szCs w:val="28"/>
        </w:rPr>
        <w:t>. 包装和运输：</w:t>
      </w:r>
      <w:r>
        <w:rPr>
          <w:rFonts w:hint="eastAsia" w:ascii="宋体" w:hAnsi="宋体" w:eastAsia="宋体" w:cs="宋体"/>
          <w:sz w:val="28"/>
          <w:szCs w:val="28"/>
          <w:lang w:eastAsia="zh-CN"/>
        </w:rPr>
        <w:t>中标人</w:t>
      </w:r>
      <w:r>
        <w:rPr>
          <w:rFonts w:hint="eastAsia" w:ascii="宋体" w:hAnsi="宋体" w:eastAsia="宋体" w:cs="宋体"/>
          <w:sz w:val="28"/>
          <w:szCs w:val="28"/>
        </w:rPr>
        <w:t>负责设备的包装和运输。包装必须坚固，能适用远距离的海运、空运及气候的变化，并能适应中国境内铁路、公路运输。</w:t>
      </w:r>
    </w:p>
    <w:p>
      <w:pPr>
        <w:tabs>
          <w:tab w:val="left" w:pos="0"/>
        </w:tabs>
        <w:autoSpaceDE w:val="0"/>
        <w:autoSpaceDN w:val="0"/>
        <w:adjustRightInd w:val="0"/>
        <w:spacing w:line="560" w:lineRule="exact"/>
        <w:ind w:firstLine="560"/>
        <w:rPr>
          <w:rFonts w:ascii="宋体" w:hAnsi="宋体"/>
          <w:b w:val="0"/>
          <w:bCs/>
          <w:sz w:val="28"/>
          <w:szCs w:val="28"/>
          <w:lang w:val="zh-CN"/>
        </w:rPr>
      </w:pPr>
      <w:r>
        <w:rPr>
          <w:rFonts w:hint="eastAsia" w:ascii="宋体" w:hAnsi="宋体" w:cs="宋体"/>
          <w:sz w:val="28"/>
          <w:szCs w:val="28"/>
          <w:lang w:val="en-US" w:eastAsia="zh-CN"/>
        </w:rPr>
        <w:t>8</w:t>
      </w:r>
      <w:r>
        <w:rPr>
          <w:rFonts w:hint="eastAsia" w:ascii="宋体" w:hAnsi="宋体" w:eastAsia="宋体" w:cs="宋体"/>
          <w:sz w:val="28"/>
          <w:szCs w:val="28"/>
        </w:rPr>
        <w:t>.本次投标中未提供产品授权委托书（国产产品），</w:t>
      </w:r>
      <w:r>
        <w:rPr>
          <w:rFonts w:hint="eastAsia" w:ascii="宋体" w:hAnsi="宋体" w:eastAsia="宋体" w:cs="宋体"/>
          <w:sz w:val="28"/>
          <w:szCs w:val="28"/>
          <w:lang w:val="zh-CN"/>
        </w:rPr>
        <w:t>为保证售后服务质量，中标人须在合同签订前提供生产厂家对所投产品的授权委托书，如无法提供则做废标处理</w:t>
      </w:r>
      <w:r>
        <w:rPr>
          <w:rFonts w:hint="eastAsia" w:ascii="宋体" w:hAnsi="宋体" w:eastAsia="宋体" w:cs="宋体"/>
          <w:sz w:val="28"/>
          <w:szCs w:val="28"/>
        </w:rPr>
        <w:t>,经核查发现违规问题，将按照相关规定进行处罚</w:t>
      </w:r>
      <w:r>
        <w:rPr>
          <w:rFonts w:hint="eastAsia" w:ascii="宋体" w:hAnsi="宋体" w:eastAsia="宋体" w:cs="宋体"/>
          <w:sz w:val="28"/>
          <w:szCs w:val="28"/>
          <w:lang w:val="zh-CN"/>
        </w:rPr>
        <w:t>（书面承诺）。</w:t>
      </w:r>
    </w:p>
    <w:p>
      <w:pPr>
        <w:pStyle w:val="114"/>
        <w:spacing w:line="560" w:lineRule="exact"/>
        <w:ind w:left="11" w:firstLine="560"/>
        <w:rPr>
          <w:b w:val="0"/>
          <w:bCs/>
          <w:sz w:val="28"/>
          <w:szCs w:val="28"/>
        </w:rPr>
      </w:pPr>
      <w:r>
        <w:rPr>
          <w:rFonts w:ascii="宋体" w:hAnsi="宋体"/>
          <w:b w:val="0"/>
          <w:bCs/>
          <w:sz w:val="28"/>
          <w:szCs w:val="28"/>
          <w:lang w:val="zh-CN"/>
        </w:rPr>
        <w:t>★</w:t>
      </w:r>
      <w:r>
        <w:rPr>
          <w:rFonts w:hAnsi="宋体"/>
          <w:b w:val="0"/>
          <w:bCs/>
          <w:sz w:val="28"/>
          <w:szCs w:val="28"/>
          <w:lang w:val="zh-CN"/>
        </w:rPr>
        <w:t>（</w:t>
      </w:r>
      <w:r>
        <w:rPr>
          <w:rFonts w:hint="eastAsia" w:hAnsi="宋体"/>
          <w:b w:val="0"/>
          <w:bCs/>
          <w:sz w:val="28"/>
          <w:szCs w:val="28"/>
          <w:lang w:eastAsia="zh-CN"/>
        </w:rPr>
        <w:t>三</w:t>
      </w:r>
      <w:r>
        <w:rPr>
          <w:rFonts w:hAnsi="宋体"/>
          <w:b w:val="0"/>
          <w:bCs/>
          <w:sz w:val="28"/>
          <w:szCs w:val="28"/>
          <w:lang w:val="zh-CN"/>
        </w:rPr>
        <w:t>）</w:t>
      </w:r>
      <w:r>
        <w:rPr>
          <w:rFonts w:hint="eastAsia" w:hAnsi="宋体"/>
          <w:b w:val="0"/>
          <w:bCs/>
          <w:sz w:val="28"/>
          <w:szCs w:val="28"/>
        </w:rPr>
        <w:t>知识产权</w:t>
      </w:r>
      <w:r>
        <w:rPr>
          <w:rFonts w:hAnsi="宋体"/>
          <w:b w:val="0"/>
          <w:bCs/>
          <w:sz w:val="28"/>
          <w:szCs w:val="28"/>
        </w:rPr>
        <w:t>和保密要求</w:t>
      </w:r>
    </w:p>
    <w:p>
      <w:pPr>
        <w:pStyle w:val="114"/>
        <w:spacing w:line="560" w:lineRule="exact"/>
        <w:ind w:firstLine="560"/>
        <w:rPr>
          <w:b w:val="0"/>
          <w:bCs/>
          <w:sz w:val="28"/>
          <w:szCs w:val="28"/>
          <w:lang w:val="zh-CN"/>
        </w:rPr>
      </w:pPr>
      <w:r>
        <w:rPr>
          <w:rFonts w:hint="eastAsia"/>
          <w:b w:val="0"/>
          <w:bCs/>
          <w:sz w:val="28"/>
          <w:szCs w:val="28"/>
          <w:lang w:val="zh-CN"/>
        </w:rPr>
        <w:t>投标供应商应当保证使用方在使用该货物或其任何一部分时，不受第三方侵权指控。同时，投标供应商不得向第三方泄露采购机构提供的技术文件等资料。</w:t>
      </w:r>
    </w:p>
    <w:p>
      <w:pPr>
        <w:pStyle w:val="114"/>
        <w:spacing w:line="560" w:lineRule="exact"/>
        <w:ind w:firstLine="560"/>
        <w:rPr>
          <w:b w:val="0"/>
          <w:bCs/>
          <w:sz w:val="28"/>
          <w:szCs w:val="28"/>
          <w:lang w:val="zh-CN"/>
        </w:rPr>
      </w:pPr>
      <w:r>
        <w:rPr>
          <w:rFonts w:hint="eastAsia"/>
          <w:b w:val="0"/>
          <w:bCs/>
          <w:sz w:val="28"/>
          <w:szCs w:val="28"/>
          <w:lang w:val="zh-CN"/>
        </w:rPr>
        <w:t>基于项目合同履行形成的知识产权和其他权益，其权属归需求单位所有，法律另有规定的除外。</w:t>
      </w:r>
    </w:p>
    <w:p>
      <w:pPr>
        <w:pStyle w:val="114"/>
        <w:spacing w:line="560" w:lineRule="exact"/>
        <w:ind w:firstLine="560"/>
        <w:rPr>
          <w:b w:val="0"/>
          <w:bCs/>
          <w:sz w:val="28"/>
          <w:szCs w:val="28"/>
          <w:lang w:val="zh-CN"/>
        </w:rPr>
      </w:pPr>
      <w:r>
        <w:rPr>
          <w:rFonts w:hint="eastAsia" w:ascii="宋体" w:hAnsi="宋体"/>
          <w:b w:val="0"/>
          <w:bCs/>
          <w:sz w:val="28"/>
          <w:szCs w:val="28"/>
          <w:lang w:val="zh-CN"/>
        </w:rPr>
        <w:t>★</w:t>
      </w:r>
      <w:r>
        <w:rPr>
          <w:rFonts w:hAnsi="宋体"/>
          <w:b w:val="0"/>
          <w:bCs/>
          <w:sz w:val="28"/>
          <w:szCs w:val="28"/>
          <w:lang w:val="zh-CN"/>
        </w:rPr>
        <w:t>（</w:t>
      </w:r>
      <w:r>
        <w:rPr>
          <w:rFonts w:hint="eastAsia" w:hAnsi="宋体"/>
          <w:b w:val="0"/>
          <w:bCs/>
          <w:sz w:val="28"/>
          <w:szCs w:val="28"/>
          <w:lang w:eastAsia="zh-CN"/>
        </w:rPr>
        <w:t>四</w:t>
      </w:r>
      <w:r>
        <w:rPr>
          <w:rFonts w:hAnsi="宋体"/>
          <w:b w:val="0"/>
          <w:bCs/>
          <w:sz w:val="28"/>
          <w:szCs w:val="28"/>
          <w:lang w:val="zh-CN"/>
        </w:rPr>
        <w:t>）</w:t>
      </w:r>
      <w:r>
        <w:rPr>
          <w:rFonts w:hint="eastAsia" w:hAnsi="宋体"/>
          <w:b w:val="0"/>
          <w:bCs/>
          <w:sz w:val="28"/>
          <w:szCs w:val="28"/>
        </w:rPr>
        <w:t>物资编目赋码</w:t>
      </w:r>
      <w:r>
        <w:rPr>
          <w:rFonts w:hAnsi="宋体"/>
          <w:b w:val="0"/>
          <w:bCs/>
          <w:sz w:val="28"/>
          <w:szCs w:val="28"/>
        </w:rPr>
        <w:t>要求</w:t>
      </w:r>
    </w:p>
    <w:p>
      <w:pPr>
        <w:pStyle w:val="114"/>
        <w:spacing w:line="560" w:lineRule="atLeast"/>
        <w:ind w:firstLine="560"/>
        <w:rPr>
          <w:rFonts w:ascii="宋体" w:hAnsi="宋体"/>
          <w:b w:val="0"/>
          <w:bCs/>
          <w:sz w:val="28"/>
          <w:szCs w:val="28"/>
          <w:lang w:val="zh-CN"/>
        </w:rPr>
      </w:pPr>
      <w:r>
        <w:rPr>
          <w:rFonts w:hint="eastAsia" w:ascii="宋体" w:hAnsi="宋体"/>
          <w:b w:val="0"/>
          <w:bCs/>
          <w:sz w:val="28"/>
          <w:szCs w:val="28"/>
          <w:lang w:val="zh-CN"/>
        </w:rPr>
        <w:t>本项目所有物资均有物资编目赋码要求，投标供应商应当予以明确响应。</w:t>
      </w:r>
    </w:p>
    <w:p>
      <w:pPr>
        <w:pStyle w:val="114"/>
        <w:spacing w:line="560" w:lineRule="atLeast"/>
        <w:ind w:firstLine="560"/>
        <w:rPr>
          <w:rFonts w:ascii="宋体" w:hAnsi="宋体"/>
          <w:b w:val="0"/>
          <w:bCs/>
          <w:sz w:val="28"/>
          <w:szCs w:val="28"/>
          <w:lang w:val="zh-CN"/>
        </w:rPr>
      </w:pPr>
      <w:r>
        <w:rPr>
          <w:rFonts w:hint="eastAsia" w:ascii="宋体" w:hAnsi="宋体"/>
          <w:b w:val="0"/>
          <w:bCs/>
          <w:sz w:val="28"/>
          <w:szCs w:val="28"/>
          <w:lang w:val="zh-CN"/>
        </w:rPr>
        <w:t>★（</w:t>
      </w:r>
      <w:r>
        <w:rPr>
          <w:rFonts w:hint="eastAsia" w:ascii="宋体" w:hAnsi="宋体"/>
          <w:b w:val="0"/>
          <w:bCs/>
          <w:sz w:val="28"/>
          <w:szCs w:val="28"/>
          <w:lang w:eastAsia="zh-CN"/>
        </w:rPr>
        <w:t>五</w:t>
      </w:r>
      <w:r>
        <w:rPr>
          <w:rFonts w:hint="eastAsia" w:ascii="宋体" w:hAnsi="宋体"/>
          <w:b w:val="0"/>
          <w:bCs/>
          <w:sz w:val="28"/>
          <w:szCs w:val="28"/>
          <w:lang w:val="zh-CN"/>
        </w:rPr>
        <w:t>）付款及结算方式</w:t>
      </w:r>
    </w:p>
    <w:p>
      <w:pPr>
        <w:spacing w:line="560" w:lineRule="atLeast"/>
        <w:ind w:firstLine="560" w:firstLineChars="200"/>
        <w:rPr>
          <w:rFonts w:ascii="宋体" w:hAnsi="宋体"/>
          <w:b w:val="0"/>
          <w:bCs/>
          <w:i/>
          <w:sz w:val="28"/>
          <w:szCs w:val="28"/>
        </w:rPr>
      </w:pPr>
      <w:r>
        <w:rPr>
          <w:rFonts w:hint="eastAsia" w:ascii="宋体" w:hAnsi="宋体"/>
          <w:b w:val="0"/>
          <w:bCs/>
          <w:sz w:val="28"/>
          <w:szCs w:val="28"/>
          <w:lang w:val="zh-CN"/>
        </w:rPr>
        <w:t>本项目不预付货款，</w:t>
      </w:r>
      <w:r>
        <w:rPr>
          <w:rFonts w:hint="eastAsia"/>
          <w:b w:val="0"/>
          <w:bCs/>
          <w:sz w:val="28"/>
          <w:szCs w:val="28"/>
          <w:lang w:val="zh-CN"/>
        </w:rPr>
        <w:t>货物运达指定地点验收合格后，合同乙方收集发运接收单、发票、验收报告等资料，提交采购单位办理结算手续，采购单位在</w:t>
      </w:r>
      <w:r>
        <w:rPr>
          <w:b w:val="0"/>
          <w:bCs/>
          <w:sz w:val="28"/>
          <w:szCs w:val="28"/>
          <w:lang w:val="zh-CN"/>
        </w:rPr>
        <w:t>30</w:t>
      </w:r>
      <w:r>
        <w:rPr>
          <w:rFonts w:hint="eastAsia"/>
          <w:b w:val="0"/>
          <w:bCs/>
          <w:sz w:val="28"/>
          <w:szCs w:val="28"/>
          <w:lang w:val="zh-CN"/>
        </w:rPr>
        <w:t>天内向乙方支付货款。</w:t>
      </w:r>
    </w:p>
    <w:p>
      <w:pPr>
        <w:keepNext w:val="0"/>
        <w:keepLines w:val="0"/>
        <w:pageBreakBefore w:val="0"/>
        <w:tabs>
          <w:tab w:val="left" w:pos="0"/>
        </w:tabs>
        <w:kinsoku/>
        <w:wordWrap/>
        <w:overflowPunct/>
        <w:topLinePunct w:val="0"/>
        <w:autoSpaceDE w:val="0"/>
        <w:autoSpaceDN w:val="0"/>
        <w:bidi w:val="0"/>
        <w:adjustRightInd w:val="0"/>
        <w:spacing w:line="560" w:lineRule="exact"/>
        <w:ind w:firstLine="560"/>
        <w:textAlignment w:val="auto"/>
        <w:rPr>
          <w:rFonts w:ascii="宋体" w:hAnsi="宋体"/>
          <w:b w:val="0"/>
          <w:bCs/>
          <w:snapToGrid w:val="0"/>
          <w:sz w:val="28"/>
          <w:szCs w:val="28"/>
        </w:rPr>
      </w:pPr>
      <w:r>
        <w:rPr>
          <w:rFonts w:ascii="宋体" w:hAnsi="宋体"/>
          <w:b w:val="0"/>
          <w:bCs/>
          <w:sz w:val="28"/>
          <w:szCs w:val="28"/>
          <w:lang w:val="zh-CN"/>
        </w:rPr>
        <w:t>★</w:t>
      </w:r>
      <w:r>
        <w:rPr>
          <w:rFonts w:hint="eastAsia" w:ascii="宋体" w:hAnsi="宋体"/>
          <w:b w:val="0"/>
          <w:bCs/>
          <w:snapToGrid w:val="0"/>
          <w:sz w:val="28"/>
          <w:szCs w:val="28"/>
        </w:rPr>
        <w:t>（</w:t>
      </w:r>
      <w:r>
        <w:rPr>
          <w:rFonts w:hint="eastAsia" w:ascii="宋体" w:hAnsi="宋体"/>
          <w:b w:val="0"/>
          <w:bCs/>
          <w:snapToGrid w:val="0"/>
          <w:sz w:val="28"/>
          <w:szCs w:val="28"/>
          <w:lang w:eastAsia="zh-CN"/>
        </w:rPr>
        <w:t>六</w:t>
      </w:r>
      <w:r>
        <w:rPr>
          <w:rFonts w:hint="eastAsia" w:ascii="宋体" w:hAnsi="宋体"/>
          <w:b w:val="0"/>
          <w:bCs/>
          <w:snapToGrid w:val="0"/>
          <w:sz w:val="28"/>
          <w:szCs w:val="28"/>
        </w:rPr>
        <w:t>）履约保证金和质量保证金</w:t>
      </w:r>
    </w:p>
    <w:p>
      <w:pPr>
        <w:keepNext w:val="0"/>
        <w:keepLines w:val="0"/>
        <w:pageBreakBefore w:val="0"/>
        <w:kinsoku/>
        <w:wordWrap/>
        <w:overflowPunct/>
        <w:topLinePunct w:val="0"/>
        <w:bidi w:val="0"/>
        <w:snapToGrid w:val="0"/>
        <w:spacing w:line="560" w:lineRule="exact"/>
        <w:ind w:firstLine="560" w:firstLineChars="200"/>
        <w:textAlignment w:val="auto"/>
        <w:rPr>
          <w:rFonts w:ascii="宋体" w:hAnsi="宋体"/>
          <w:b w:val="0"/>
          <w:bCs/>
          <w:snapToGrid w:val="0"/>
          <w:sz w:val="28"/>
          <w:szCs w:val="28"/>
        </w:rPr>
      </w:pPr>
      <w:r>
        <w:rPr>
          <w:rFonts w:hint="eastAsia" w:ascii="宋体" w:hAnsi="宋体"/>
          <w:b w:val="0"/>
          <w:bCs/>
          <w:snapToGrid w:val="0"/>
          <w:sz w:val="28"/>
          <w:szCs w:val="28"/>
          <w:lang w:val="en-US" w:eastAsia="zh-CN"/>
        </w:rPr>
        <w:t>本项目不收取履约保证金。</w:t>
      </w:r>
      <w:r>
        <w:rPr>
          <w:rFonts w:hint="eastAsia" w:ascii="宋体" w:hAnsi="宋体"/>
          <w:b w:val="0"/>
          <w:bCs/>
          <w:snapToGrid w:val="0"/>
          <w:sz w:val="28"/>
          <w:szCs w:val="28"/>
        </w:rPr>
        <w:t>合同履行货物验收合格后，</w:t>
      </w:r>
      <w:r>
        <w:rPr>
          <w:rFonts w:hint="eastAsia" w:ascii="宋体" w:hAnsi="宋体" w:eastAsia="宋体" w:cs="宋体"/>
          <w:sz w:val="28"/>
          <w:szCs w:val="28"/>
          <w:lang w:val="zh-CN" w:eastAsia="zh-CN"/>
        </w:rPr>
        <w:t>预留质量保证金为合同总金额的5%</w:t>
      </w:r>
      <w:r>
        <w:rPr>
          <w:rFonts w:hint="eastAsia" w:ascii="宋体" w:hAnsi="宋体"/>
          <w:b w:val="0"/>
          <w:bCs/>
          <w:snapToGrid w:val="0"/>
          <w:sz w:val="28"/>
          <w:szCs w:val="28"/>
        </w:rPr>
        <w:t>，</w:t>
      </w:r>
      <w:r>
        <w:rPr>
          <w:rFonts w:hint="eastAsia" w:ascii="宋体" w:hAnsi="宋体" w:eastAsia="宋体" w:cs="宋体"/>
          <w:sz w:val="28"/>
          <w:szCs w:val="28"/>
          <w:lang w:val="zh-CN" w:eastAsia="zh-CN"/>
        </w:rPr>
        <w:t>乙方交付验收合格的货物正常运行满一年后</w:t>
      </w:r>
      <w:r>
        <w:rPr>
          <w:rFonts w:hint="eastAsia" w:ascii="宋体" w:hAnsi="宋体"/>
          <w:b w:val="0"/>
          <w:bCs/>
          <w:snapToGrid w:val="0"/>
          <w:sz w:val="28"/>
          <w:szCs w:val="28"/>
        </w:rPr>
        <w:t>全额无息退还</w:t>
      </w:r>
      <w:r>
        <w:rPr>
          <w:rFonts w:hint="eastAsia" w:ascii="宋体" w:hAnsi="宋体"/>
          <w:b w:val="0"/>
          <w:bCs/>
          <w:snapToGrid w:val="0"/>
          <w:sz w:val="28"/>
          <w:szCs w:val="28"/>
          <w:lang w:eastAsia="zh-CN"/>
        </w:rPr>
        <w:t>。</w:t>
      </w:r>
    </w:p>
    <w:p>
      <w:pPr>
        <w:pStyle w:val="114"/>
        <w:pageBreakBefore w:val="0"/>
        <w:kinsoku/>
        <w:overflowPunct/>
        <w:topLinePunct w:val="0"/>
        <w:bidi w:val="0"/>
        <w:spacing w:line="560" w:lineRule="exact"/>
        <w:ind w:left="0" w:firstLine="560" w:firstLineChars="200"/>
        <w:rPr>
          <w:rFonts w:hint="eastAsia" w:ascii="宋体" w:hAnsi="宋体" w:eastAsia="宋体" w:cs="宋体"/>
          <w:sz w:val="28"/>
          <w:szCs w:val="28"/>
          <w:highlight w:val="none"/>
          <w:lang w:val="zh-CN" w:eastAsia="zh-CN"/>
        </w:rPr>
      </w:pPr>
      <w:r>
        <w:rPr>
          <w:rFonts w:hint="eastAsia" w:ascii="宋体" w:hAnsi="宋体" w:eastAsia="宋体" w:cs="宋体"/>
          <w:sz w:val="28"/>
          <w:szCs w:val="28"/>
          <w:highlight w:val="none"/>
          <w:lang w:val="zh-CN" w:eastAsia="zh-CN"/>
        </w:rPr>
        <w:t>★</w:t>
      </w:r>
      <w:r>
        <w:rPr>
          <w:rFonts w:hint="eastAsia" w:ascii="宋体" w:hAnsi="宋体" w:eastAsia="宋体"/>
          <w:b w:val="0"/>
          <w:bCs/>
          <w:snapToGrid w:val="0"/>
          <w:sz w:val="28"/>
          <w:szCs w:val="28"/>
          <w:lang w:eastAsia="zh-CN"/>
        </w:rPr>
        <w:t>（</w:t>
      </w:r>
      <w:r>
        <w:rPr>
          <w:rFonts w:hint="eastAsia" w:ascii="宋体" w:hAnsi="宋体"/>
          <w:b w:val="0"/>
          <w:bCs/>
          <w:snapToGrid w:val="0"/>
          <w:sz w:val="28"/>
          <w:szCs w:val="28"/>
          <w:lang w:val="en-US" w:eastAsia="zh-CN"/>
        </w:rPr>
        <w:t>七</w:t>
      </w:r>
      <w:r>
        <w:rPr>
          <w:rFonts w:hint="eastAsia" w:ascii="宋体" w:hAnsi="宋体" w:eastAsia="宋体"/>
          <w:b w:val="0"/>
          <w:bCs/>
          <w:snapToGrid w:val="0"/>
          <w:sz w:val="28"/>
          <w:szCs w:val="28"/>
          <w:lang w:eastAsia="zh-CN"/>
        </w:rPr>
        <w:t>）</w:t>
      </w:r>
      <w:r>
        <w:rPr>
          <w:rFonts w:hint="eastAsia" w:ascii="宋体" w:hAnsi="宋体" w:eastAsia="宋体" w:cs="宋体"/>
          <w:sz w:val="28"/>
          <w:szCs w:val="28"/>
          <w:highlight w:val="none"/>
          <w:lang w:val="zh-CN" w:eastAsia="zh-CN"/>
        </w:rPr>
        <w:t>价格复核要求</w:t>
      </w:r>
    </w:p>
    <w:p>
      <w:pPr>
        <w:pStyle w:val="114"/>
        <w:spacing w:line="560" w:lineRule="exact"/>
        <w:ind w:left="0" w:firstLine="560" w:firstLineChars="200"/>
        <w:rPr>
          <w:rFonts w:hint="eastAsia" w:ascii="宋体" w:hAnsi="宋体" w:eastAsia="宋体" w:cs="宋体"/>
          <w:sz w:val="28"/>
          <w:szCs w:val="28"/>
          <w:highlight w:val="none"/>
          <w:lang w:val="zh-CN" w:eastAsia="zh-CN"/>
        </w:rPr>
      </w:pPr>
      <w:r>
        <w:rPr>
          <w:rFonts w:hint="eastAsia" w:ascii="宋体" w:hAnsi="宋体" w:eastAsia="宋体" w:cs="宋体"/>
          <w:sz w:val="28"/>
          <w:szCs w:val="28"/>
          <w:highlight w:val="none"/>
          <w:lang w:val="en-US" w:eastAsia="zh-CN"/>
        </w:rPr>
        <w:t>1.</w:t>
      </w:r>
      <w:r>
        <w:rPr>
          <w:rFonts w:hint="eastAsia" w:ascii="宋体" w:hAnsi="宋体" w:eastAsia="宋体" w:cs="宋体"/>
          <w:sz w:val="28"/>
          <w:szCs w:val="28"/>
          <w:highlight w:val="none"/>
          <w:lang w:val="zh-CN" w:eastAsia="zh-CN"/>
        </w:rPr>
        <w:t>本项目中标(成交)价格需经价格复核，最终中标(成交)价格以复核结果为准。价格复核过程中，如需提供有关证明材料，投标供应商应在收到通知之日起，3个工作日内提供真实、完整、有效的支撑材料。超过时限仍未提供的，采购人有权作废标处理，同时对其进行处罚；如投标供应商提供虚假材料，一经查实，采购人一律视作虚假投标进行处理。</w:t>
      </w:r>
    </w:p>
    <w:p>
      <w:pPr>
        <w:pStyle w:val="114"/>
        <w:spacing w:line="560" w:lineRule="exact"/>
        <w:ind w:left="0" w:firstLine="560" w:firstLineChars="200"/>
        <w:rPr>
          <w:rFonts w:hint="eastAsia" w:ascii="宋体" w:hAnsi="宋体" w:eastAsia="宋体" w:cs="宋体"/>
          <w:sz w:val="28"/>
          <w:szCs w:val="28"/>
          <w:lang w:val="zh-CN" w:eastAsia="zh-CN"/>
        </w:rPr>
      </w:pPr>
      <w:r>
        <w:rPr>
          <w:rFonts w:hint="eastAsia" w:ascii="宋体" w:hAnsi="宋体" w:eastAsia="宋体" w:cs="宋体"/>
          <w:sz w:val="28"/>
          <w:szCs w:val="28"/>
          <w:highlight w:val="none"/>
          <w:lang w:val="en-US" w:eastAsia="zh-CN"/>
        </w:rPr>
        <w:t>2.</w:t>
      </w:r>
      <w:r>
        <w:rPr>
          <w:rFonts w:hint="eastAsia" w:ascii="宋体" w:hAnsi="宋体" w:eastAsia="宋体" w:cs="宋体"/>
          <w:sz w:val="28"/>
          <w:szCs w:val="28"/>
          <w:highlight w:val="none"/>
          <w:lang w:val="zh-CN" w:eastAsia="zh-CN"/>
        </w:rPr>
        <w:t>如中标(成交)产品为特殊定制类或国内市场无销售记录，采购人可根据项目情况，先签订采购合同，待验收合格后开展价格复核。</w:t>
      </w:r>
    </w:p>
    <w:p>
      <w:pPr>
        <w:pStyle w:val="29"/>
        <w:rPr>
          <w:rFonts w:hint="eastAsia"/>
        </w:rPr>
      </w:pPr>
    </w:p>
    <w:p/>
    <w:p>
      <w:pPr>
        <w:widowControl/>
        <w:spacing w:line="560" w:lineRule="exact"/>
        <w:jc w:val="left"/>
        <w:rPr>
          <w:rFonts w:ascii="宋体" w:hAnsi="宋体"/>
          <w:bCs/>
          <w:snapToGrid w:val="0"/>
          <w:sz w:val="28"/>
          <w:szCs w:val="28"/>
        </w:rPr>
        <w:sectPr>
          <w:headerReference r:id="rId11" w:type="first"/>
          <w:headerReference r:id="rId9" w:type="default"/>
          <w:headerReference r:id="rId10" w:type="even"/>
          <w:pgSz w:w="11906" w:h="16838"/>
          <w:pgMar w:top="1417" w:right="1134" w:bottom="1417" w:left="1417" w:header="851" w:footer="992" w:gutter="0"/>
          <w:cols w:space="720" w:num="1"/>
          <w:docGrid w:type="lines" w:linePitch="312" w:charSpace="0"/>
        </w:sectPr>
      </w:pPr>
      <w:r>
        <w:rPr>
          <w:rFonts w:ascii="宋体" w:hAnsi="宋体"/>
          <w:bCs/>
          <w:snapToGrid w:val="0"/>
          <w:sz w:val="28"/>
          <w:szCs w:val="28"/>
        </w:rPr>
        <w:br w:type="page"/>
      </w:r>
    </w:p>
    <w:p>
      <w:pPr>
        <w:pStyle w:val="3"/>
        <w:spacing w:line="560" w:lineRule="exact"/>
        <w:jc w:val="center"/>
        <w:rPr>
          <w:b w:val="0"/>
          <w:snapToGrid w:val="0"/>
          <w:sz w:val="36"/>
          <w:szCs w:val="36"/>
        </w:rPr>
      </w:pPr>
      <w:bookmarkStart w:id="427" w:name="_Toc10039"/>
      <w:bookmarkStart w:id="428" w:name="_Toc29530"/>
      <w:bookmarkStart w:id="429" w:name="_Toc19000"/>
      <w:r>
        <w:rPr>
          <w:rFonts w:hint="eastAsia"/>
          <w:b w:val="0"/>
          <w:snapToGrid w:val="0"/>
          <w:sz w:val="36"/>
          <w:szCs w:val="36"/>
        </w:rPr>
        <w:t>第六章</w:t>
      </w:r>
      <w:r>
        <w:rPr>
          <w:b w:val="0"/>
          <w:snapToGrid w:val="0"/>
          <w:sz w:val="36"/>
          <w:szCs w:val="36"/>
        </w:rPr>
        <w:t xml:space="preserve"> </w:t>
      </w:r>
      <w:r>
        <w:rPr>
          <w:rFonts w:hint="eastAsia"/>
          <w:b w:val="0"/>
          <w:snapToGrid w:val="0"/>
          <w:sz w:val="36"/>
          <w:szCs w:val="36"/>
        </w:rPr>
        <w:t>合同专用条款</w:t>
      </w:r>
      <w:bookmarkEnd w:id="427"/>
      <w:bookmarkEnd w:id="428"/>
      <w:bookmarkEnd w:id="429"/>
    </w:p>
    <w:p>
      <w:pPr>
        <w:spacing w:before="156" w:beforeLines="50" w:after="156" w:afterLines="50" w:line="560" w:lineRule="exact"/>
        <w:rPr>
          <w:rFonts w:ascii="宋体" w:hAnsi="宋体" w:cs="宋体"/>
          <w:bCs/>
          <w:sz w:val="28"/>
          <w:szCs w:val="28"/>
        </w:rPr>
      </w:pPr>
      <w:r>
        <w:rPr>
          <w:rFonts w:hint="eastAsia" w:ascii="宋体" w:hAnsi="宋体" w:cs="宋体"/>
          <w:bCs/>
          <w:sz w:val="28"/>
          <w:szCs w:val="28"/>
        </w:rPr>
        <w:t>合同编号：</w:t>
      </w:r>
      <w:r>
        <w:rPr>
          <w:rFonts w:hint="eastAsia" w:ascii="宋体" w:hAnsi="宋体" w:cs="宋体"/>
          <w:bCs/>
          <w:sz w:val="28"/>
          <w:szCs w:val="28"/>
          <w:u w:val="single"/>
        </w:rPr>
        <w:t xml:space="preserve">              </w:t>
      </w:r>
    </w:p>
    <w:p>
      <w:pPr>
        <w:pStyle w:val="4"/>
        <w:spacing w:before="156" w:beforeLines="50" w:after="156" w:afterLines="50" w:line="560" w:lineRule="exact"/>
        <w:rPr>
          <w:rFonts w:ascii="黑体" w:hAnsi="黑体" w:cs="黑体"/>
          <w:b w:val="0"/>
          <w:sz w:val="28"/>
          <w:szCs w:val="28"/>
        </w:rPr>
      </w:pPr>
      <w:bookmarkStart w:id="430" w:name="_Toc28909"/>
      <w:bookmarkStart w:id="431" w:name="_Toc26788"/>
      <w:bookmarkStart w:id="432" w:name="_Toc4752"/>
      <w:r>
        <w:rPr>
          <w:rFonts w:hint="eastAsia" w:ascii="黑体" w:hAnsi="黑体" w:cs="黑体"/>
          <w:b w:val="0"/>
          <w:sz w:val="28"/>
          <w:szCs w:val="28"/>
        </w:rPr>
        <w:t>一、项目信息</w:t>
      </w:r>
      <w:bookmarkEnd w:id="430"/>
      <w:bookmarkEnd w:id="431"/>
      <w:bookmarkEnd w:id="432"/>
    </w:p>
    <w:p>
      <w:pPr>
        <w:adjustRightInd w:val="0"/>
        <w:snapToGrid w:val="0"/>
        <w:spacing w:line="560" w:lineRule="exact"/>
        <w:rPr>
          <w:rFonts w:ascii="宋体" w:hAnsi="宋体" w:cs="宋体"/>
          <w:bCs/>
          <w:sz w:val="28"/>
          <w:szCs w:val="28"/>
        </w:rPr>
      </w:pPr>
      <w:r>
        <w:rPr>
          <w:rFonts w:hint="eastAsia" w:ascii="宋体" w:hAnsi="宋体" w:cs="宋体"/>
          <w:bCs/>
          <w:sz w:val="28"/>
          <w:szCs w:val="28"/>
        </w:rPr>
        <w:t>项目名称：</w:t>
      </w:r>
      <w:r>
        <w:rPr>
          <w:rFonts w:hint="eastAsia" w:ascii="宋体" w:hAnsi="宋体" w:cs="宋体"/>
          <w:bCs/>
          <w:sz w:val="28"/>
          <w:szCs w:val="28"/>
          <w:u w:val="single"/>
        </w:rPr>
        <w:t xml:space="preserve">                  </w:t>
      </w:r>
      <w:r>
        <w:rPr>
          <w:rFonts w:hint="eastAsia" w:ascii="宋体" w:hAnsi="宋体" w:cs="宋体"/>
          <w:bCs/>
          <w:sz w:val="28"/>
          <w:szCs w:val="28"/>
        </w:rPr>
        <w:t>签订日期：</w:t>
      </w:r>
      <w:r>
        <w:rPr>
          <w:rFonts w:hint="eastAsia" w:ascii="宋体" w:hAnsi="宋体" w:cs="宋体"/>
          <w:bCs/>
          <w:sz w:val="28"/>
          <w:szCs w:val="28"/>
          <w:u w:val="single"/>
        </w:rPr>
        <w:t xml:space="preserve">   </w:t>
      </w:r>
      <w:r>
        <w:rPr>
          <w:rFonts w:hint="eastAsia" w:ascii="宋体" w:hAnsi="宋体" w:cs="宋体"/>
          <w:bCs/>
          <w:sz w:val="28"/>
          <w:szCs w:val="28"/>
        </w:rPr>
        <w:t>年</w:t>
      </w:r>
      <w:r>
        <w:rPr>
          <w:rFonts w:hint="eastAsia" w:ascii="宋体" w:hAnsi="宋体" w:cs="宋体"/>
          <w:bCs/>
          <w:sz w:val="28"/>
          <w:szCs w:val="28"/>
          <w:u w:val="single"/>
        </w:rPr>
        <w:t xml:space="preserve">  </w:t>
      </w:r>
      <w:r>
        <w:rPr>
          <w:rFonts w:hint="eastAsia" w:ascii="宋体" w:hAnsi="宋体" w:cs="宋体"/>
          <w:bCs/>
          <w:sz w:val="28"/>
          <w:szCs w:val="28"/>
        </w:rPr>
        <w:t>月</w:t>
      </w:r>
      <w:r>
        <w:rPr>
          <w:rFonts w:hint="eastAsia" w:ascii="宋体" w:hAnsi="宋体" w:cs="宋体"/>
          <w:bCs/>
          <w:sz w:val="28"/>
          <w:szCs w:val="28"/>
          <w:u w:val="single"/>
        </w:rPr>
        <w:t xml:space="preserve">  </w:t>
      </w:r>
      <w:r>
        <w:rPr>
          <w:rFonts w:hint="eastAsia" w:ascii="宋体" w:hAnsi="宋体" w:cs="宋体"/>
          <w:bCs/>
          <w:sz w:val="28"/>
          <w:szCs w:val="28"/>
        </w:rPr>
        <w:t>日</w:t>
      </w:r>
    </w:p>
    <w:p>
      <w:pPr>
        <w:adjustRightInd w:val="0"/>
        <w:snapToGrid w:val="0"/>
        <w:spacing w:line="560" w:lineRule="exact"/>
        <w:rPr>
          <w:rFonts w:ascii="宋体" w:hAnsi="宋体" w:cs="宋体"/>
          <w:bCs/>
          <w:sz w:val="28"/>
          <w:szCs w:val="28"/>
        </w:rPr>
      </w:pPr>
      <w:r>
        <w:rPr>
          <w:rFonts w:hint="eastAsia" w:ascii="宋体" w:hAnsi="宋体" w:cs="宋体"/>
          <w:bCs/>
          <w:sz w:val="28"/>
          <w:szCs w:val="28"/>
        </w:rPr>
        <w:t>项目编号：</w:t>
      </w:r>
      <w:r>
        <w:rPr>
          <w:rFonts w:hint="eastAsia" w:ascii="宋体" w:hAnsi="宋体" w:cs="宋体"/>
          <w:bCs/>
          <w:sz w:val="28"/>
          <w:szCs w:val="28"/>
          <w:u w:val="single"/>
        </w:rPr>
        <w:t xml:space="preserve">                  </w:t>
      </w:r>
      <w:r>
        <w:rPr>
          <w:rFonts w:hint="eastAsia" w:ascii="宋体" w:hAnsi="宋体" w:cs="宋体"/>
          <w:bCs/>
          <w:sz w:val="28"/>
          <w:szCs w:val="28"/>
        </w:rPr>
        <w:t>签订地点：</w:t>
      </w:r>
      <w:r>
        <w:rPr>
          <w:rFonts w:hint="eastAsia" w:ascii="宋体" w:hAnsi="宋体" w:cs="宋体"/>
          <w:bCs/>
          <w:sz w:val="28"/>
          <w:szCs w:val="28"/>
          <w:u w:val="single"/>
        </w:rPr>
        <w:t xml:space="preserve">              </w:t>
      </w:r>
    </w:p>
    <w:p>
      <w:pPr>
        <w:pStyle w:val="4"/>
        <w:spacing w:before="156" w:beforeLines="50" w:after="156" w:afterLines="50" w:line="560" w:lineRule="exact"/>
        <w:rPr>
          <w:rFonts w:ascii="黑体" w:hAnsi="黑体" w:cs="黑体"/>
          <w:b w:val="0"/>
          <w:sz w:val="28"/>
          <w:szCs w:val="28"/>
        </w:rPr>
      </w:pPr>
      <w:bookmarkStart w:id="433" w:name="_Toc1552"/>
      <w:bookmarkStart w:id="434" w:name="_Toc21749"/>
      <w:bookmarkStart w:id="435" w:name="_Toc17818"/>
      <w:r>
        <w:rPr>
          <w:rFonts w:hint="eastAsia" w:ascii="黑体" w:hAnsi="黑体" w:cs="黑体"/>
          <w:b w:val="0"/>
          <w:sz w:val="28"/>
          <w:szCs w:val="28"/>
        </w:rPr>
        <w:t>二、货物内容</w:t>
      </w:r>
      <w:bookmarkEnd w:id="433"/>
      <w:bookmarkEnd w:id="434"/>
      <w:bookmarkEnd w:id="435"/>
    </w:p>
    <w:tbl>
      <w:tblPr>
        <w:tblStyle w:val="42"/>
        <w:tblW w:w="9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091"/>
        <w:gridCol w:w="677"/>
        <w:gridCol w:w="1101"/>
        <w:gridCol w:w="851"/>
        <w:gridCol w:w="1091"/>
        <w:gridCol w:w="677"/>
        <w:gridCol w:w="1025"/>
        <w:gridCol w:w="1211"/>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r>
              <w:rPr>
                <w:rFonts w:hint="eastAsia" w:ascii="宋体" w:hAnsi="宋体" w:cs="宋体"/>
                <w:bCs/>
                <w:spacing w:val="-4"/>
                <w:szCs w:val="21"/>
              </w:rPr>
              <w:t>序号</w:t>
            </w:r>
          </w:p>
        </w:tc>
        <w:tc>
          <w:tcPr>
            <w:tcW w:w="109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r>
              <w:rPr>
                <w:rFonts w:hint="eastAsia" w:ascii="宋体" w:hAnsi="宋体" w:cs="宋体"/>
                <w:bCs/>
                <w:spacing w:val="-4"/>
                <w:szCs w:val="21"/>
              </w:rPr>
              <w:t>物资名称</w:t>
            </w:r>
          </w:p>
        </w:tc>
        <w:tc>
          <w:tcPr>
            <w:tcW w:w="67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r>
              <w:rPr>
                <w:rFonts w:hint="eastAsia" w:ascii="宋体" w:hAnsi="宋体" w:cs="宋体"/>
                <w:bCs/>
                <w:spacing w:val="-4"/>
                <w:szCs w:val="21"/>
              </w:rPr>
              <w:t>品牌</w:t>
            </w:r>
          </w:p>
        </w:tc>
        <w:tc>
          <w:tcPr>
            <w:tcW w:w="11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r>
              <w:rPr>
                <w:rFonts w:hint="eastAsia" w:ascii="宋体" w:hAnsi="宋体" w:cs="宋体"/>
                <w:bCs/>
                <w:spacing w:val="-4"/>
                <w:szCs w:val="21"/>
              </w:rPr>
              <w:t>规格型号</w:t>
            </w:r>
          </w:p>
        </w:tc>
        <w:tc>
          <w:tcPr>
            <w:tcW w:w="85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r>
              <w:rPr>
                <w:rFonts w:hint="eastAsia" w:ascii="宋体" w:hAnsi="宋体" w:cs="宋体"/>
                <w:bCs/>
                <w:spacing w:val="-4"/>
                <w:szCs w:val="21"/>
              </w:rPr>
              <w:t>编目码</w:t>
            </w:r>
          </w:p>
        </w:tc>
        <w:tc>
          <w:tcPr>
            <w:tcW w:w="109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r>
              <w:rPr>
                <w:rFonts w:hint="eastAsia" w:ascii="宋体" w:hAnsi="宋体" w:cs="宋体"/>
                <w:bCs/>
                <w:spacing w:val="-4"/>
                <w:szCs w:val="21"/>
              </w:rPr>
              <w:t>计量单位</w:t>
            </w:r>
          </w:p>
        </w:tc>
        <w:tc>
          <w:tcPr>
            <w:tcW w:w="67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r>
              <w:rPr>
                <w:rFonts w:hint="eastAsia" w:ascii="宋体" w:hAnsi="宋体" w:cs="宋体"/>
                <w:bCs/>
                <w:spacing w:val="-4"/>
                <w:szCs w:val="21"/>
              </w:rPr>
              <w:t>数量</w:t>
            </w:r>
          </w:p>
        </w:tc>
        <w:tc>
          <w:tcPr>
            <w:tcW w:w="102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r>
              <w:rPr>
                <w:rFonts w:hint="eastAsia" w:ascii="宋体" w:hAnsi="宋体" w:cs="宋体"/>
                <w:bCs/>
                <w:spacing w:val="-4"/>
                <w:szCs w:val="21"/>
              </w:rPr>
              <w:t>单价（元）</w:t>
            </w:r>
          </w:p>
        </w:tc>
        <w:tc>
          <w:tcPr>
            <w:tcW w:w="121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r>
              <w:rPr>
                <w:rFonts w:hint="eastAsia" w:ascii="宋体" w:hAnsi="宋体" w:cs="宋体"/>
                <w:bCs/>
                <w:spacing w:val="-4"/>
                <w:szCs w:val="21"/>
              </w:rPr>
              <w:t>总价（元）</w:t>
            </w:r>
          </w:p>
        </w:tc>
        <w:tc>
          <w:tcPr>
            <w:tcW w:w="85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r>
              <w:rPr>
                <w:rFonts w:hint="eastAsia" w:ascii="宋体" w:hAnsi="宋体" w:cs="宋体"/>
                <w:bCs/>
                <w:spacing w:val="-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p>
        </w:tc>
        <w:tc>
          <w:tcPr>
            <w:tcW w:w="109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p>
        </w:tc>
        <w:tc>
          <w:tcPr>
            <w:tcW w:w="67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p>
        </w:tc>
        <w:tc>
          <w:tcPr>
            <w:tcW w:w="11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p>
        </w:tc>
        <w:tc>
          <w:tcPr>
            <w:tcW w:w="109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p>
        </w:tc>
        <w:tc>
          <w:tcPr>
            <w:tcW w:w="67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p>
        </w:tc>
        <w:tc>
          <w:tcPr>
            <w:tcW w:w="102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p>
        </w:tc>
        <w:tc>
          <w:tcPr>
            <w:tcW w:w="85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7155" w:type="dxa"/>
            <w:gridSpan w:val="8"/>
            <w:tcBorders>
              <w:top w:val="single" w:color="auto" w:sz="4" w:space="0"/>
              <w:left w:val="single" w:color="auto" w:sz="4" w:space="0"/>
              <w:bottom w:val="single" w:color="auto" w:sz="4" w:space="0"/>
              <w:right w:val="single" w:color="auto" w:sz="4" w:space="0"/>
            </w:tcBorders>
          </w:tcPr>
          <w:p>
            <w:pPr>
              <w:spacing w:line="560" w:lineRule="exact"/>
              <w:jc w:val="center"/>
              <w:rPr>
                <w:rFonts w:ascii="宋体" w:hAnsi="宋体" w:cs="宋体"/>
                <w:bCs/>
                <w:spacing w:val="-4"/>
                <w:szCs w:val="21"/>
              </w:rPr>
            </w:pPr>
            <w:r>
              <w:rPr>
                <w:rFonts w:hint="eastAsia" w:ascii="宋体" w:hAnsi="宋体" w:cs="宋体"/>
                <w:bCs/>
                <w:spacing w:val="-4"/>
                <w:szCs w:val="21"/>
              </w:rPr>
              <w:t>合  计</w:t>
            </w:r>
          </w:p>
        </w:tc>
        <w:tc>
          <w:tcPr>
            <w:tcW w:w="1211"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cs="宋体"/>
                <w:bCs/>
                <w:spacing w:val="-4"/>
                <w:szCs w:val="21"/>
              </w:rPr>
            </w:pPr>
          </w:p>
        </w:tc>
        <w:tc>
          <w:tcPr>
            <w:tcW w:w="85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9222" w:type="dxa"/>
            <w:gridSpan w:val="10"/>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cs="宋体"/>
                <w:bCs/>
                <w:spacing w:val="-4"/>
                <w:szCs w:val="21"/>
              </w:rPr>
            </w:pPr>
            <w:r>
              <w:rPr>
                <w:rFonts w:hint="eastAsia" w:ascii="宋体" w:hAnsi="宋体" w:cs="宋体"/>
                <w:bCs/>
                <w:spacing w:val="-4"/>
                <w:szCs w:val="21"/>
              </w:rPr>
              <w:t>金额合计（人民币大写）：</w:t>
            </w:r>
            <w:r>
              <w:rPr>
                <w:rFonts w:hint="eastAsia" w:ascii="宋体" w:hAnsi="宋体" w:cs="宋体"/>
                <w:bCs/>
                <w:szCs w:val="21"/>
                <w:u w:val="single"/>
              </w:rPr>
              <w:t xml:space="preserve">                   </w:t>
            </w:r>
            <w:r>
              <w:rPr>
                <w:rFonts w:hint="eastAsia" w:ascii="宋体" w:hAnsi="宋体" w:cs="宋体"/>
                <w:bCs/>
                <w:spacing w:val="-4"/>
                <w:szCs w:val="21"/>
              </w:rPr>
              <w:t>元</w:t>
            </w:r>
            <w:r>
              <w:rPr>
                <w:rFonts w:hint="eastAsia" w:ascii="宋体" w:hAnsi="宋体" w:cs="宋体"/>
                <w:bCs/>
                <w:szCs w:val="21"/>
              </w:rPr>
              <w:t xml:space="preserve">      （小写）：</w:t>
            </w:r>
            <w:r>
              <w:rPr>
                <w:rFonts w:hint="eastAsia" w:ascii="宋体" w:hAnsi="宋体" w:cs="宋体"/>
                <w:bCs/>
                <w:szCs w:val="21"/>
                <w:u w:val="single"/>
              </w:rPr>
              <w:t xml:space="preserve">                 </w:t>
            </w:r>
            <w:r>
              <w:rPr>
                <w:rFonts w:hint="eastAsia" w:ascii="宋体" w:hAnsi="宋体" w:cs="宋体"/>
                <w:bCs/>
                <w:szCs w:val="21"/>
              </w:rPr>
              <w:t>¥</w:t>
            </w:r>
          </w:p>
        </w:tc>
      </w:tr>
    </w:tbl>
    <w:p>
      <w:pPr>
        <w:pStyle w:val="4"/>
        <w:spacing w:before="156" w:beforeLines="50" w:after="156" w:afterLines="50" w:line="560" w:lineRule="exact"/>
        <w:rPr>
          <w:rFonts w:ascii="黑体" w:hAnsi="黑体" w:cs="黑体"/>
          <w:b w:val="0"/>
          <w:sz w:val="28"/>
          <w:szCs w:val="28"/>
        </w:rPr>
      </w:pPr>
      <w:bookmarkStart w:id="436" w:name="_Toc30178"/>
      <w:bookmarkStart w:id="437" w:name="_Toc23535"/>
      <w:bookmarkStart w:id="438" w:name="_Toc13010"/>
      <w:r>
        <w:rPr>
          <w:rFonts w:hint="eastAsia" w:ascii="黑体" w:hAnsi="黑体" w:cs="黑体"/>
          <w:b w:val="0"/>
          <w:sz w:val="28"/>
          <w:szCs w:val="28"/>
        </w:rPr>
        <w:t>三、交货时间、地点</w:t>
      </w:r>
      <w:bookmarkEnd w:id="436"/>
      <w:bookmarkEnd w:id="437"/>
      <w:bookmarkEnd w:id="438"/>
    </w:p>
    <w:p>
      <w:pPr>
        <w:spacing w:line="560" w:lineRule="exact"/>
        <w:rPr>
          <w:rFonts w:ascii="宋体" w:hAnsi="宋体" w:cs="宋体"/>
          <w:bCs/>
          <w:sz w:val="28"/>
          <w:szCs w:val="28"/>
        </w:rPr>
      </w:pPr>
      <w:r>
        <w:rPr>
          <w:rFonts w:hint="eastAsia" w:ascii="宋体" w:hAnsi="宋体" w:cs="宋体"/>
          <w:bCs/>
          <w:sz w:val="28"/>
          <w:szCs w:val="28"/>
        </w:rPr>
        <w:t xml:space="preserve">   （一）交货时间：</w:t>
      </w:r>
      <w:r>
        <w:rPr>
          <w:rFonts w:hint="eastAsia" w:ascii="宋体" w:hAnsi="宋体" w:cs="宋体"/>
          <w:bCs/>
          <w:sz w:val="28"/>
          <w:szCs w:val="28"/>
          <w:u w:val="single"/>
        </w:rPr>
        <w:t xml:space="preserve">                          </w:t>
      </w:r>
    </w:p>
    <w:p>
      <w:pPr>
        <w:spacing w:line="560" w:lineRule="exact"/>
        <w:rPr>
          <w:rFonts w:ascii="宋体" w:hAnsi="宋体" w:cs="宋体"/>
          <w:bCs/>
          <w:sz w:val="28"/>
          <w:szCs w:val="28"/>
        </w:rPr>
      </w:pPr>
      <w:r>
        <w:rPr>
          <w:rFonts w:hint="eastAsia" w:ascii="宋体" w:hAnsi="宋体" w:cs="宋体"/>
          <w:bCs/>
          <w:sz w:val="28"/>
          <w:szCs w:val="28"/>
        </w:rPr>
        <w:t xml:space="preserve">   （二）交货地点：</w:t>
      </w:r>
      <w:r>
        <w:rPr>
          <w:rFonts w:hint="eastAsia" w:ascii="宋体" w:hAnsi="宋体" w:cs="宋体"/>
          <w:bCs/>
          <w:sz w:val="28"/>
          <w:szCs w:val="28"/>
          <w:u w:val="single"/>
        </w:rPr>
        <w:t xml:space="preserve">                          </w:t>
      </w:r>
      <w:r>
        <w:rPr>
          <w:rFonts w:hint="eastAsia" w:ascii="宋体" w:hAnsi="宋体" w:cs="宋体"/>
          <w:bCs/>
          <w:sz w:val="28"/>
          <w:szCs w:val="28"/>
        </w:rPr>
        <w:t xml:space="preserve"> </w:t>
      </w:r>
    </w:p>
    <w:p>
      <w:pPr>
        <w:pStyle w:val="4"/>
        <w:spacing w:before="156" w:beforeLines="50" w:after="156" w:afterLines="50" w:line="560" w:lineRule="exact"/>
        <w:rPr>
          <w:rFonts w:ascii="黑体" w:hAnsi="黑体" w:cs="黑体"/>
          <w:b w:val="0"/>
          <w:sz w:val="28"/>
          <w:szCs w:val="28"/>
        </w:rPr>
      </w:pPr>
      <w:bookmarkStart w:id="439" w:name="_Toc16939"/>
      <w:bookmarkStart w:id="440" w:name="_Toc7812"/>
      <w:bookmarkStart w:id="441" w:name="_Toc4153"/>
      <w:r>
        <w:rPr>
          <w:rFonts w:hint="eastAsia" w:ascii="黑体" w:hAnsi="黑体" w:cs="黑体"/>
          <w:b w:val="0"/>
          <w:sz w:val="28"/>
          <w:szCs w:val="28"/>
          <w:lang w:val="zh-CN"/>
        </w:rPr>
        <w:t>※</w:t>
      </w:r>
      <w:r>
        <w:rPr>
          <w:rFonts w:hint="eastAsia" w:ascii="黑体" w:hAnsi="黑体" w:cs="黑体"/>
          <w:b w:val="0"/>
          <w:sz w:val="28"/>
          <w:szCs w:val="28"/>
        </w:rPr>
        <w:t>四、质量保证期</w:t>
      </w:r>
      <w:bookmarkEnd w:id="439"/>
      <w:bookmarkEnd w:id="440"/>
      <w:bookmarkEnd w:id="441"/>
    </w:p>
    <w:p>
      <w:pPr>
        <w:spacing w:line="560" w:lineRule="exact"/>
        <w:ind w:firstLine="560" w:firstLineChars="200"/>
        <w:rPr>
          <w:rFonts w:ascii="宋体" w:hAnsi="宋体" w:cs="宋体"/>
          <w:bCs/>
          <w:sz w:val="28"/>
          <w:szCs w:val="28"/>
        </w:rPr>
      </w:pPr>
      <w:r>
        <w:rPr>
          <w:rFonts w:hint="eastAsia" w:ascii="宋体" w:hAnsi="宋体" w:cs="宋体"/>
          <w:bCs/>
          <w:sz w:val="28"/>
          <w:szCs w:val="28"/>
        </w:rPr>
        <w:t>自货物验收完毕之日起，货物免费质保期</w:t>
      </w:r>
      <w:r>
        <w:rPr>
          <w:rFonts w:hint="eastAsia" w:ascii="宋体" w:hAnsi="宋体" w:cs="宋体"/>
          <w:bCs/>
          <w:sz w:val="28"/>
          <w:szCs w:val="28"/>
          <w:u w:val="single"/>
        </w:rPr>
        <w:t xml:space="preserve">   </w:t>
      </w:r>
      <w:r>
        <w:rPr>
          <w:rFonts w:hint="eastAsia" w:ascii="宋体" w:hAnsi="宋体" w:cs="宋体"/>
          <w:bCs/>
          <w:sz w:val="28"/>
          <w:szCs w:val="28"/>
        </w:rPr>
        <w:t>年。在免费质保期内，出现产品质量问题，甲方提出后，乙方应当在</w:t>
      </w:r>
      <w:r>
        <w:rPr>
          <w:rFonts w:hint="eastAsia" w:ascii="宋体" w:hAnsi="宋体" w:cs="宋体"/>
          <w:bCs/>
          <w:sz w:val="28"/>
          <w:szCs w:val="28"/>
          <w:u w:val="single"/>
        </w:rPr>
        <w:t xml:space="preserve">  </w:t>
      </w:r>
      <w:r>
        <w:rPr>
          <w:rFonts w:hint="eastAsia" w:ascii="宋体" w:hAnsi="宋体" w:cs="宋体"/>
          <w:bCs/>
          <w:sz w:val="28"/>
          <w:szCs w:val="28"/>
        </w:rPr>
        <w:t>小时内响应，</w:t>
      </w:r>
      <w:r>
        <w:rPr>
          <w:rFonts w:hint="eastAsia" w:ascii="宋体" w:hAnsi="宋体" w:cs="宋体"/>
          <w:bCs/>
          <w:sz w:val="28"/>
          <w:szCs w:val="28"/>
          <w:u w:val="single"/>
        </w:rPr>
        <w:t xml:space="preserve">  </w:t>
      </w:r>
      <w:r>
        <w:rPr>
          <w:rFonts w:hint="eastAsia" w:ascii="宋体" w:hAnsi="宋体" w:cs="宋体"/>
          <w:bCs/>
          <w:sz w:val="28"/>
          <w:szCs w:val="28"/>
        </w:rPr>
        <w:t>小时内到达现场提供相关的维修、更换等服务。</w:t>
      </w:r>
    </w:p>
    <w:p>
      <w:pPr>
        <w:pStyle w:val="4"/>
        <w:spacing w:before="156" w:beforeLines="50" w:after="156" w:afterLines="50" w:line="560" w:lineRule="exact"/>
        <w:rPr>
          <w:rFonts w:ascii="黑体" w:hAnsi="黑体" w:cs="黑体"/>
          <w:b w:val="0"/>
          <w:sz w:val="28"/>
          <w:szCs w:val="28"/>
        </w:rPr>
      </w:pPr>
      <w:bookmarkStart w:id="442" w:name="_Toc5234"/>
      <w:bookmarkStart w:id="443" w:name="_Toc28180"/>
      <w:bookmarkStart w:id="444" w:name="_Toc19003"/>
      <w:r>
        <w:rPr>
          <w:rFonts w:hint="eastAsia" w:ascii="黑体" w:hAnsi="黑体" w:cs="黑体"/>
          <w:b w:val="0"/>
          <w:sz w:val="28"/>
          <w:szCs w:val="28"/>
        </w:rPr>
        <w:t>五、产品质量检验验收</w:t>
      </w:r>
      <w:bookmarkEnd w:id="442"/>
      <w:bookmarkEnd w:id="443"/>
      <w:bookmarkEnd w:id="444"/>
    </w:p>
    <w:p>
      <w:pPr>
        <w:spacing w:line="560" w:lineRule="exact"/>
        <w:ind w:firstLine="560" w:firstLineChars="200"/>
        <w:rPr>
          <w:rFonts w:ascii="宋体" w:hAnsi="宋体" w:cs="宋体"/>
          <w:bCs/>
          <w:sz w:val="28"/>
          <w:szCs w:val="28"/>
        </w:rPr>
      </w:pPr>
      <w:r>
        <w:rPr>
          <w:rFonts w:hint="eastAsia" w:ascii="宋体" w:hAnsi="宋体" w:cs="宋体"/>
          <w:bCs/>
          <w:sz w:val="28"/>
          <w:szCs w:val="28"/>
        </w:rPr>
        <w:t>产品质量检验验收要求：</w:t>
      </w:r>
      <w:r>
        <w:rPr>
          <w:rFonts w:hint="eastAsia" w:ascii="宋体" w:hAnsi="宋体" w:cs="宋体"/>
          <w:bCs/>
          <w:sz w:val="28"/>
          <w:szCs w:val="28"/>
          <w:u w:val="single"/>
        </w:rPr>
        <w:t xml:space="preserve">                                             </w:t>
      </w:r>
    </w:p>
    <w:p>
      <w:pPr>
        <w:pStyle w:val="4"/>
        <w:spacing w:before="156" w:beforeLines="50" w:after="156" w:afterLines="50" w:line="560" w:lineRule="exact"/>
        <w:rPr>
          <w:rFonts w:ascii="黑体" w:hAnsi="黑体" w:cs="黑体"/>
          <w:b w:val="0"/>
          <w:sz w:val="28"/>
          <w:szCs w:val="28"/>
        </w:rPr>
      </w:pPr>
      <w:bookmarkStart w:id="445" w:name="_Toc7210"/>
      <w:bookmarkStart w:id="446" w:name="_Toc7741"/>
      <w:bookmarkStart w:id="447" w:name="_Toc8226"/>
      <w:r>
        <w:rPr>
          <w:rFonts w:hint="eastAsia" w:ascii="黑体" w:hAnsi="黑体" w:cs="黑体"/>
          <w:b w:val="0"/>
          <w:sz w:val="28"/>
          <w:szCs w:val="28"/>
        </w:rPr>
        <w:t>六、合同价款支付方式和条件：</w:t>
      </w:r>
      <w:bookmarkEnd w:id="445"/>
      <w:bookmarkEnd w:id="446"/>
      <w:bookmarkEnd w:id="447"/>
    </w:p>
    <w:p>
      <w:pPr>
        <w:adjustRightInd w:val="0"/>
        <w:snapToGrid w:val="0"/>
        <w:spacing w:line="560" w:lineRule="exact"/>
        <w:rPr>
          <w:rFonts w:ascii="宋体" w:hAnsi="宋体" w:cs="宋体"/>
          <w:bCs/>
          <w:sz w:val="28"/>
          <w:szCs w:val="28"/>
        </w:rPr>
      </w:pPr>
      <w:r>
        <w:rPr>
          <w:rFonts w:hint="eastAsia" w:ascii="宋体" w:hAnsi="宋体" w:cs="宋体"/>
          <w:bCs/>
          <w:sz w:val="28"/>
          <w:szCs w:val="28"/>
        </w:rPr>
        <w:t xml:space="preserve"> </w:t>
      </w:r>
    </w:p>
    <w:p>
      <w:pPr>
        <w:pStyle w:val="4"/>
        <w:spacing w:before="156" w:beforeLines="50" w:after="156" w:afterLines="50" w:line="560" w:lineRule="exact"/>
        <w:rPr>
          <w:rFonts w:ascii="黑体" w:hAnsi="黑体" w:cs="黑体"/>
          <w:b w:val="0"/>
          <w:sz w:val="28"/>
          <w:szCs w:val="28"/>
        </w:rPr>
      </w:pPr>
      <w:bookmarkStart w:id="448" w:name="_Toc32644"/>
      <w:bookmarkStart w:id="449" w:name="_Toc14581"/>
      <w:bookmarkStart w:id="450" w:name="_Toc19143"/>
      <w:r>
        <w:rPr>
          <w:rFonts w:hint="eastAsia" w:ascii="黑体" w:hAnsi="黑体" w:cs="黑体"/>
          <w:b w:val="0"/>
          <w:sz w:val="28"/>
          <w:szCs w:val="28"/>
        </w:rPr>
        <w:t>七、解决合同纠纷方式</w:t>
      </w:r>
      <w:bookmarkEnd w:id="448"/>
      <w:bookmarkEnd w:id="449"/>
      <w:bookmarkEnd w:id="450"/>
    </w:p>
    <w:p>
      <w:pPr>
        <w:adjustRightInd w:val="0"/>
        <w:snapToGrid w:val="0"/>
        <w:spacing w:line="560" w:lineRule="exact"/>
        <w:ind w:firstLine="560" w:firstLineChars="200"/>
        <w:rPr>
          <w:rFonts w:ascii="宋体" w:hAnsi="宋体" w:cs="宋体"/>
          <w:bCs/>
          <w:sz w:val="28"/>
          <w:szCs w:val="28"/>
        </w:rPr>
      </w:pPr>
      <w:r>
        <w:rPr>
          <w:rFonts w:hint="eastAsia" w:ascii="宋体" w:hAnsi="宋体" w:cs="宋体"/>
          <w:bCs/>
          <w:sz w:val="28"/>
          <w:szCs w:val="28"/>
        </w:rPr>
        <w:t>首先通过双方协商解决，协商解决不成，则通过以下途径之一解决纠纷：</w:t>
      </w:r>
    </w:p>
    <w:p>
      <w:pPr>
        <w:adjustRightInd w:val="0"/>
        <w:snapToGrid w:val="0"/>
        <w:spacing w:line="560" w:lineRule="exact"/>
        <w:ind w:firstLine="1120" w:firstLineChars="400"/>
        <w:rPr>
          <w:rFonts w:ascii="宋体" w:hAnsi="宋体" w:cs="宋体"/>
          <w:bCs/>
          <w:sz w:val="28"/>
          <w:szCs w:val="28"/>
        </w:rPr>
      </w:pPr>
      <w:r>
        <w:rPr>
          <w:rFonts w:hint="eastAsia" w:ascii="宋体" w:hAnsi="宋体" w:cs="宋体"/>
          <w:bCs/>
          <w:sz w:val="28"/>
          <w:szCs w:val="28"/>
        </w:rPr>
        <w:t>□ 提请仲裁       □ 向人民法院提起诉讼</w:t>
      </w:r>
    </w:p>
    <w:p>
      <w:pPr>
        <w:pStyle w:val="4"/>
        <w:spacing w:before="156" w:beforeLines="50" w:after="156" w:afterLines="50" w:line="560" w:lineRule="exact"/>
        <w:rPr>
          <w:rFonts w:ascii="黑体" w:hAnsi="黑体" w:cs="黑体"/>
          <w:b w:val="0"/>
          <w:sz w:val="28"/>
          <w:szCs w:val="28"/>
        </w:rPr>
      </w:pPr>
      <w:bookmarkStart w:id="451" w:name="_Toc32626"/>
      <w:bookmarkStart w:id="452" w:name="_Toc7706"/>
      <w:bookmarkStart w:id="453" w:name="_Toc28119"/>
      <w:r>
        <w:rPr>
          <w:rFonts w:hint="eastAsia" w:ascii="黑体" w:hAnsi="黑体" w:cs="黑体"/>
          <w:b w:val="0"/>
          <w:sz w:val="28"/>
          <w:szCs w:val="28"/>
        </w:rPr>
        <w:t>八、合同未尽事项</w:t>
      </w:r>
      <w:bookmarkEnd w:id="451"/>
      <w:bookmarkEnd w:id="452"/>
      <w:bookmarkEnd w:id="453"/>
    </w:p>
    <w:p>
      <w:pPr>
        <w:adjustRightInd w:val="0"/>
        <w:snapToGrid w:val="0"/>
        <w:spacing w:line="560" w:lineRule="exact"/>
        <w:ind w:firstLine="560" w:firstLineChars="200"/>
        <w:rPr>
          <w:rFonts w:ascii="宋体" w:hAnsi="宋体" w:cs="宋体"/>
          <w:bCs/>
          <w:sz w:val="28"/>
          <w:szCs w:val="28"/>
        </w:rPr>
      </w:pPr>
      <w:bookmarkStart w:id="454" w:name="_Toc9722"/>
      <w:bookmarkStart w:id="455" w:name="_Toc29705"/>
      <w:bookmarkStart w:id="456" w:name="_Toc9297"/>
      <w:r>
        <w:rPr>
          <w:rFonts w:hint="eastAsia" w:ascii="宋体" w:hAnsi="宋体" w:cs="宋体"/>
          <w:bCs/>
          <w:sz w:val="28"/>
          <w:szCs w:val="28"/>
          <w:u w:val="single"/>
        </w:rPr>
        <w:t>未尽事宜，甲乙双方协商解决。</w:t>
      </w:r>
    </w:p>
    <w:p>
      <w:pPr>
        <w:pStyle w:val="4"/>
        <w:spacing w:before="156" w:beforeLines="50" w:after="156" w:afterLines="50" w:line="560" w:lineRule="exact"/>
        <w:rPr>
          <w:rFonts w:ascii="黑体" w:hAnsi="黑体" w:cs="黑体"/>
          <w:b w:val="0"/>
          <w:sz w:val="28"/>
          <w:szCs w:val="28"/>
        </w:rPr>
      </w:pPr>
      <w:r>
        <w:rPr>
          <w:rFonts w:hint="eastAsia" w:ascii="黑体" w:hAnsi="黑体" w:cs="黑体"/>
          <w:b w:val="0"/>
          <w:sz w:val="28"/>
          <w:szCs w:val="28"/>
        </w:rPr>
        <w:t>九、合同份数</w:t>
      </w:r>
      <w:bookmarkEnd w:id="454"/>
      <w:bookmarkEnd w:id="455"/>
      <w:bookmarkEnd w:id="456"/>
    </w:p>
    <w:p>
      <w:pPr>
        <w:adjustRightInd w:val="0"/>
        <w:snapToGrid w:val="0"/>
        <w:spacing w:line="560" w:lineRule="exact"/>
        <w:ind w:firstLine="560" w:firstLineChars="200"/>
        <w:rPr>
          <w:rFonts w:ascii="宋体" w:hAnsi="宋体" w:cs="宋体"/>
          <w:bCs/>
          <w:sz w:val="28"/>
          <w:szCs w:val="28"/>
        </w:rPr>
      </w:pPr>
      <w:r>
        <w:rPr>
          <w:rFonts w:hint="eastAsia" w:ascii="宋体" w:hAnsi="宋体" w:cs="宋体"/>
          <w:bCs/>
          <w:sz w:val="28"/>
          <w:szCs w:val="28"/>
        </w:rPr>
        <w:t>本合同一式</w:t>
      </w:r>
      <w:r>
        <w:rPr>
          <w:rFonts w:hint="eastAsia" w:ascii="宋体" w:hAnsi="宋体" w:cs="宋体"/>
          <w:bCs/>
          <w:sz w:val="28"/>
          <w:szCs w:val="28"/>
          <w:u w:val="single"/>
        </w:rPr>
        <w:t xml:space="preserve">    </w:t>
      </w:r>
      <w:r>
        <w:rPr>
          <w:rFonts w:hint="eastAsia" w:ascii="宋体" w:hAnsi="宋体" w:cs="宋体"/>
          <w:bCs/>
          <w:sz w:val="28"/>
          <w:szCs w:val="28"/>
        </w:rPr>
        <w:t>份，采购人执</w:t>
      </w:r>
      <w:r>
        <w:rPr>
          <w:rFonts w:hint="eastAsia" w:ascii="宋体" w:hAnsi="宋体" w:cs="宋体"/>
          <w:bCs/>
          <w:sz w:val="28"/>
          <w:szCs w:val="28"/>
          <w:u w:val="single"/>
        </w:rPr>
        <w:t xml:space="preserve">   </w:t>
      </w:r>
      <w:r>
        <w:rPr>
          <w:rFonts w:hint="eastAsia" w:ascii="宋体" w:hAnsi="宋体" w:cs="宋体"/>
          <w:bCs/>
          <w:sz w:val="28"/>
          <w:szCs w:val="28"/>
        </w:rPr>
        <w:t>份，供应商执</w:t>
      </w:r>
      <w:r>
        <w:rPr>
          <w:rFonts w:hint="eastAsia" w:ascii="宋体" w:hAnsi="宋体" w:cs="宋体"/>
          <w:bCs/>
          <w:sz w:val="28"/>
          <w:szCs w:val="28"/>
          <w:u w:val="single"/>
        </w:rPr>
        <w:t xml:space="preserve">   </w:t>
      </w:r>
      <w:r>
        <w:rPr>
          <w:rFonts w:hint="eastAsia" w:ascii="宋体" w:hAnsi="宋体" w:cs="宋体"/>
          <w:bCs/>
          <w:sz w:val="28"/>
          <w:szCs w:val="28"/>
        </w:rPr>
        <w:t>份，均具有同等法律效力。</w:t>
      </w:r>
    </w:p>
    <w:p>
      <w:pPr>
        <w:pStyle w:val="4"/>
        <w:spacing w:before="156" w:beforeLines="50" w:after="156" w:afterLines="50" w:line="560" w:lineRule="exact"/>
        <w:rPr>
          <w:rFonts w:ascii="黑体" w:hAnsi="黑体" w:cs="黑体"/>
          <w:b w:val="0"/>
          <w:sz w:val="28"/>
          <w:szCs w:val="28"/>
        </w:rPr>
      </w:pPr>
      <w:bookmarkStart w:id="457" w:name="_Toc32043"/>
      <w:bookmarkStart w:id="458" w:name="_Toc12882"/>
      <w:bookmarkStart w:id="459" w:name="_Toc18422"/>
      <w:r>
        <w:rPr>
          <w:rFonts w:hint="eastAsia" w:ascii="黑体" w:hAnsi="黑体" w:cs="黑体"/>
          <w:b w:val="0"/>
          <w:sz w:val="28"/>
          <w:szCs w:val="28"/>
        </w:rPr>
        <w:t>十、合同生效</w:t>
      </w:r>
      <w:bookmarkEnd w:id="457"/>
      <w:bookmarkEnd w:id="458"/>
      <w:bookmarkEnd w:id="459"/>
    </w:p>
    <w:p>
      <w:pPr>
        <w:adjustRightInd w:val="0"/>
        <w:snapToGrid w:val="0"/>
        <w:spacing w:line="560" w:lineRule="exact"/>
        <w:ind w:firstLine="560" w:firstLineChars="200"/>
        <w:rPr>
          <w:rFonts w:ascii="宋体" w:hAnsi="宋体" w:cs="宋体"/>
          <w:bCs/>
          <w:sz w:val="28"/>
          <w:szCs w:val="28"/>
        </w:rPr>
      </w:pPr>
      <w:r>
        <w:rPr>
          <w:rFonts w:hint="eastAsia" w:ascii="宋体" w:hAnsi="宋体" w:cs="宋体"/>
          <w:bCs/>
          <w:sz w:val="28"/>
          <w:szCs w:val="28"/>
        </w:rPr>
        <w:t>本合同自</w:t>
      </w:r>
      <w:r>
        <w:rPr>
          <w:rFonts w:hint="eastAsia" w:ascii="宋体" w:hAnsi="宋体" w:cs="宋体"/>
          <w:bCs/>
          <w:sz w:val="28"/>
          <w:szCs w:val="28"/>
          <w:u w:val="single"/>
        </w:rPr>
        <w:t xml:space="preserve">                               </w:t>
      </w:r>
      <w:r>
        <w:rPr>
          <w:rFonts w:hint="eastAsia" w:ascii="宋体" w:hAnsi="宋体" w:cs="宋体"/>
          <w:bCs/>
          <w:sz w:val="28"/>
          <w:szCs w:val="28"/>
        </w:rPr>
        <w:t>生效。</w:t>
      </w:r>
    </w:p>
    <w:p>
      <w:pPr>
        <w:numPr>
          <w:ilvl w:val="0"/>
          <w:numId w:val="2"/>
        </w:numPr>
        <w:adjustRightInd w:val="0"/>
        <w:snapToGrid w:val="0"/>
        <w:spacing w:line="560" w:lineRule="exact"/>
        <w:rPr>
          <w:rFonts w:ascii="黑体" w:hAnsi="黑体" w:eastAsia="黑体" w:cs="黑体"/>
          <w:bCs/>
          <w:sz w:val="28"/>
          <w:szCs w:val="28"/>
        </w:rPr>
      </w:pPr>
      <w:r>
        <w:rPr>
          <w:rFonts w:hint="eastAsia" w:ascii="黑体" w:hAnsi="黑体" w:eastAsia="黑体" w:cs="黑体"/>
          <w:bCs/>
          <w:sz w:val="28"/>
          <w:szCs w:val="28"/>
        </w:rPr>
        <w:t>合同附件</w:t>
      </w:r>
    </w:p>
    <w:p>
      <w:pPr>
        <w:keepNext/>
        <w:keepLines/>
        <w:spacing w:before="120" w:beforeLines="50" w:after="120" w:afterLines="50" w:line="560" w:lineRule="exact"/>
        <w:outlineLvl w:val="3"/>
        <w:rPr>
          <w:rFonts w:hint="default" w:ascii="Times New Roman" w:hAnsi="Times New Roman" w:eastAsia="黑体" w:cs="Times New Roman"/>
          <w:bCs/>
          <w:sz w:val="28"/>
          <w:szCs w:val="28"/>
          <w:highlight w:val="none"/>
        </w:rPr>
      </w:pPr>
    </w:p>
    <w:p>
      <w:pPr>
        <w:keepNext/>
        <w:keepLines/>
        <w:spacing w:before="120" w:beforeLines="50" w:after="120" w:afterLines="50" w:line="560" w:lineRule="exact"/>
        <w:outlineLvl w:val="3"/>
        <w:rPr>
          <w:rFonts w:hint="default" w:ascii="Times New Roman" w:hAnsi="Times New Roman" w:eastAsia="黑体" w:cs="Times New Roman"/>
          <w:bCs/>
          <w:sz w:val="28"/>
          <w:szCs w:val="28"/>
          <w:highlight w:val="none"/>
        </w:rPr>
      </w:pPr>
    </w:p>
    <w:p>
      <w:pPr>
        <w:keepNext/>
        <w:keepLines/>
        <w:spacing w:before="120" w:beforeLines="50" w:after="120" w:afterLines="50" w:line="560" w:lineRule="exact"/>
        <w:outlineLvl w:val="3"/>
        <w:rPr>
          <w:rFonts w:hint="default" w:ascii="Times New Roman" w:hAnsi="Times New Roman" w:eastAsia="黑体" w:cs="Times New Roman"/>
          <w:bCs/>
          <w:sz w:val="28"/>
          <w:szCs w:val="28"/>
          <w:highlight w:val="none"/>
        </w:rPr>
      </w:pPr>
    </w:p>
    <w:p>
      <w:pPr>
        <w:keepNext/>
        <w:keepLines/>
        <w:spacing w:before="120" w:beforeLines="50" w:after="120" w:afterLines="50" w:line="560" w:lineRule="exact"/>
        <w:outlineLvl w:val="3"/>
        <w:rPr>
          <w:rFonts w:hint="default" w:ascii="Times New Roman" w:hAnsi="Times New Roman" w:eastAsia="黑体" w:cs="Times New Roman"/>
          <w:bCs/>
          <w:sz w:val="28"/>
          <w:szCs w:val="28"/>
          <w:highlight w:val="none"/>
        </w:rPr>
      </w:pPr>
    </w:p>
    <w:p>
      <w:pPr>
        <w:keepNext/>
        <w:keepLines/>
        <w:spacing w:before="120" w:beforeLines="50" w:after="120" w:afterLines="50" w:line="560" w:lineRule="exact"/>
        <w:outlineLvl w:val="3"/>
        <w:rPr>
          <w:rFonts w:hint="default" w:ascii="Times New Roman" w:hAnsi="Times New Roman" w:eastAsia="黑体" w:cs="Times New Roman"/>
          <w:bCs/>
          <w:sz w:val="28"/>
          <w:szCs w:val="28"/>
          <w:highlight w:val="none"/>
        </w:rPr>
      </w:pPr>
    </w:p>
    <w:p>
      <w:pPr>
        <w:keepNext/>
        <w:keepLines/>
        <w:spacing w:before="120" w:beforeLines="50" w:after="120" w:afterLines="50" w:line="560" w:lineRule="exact"/>
        <w:outlineLvl w:val="3"/>
        <w:rPr>
          <w:rFonts w:hint="default" w:ascii="Times New Roman" w:hAnsi="Times New Roman" w:eastAsia="黑体" w:cs="Times New Roman"/>
          <w:bCs/>
          <w:sz w:val="28"/>
          <w:szCs w:val="28"/>
          <w:highlight w:val="none"/>
        </w:rPr>
      </w:pPr>
    </w:p>
    <w:p>
      <w:pPr>
        <w:keepNext/>
        <w:keepLines/>
        <w:spacing w:before="120" w:beforeLines="50" w:after="120" w:afterLines="50" w:line="560" w:lineRule="exact"/>
        <w:outlineLvl w:val="3"/>
        <w:rPr>
          <w:rFonts w:hint="default" w:ascii="Times New Roman" w:hAnsi="Times New Roman" w:eastAsia="黑体" w:cs="Times New Roman"/>
          <w:bCs/>
          <w:sz w:val="28"/>
          <w:szCs w:val="28"/>
          <w:highlight w:val="none"/>
        </w:rPr>
      </w:pPr>
    </w:p>
    <w:p>
      <w:pPr>
        <w:pStyle w:val="17"/>
        <w:rPr>
          <w:rFonts w:hint="default"/>
        </w:rPr>
      </w:pPr>
    </w:p>
    <w:p>
      <w:pPr>
        <w:keepNext/>
        <w:keepLines/>
        <w:spacing w:before="120" w:beforeLines="50" w:after="120" w:afterLines="50" w:line="560" w:lineRule="exact"/>
        <w:outlineLvl w:val="3"/>
        <w:rPr>
          <w:rFonts w:hint="default" w:ascii="Times New Roman" w:hAnsi="Times New Roman" w:eastAsia="黑体" w:cs="Times New Roman"/>
          <w:bCs/>
          <w:sz w:val="28"/>
          <w:szCs w:val="28"/>
          <w:highlight w:val="none"/>
        </w:rPr>
      </w:pPr>
      <w:r>
        <w:rPr>
          <w:rFonts w:hint="default" w:ascii="Times New Roman" w:hAnsi="Times New Roman" w:eastAsia="黑体" w:cs="Times New Roman"/>
          <w:bCs/>
          <w:sz w:val="28"/>
          <w:szCs w:val="28"/>
          <w:highlight w:val="none"/>
        </w:rPr>
        <w:t>第三方公司信息安全保密承诺书</w:t>
      </w:r>
    </w:p>
    <w:p>
      <w:pPr>
        <w:spacing w:line="360" w:lineRule="auto"/>
        <w:ind w:firstLine="2160" w:firstLineChars="600"/>
        <w:jc w:val="both"/>
        <w:rPr>
          <w:rFonts w:hint="eastAsia" w:ascii="方正小标宋简体" w:hAnsi="方正小标宋简体" w:eastAsia="方正小标宋简体" w:cs="方正小标宋简体"/>
          <w:b w:val="0"/>
          <w:bCs w:val="0"/>
          <w:kern w:val="2"/>
          <w:sz w:val="36"/>
          <w:szCs w:val="36"/>
          <w:lang w:val="zh-CN" w:eastAsia="zh-CN" w:bidi="ar-SA"/>
        </w:rPr>
      </w:pPr>
      <w:r>
        <w:rPr>
          <w:rFonts w:hint="eastAsia" w:ascii="方正小标宋简体" w:hAnsi="方正小标宋简体" w:eastAsia="方正小标宋简体" w:cs="方正小标宋简体"/>
          <w:b w:val="0"/>
          <w:bCs w:val="0"/>
          <w:kern w:val="2"/>
          <w:sz w:val="36"/>
          <w:szCs w:val="36"/>
          <w:lang w:val="zh-CN" w:eastAsia="zh-CN" w:bidi="ar-SA"/>
        </w:rPr>
        <w:t>第三方公司信息安全保密承诺书</w:t>
      </w:r>
    </w:p>
    <w:p>
      <w:pPr>
        <w:spacing w:line="600" w:lineRule="exact"/>
        <w:rPr>
          <w:rFonts w:ascii="Times New Roman" w:hAnsi="Times New Roman" w:eastAsia="楷体_GB2312" w:cs="Times New Roman"/>
          <w:sz w:val="28"/>
          <w:szCs w:val="28"/>
        </w:rPr>
      </w:pPr>
      <w:r>
        <w:rPr>
          <w:rFonts w:ascii="Times New Roman" w:hAnsi="Times New Roman" w:eastAsia="楷体_GB2312" w:cs="Times New Roman"/>
          <w:sz w:val="28"/>
          <w:szCs w:val="28"/>
          <w:u w:val="single"/>
        </w:rPr>
        <w:t>（采购机构名称）</w:t>
      </w:r>
      <w:r>
        <w:rPr>
          <w:rFonts w:ascii="Times New Roman" w:hAnsi="Times New Roman" w:eastAsia="楷体_GB2312" w:cs="Times New Roman"/>
          <w:sz w:val="28"/>
          <w:szCs w:val="28"/>
        </w:rPr>
        <w:t>：</w:t>
      </w:r>
    </w:p>
    <w:p>
      <w:pPr>
        <w:pStyle w:val="17"/>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我方参加贵部组织的编号为</w:t>
      </w:r>
      <w:r>
        <w:rPr>
          <w:rFonts w:hint="eastAsia" w:ascii="宋体" w:hAnsi="宋体" w:cs="宋体"/>
          <w:sz w:val="28"/>
          <w:szCs w:val="28"/>
          <w:lang w:val="en-US" w:eastAsia="zh-CN"/>
        </w:rPr>
        <w:t>_</w:t>
      </w:r>
      <w:r>
        <w:rPr>
          <w:rFonts w:hint="eastAsia" w:ascii="宋体" w:hAnsi="宋体" w:cs="宋体"/>
          <w:sz w:val="28"/>
          <w:szCs w:val="28"/>
          <w:u w:val="single"/>
          <w:lang w:val="en-US" w:eastAsia="zh-CN"/>
        </w:rPr>
        <w:t>（项目编号）</w:t>
      </w:r>
      <w:r>
        <w:rPr>
          <w:rFonts w:hint="eastAsia" w:ascii="宋体" w:hAnsi="宋体" w:cs="宋体"/>
          <w:color w:val="0000FF"/>
          <w:sz w:val="28"/>
          <w:szCs w:val="28"/>
          <w:lang w:val="en-US" w:eastAsia="zh-CN"/>
        </w:rPr>
        <w:t>__、_</w:t>
      </w:r>
      <w:r>
        <w:rPr>
          <w:rFonts w:hint="eastAsia" w:ascii="宋体" w:hAnsi="宋体" w:cs="宋体"/>
          <w:color w:val="0000FF"/>
          <w:sz w:val="28"/>
          <w:szCs w:val="28"/>
          <w:u w:val="single"/>
          <w:lang w:val="en-US" w:eastAsia="zh-CN"/>
        </w:rPr>
        <w:t>（项目名称）_</w:t>
      </w:r>
      <w:r>
        <w:rPr>
          <w:rFonts w:hint="eastAsia" w:ascii="宋体" w:hAnsi="宋体" w:eastAsia="宋体" w:cs="宋体"/>
          <w:sz w:val="28"/>
          <w:szCs w:val="28"/>
        </w:rPr>
        <w:t>项目采购活动，根据有关保密法规制度，知悉应当承担的保密义务和法律责任，承诺如下：</w:t>
      </w:r>
    </w:p>
    <w:p>
      <w:pPr>
        <w:pStyle w:val="17"/>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第一条：保密信息的内容和范围</w:t>
      </w:r>
    </w:p>
    <w:p>
      <w:pPr>
        <w:pStyle w:val="17"/>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 技术信息：从甲方获取的技术信息，包括软件技术、数据、管理文件等；</w:t>
      </w:r>
    </w:p>
    <w:p>
      <w:pPr>
        <w:pStyle w:val="17"/>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 数据信息：本项目不抽取医院信息系统数据或本项目抽取数据后保存于贵院提供的存储介质，我司不私自导出任何数据，若因技术服务原因需导出数据时需事先征得医院审核同意。</w:t>
      </w:r>
    </w:p>
    <w:p>
      <w:pPr>
        <w:pStyle w:val="17"/>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 敏感信息：本项目在建系统如需抽取有关药品、耗材、试剂等统方高危要素信息，需向院方提供数据保存具体表名和字段，院方纳入防统方监控体系。我司项目工程师未经医院审批，不进行药品、耗材、试剂相关的统计操作。</w:t>
      </w:r>
    </w:p>
    <w:p>
      <w:pPr>
        <w:pStyle w:val="17"/>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 依照法律、法规或合同的规定，承担保密义务的其他事项。</w:t>
      </w:r>
    </w:p>
    <w:p>
      <w:pPr>
        <w:pStyle w:val="17"/>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第二条：保密义务</w:t>
      </w:r>
    </w:p>
    <w:p>
      <w:pPr>
        <w:pStyle w:val="17"/>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1.保证从院方获取的数据信息仅用于甲方项目有关的用途和目的。</w:t>
      </w:r>
    </w:p>
    <w:p>
      <w:pPr>
        <w:pStyle w:val="17"/>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2.保证对院方提供的保密信息予以妥善保存，并至少采取适用于对自己的保密信息同样的保护措施和审慎程度进行保密。</w:t>
      </w:r>
    </w:p>
    <w:p>
      <w:pPr>
        <w:pStyle w:val="17"/>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3.不得刺探与本项目无关的院方保密信息。 </w:t>
      </w:r>
    </w:p>
    <w:p>
      <w:pPr>
        <w:pStyle w:val="17"/>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4.不得向任何未经院方授权的第三方提供甲方的保密信息。</w:t>
      </w:r>
    </w:p>
    <w:p>
      <w:pPr>
        <w:pStyle w:val="17"/>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5.不得允许于出借、赠与、出租、转让等方式处理院方保密信息的行为或协助未经院方授权的第三方使用院方的保密信息。</w:t>
      </w:r>
    </w:p>
    <w:p>
      <w:pPr>
        <w:pStyle w:val="17"/>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6.如发现院方相关保密信息被泄露，应当采取有效措施防止泄密进一步扩大，并及时向院方报告。</w:t>
      </w:r>
    </w:p>
    <w:p>
      <w:pPr>
        <w:pStyle w:val="17"/>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第三条：违规责任</w:t>
      </w:r>
    </w:p>
    <w:p>
      <w:pPr>
        <w:pStyle w:val="17"/>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如因公司原因造成甲方相关数据泄露，由我司承担全部责任。违规进行商业统方的，按有关规定追究公司和当事人法律责任。</w:t>
      </w:r>
    </w:p>
    <w:p>
      <w:pPr>
        <w:pStyle w:val="17"/>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eastAsia" w:ascii="宋体" w:hAnsi="宋体" w:eastAsia="宋体" w:cs="宋体"/>
          <w:sz w:val="28"/>
          <w:szCs w:val="28"/>
        </w:rPr>
      </w:pPr>
    </w:p>
    <w:p>
      <w:pPr>
        <w:pStyle w:val="17"/>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w:t>
      </w:r>
      <w:r>
        <w:rPr>
          <w:rFonts w:hint="eastAsia" w:ascii="宋体" w:hAnsi="宋体" w:eastAsia="宋体" w:cs="宋体"/>
          <w:sz w:val="28"/>
          <w:szCs w:val="28"/>
          <w:lang w:val="zh-CN"/>
        </w:rPr>
        <w:t>投标供应商全称：（盖章）</w:t>
      </w:r>
    </w:p>
    <w:p>
      <w:pPr>
        <w:rPr>
          <w:rFonts w:hint="eastAsia" w:ascii="宋体" w:hAnsi="宋体" w:eastAsia="宋体" w:cs="宋体"/>
          <w:sz w:val="28"/>
          <w:szCs w:val="28"/>
          <w:lang w:val="zh-CN"/>
        </w:rPr>
      </w:pPr>
      <w:r>
        <w:rPr>
          <w:rFonts w:hint="eastAsia" w:ascii="宋体" w:hAnsi="宋体" w:eastAsia="宋体" w:cs="宋体"/>
          <w:sz w:val="28"/>
          <w:szCs w:val="28"/>
          <w:lang w:val="zh-CN"/>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zh-CN"/>
        </w:rPr>
        <w:t xml:space="preserve"> 法定代表人（或授权代表）：</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zh-CN"/>
        </w:rPr>
        <w:t>（签字）</w:t>
      </w:r>
    </w:p>
    <w:p>
      <w:pPr>
        <w:jc w:val="right"/>
        <w:rPr>
          <w:rFonts w:hint="default" w:ascii="Times New Roman" w:hAnsi="Times New Roman" w:eastAsia="黑体" w:cs="Times New Roman"/>
          <w:bCs/>
          <w:sz w:val="28"/>
          <w:szCs w:val="28"/>
          <w:highlight w:val="none"/>
        </w:rPr>
      </w:pPr>
      <w:r>
        <w:rPr>
          <w:rFonts w:hint="eastAsia" w:ascii="宋体" w:hAnsi="宋体" w:eastAsia="宋体" w:cs="宋体"/>
          <w:sz w:val="28"/>
          <w:szCs w:val="28"/>
          <w:lang w:val="zh-CN"/>
        </w:rPr>
        <w:t>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zh-CN"/>
        </w:rPr>
        <w:t>月</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zh-CN"/>
        </w:rPr>
        <w:t>日</w:t>
      </w:r>
    </w:p>
    <w:p/>
    <w:p>
      <w:pPr>
        <w:adjustRightInd w:val="0"/>
        <w:snapToGrid w:val="0"/>
        <w:spacing w:line="560" w:lineRule="exact"/>
        <w:rPr>
          <w:rFonts w:ascii="宋体" w:hAnsi="宋体" w:cs="宋体"/>
          <w:bCs/>
          <w:sz w:val="28"/>
          <w:szCs w:val="28"/>
        </w:rPr>
      </w:pPr>
      <w:r>
        <w:rPr>
          <w:rFonts w:hint="eastAsia" w:ascii="宋体" w:hAnsi="宋体" w:cs="宋体"/>
          <w:bCs/>
          <w:sz w:val="28"/>
          <w:szCs w:val="28"/>
        </w:rPr>
        <w:t>合同订立时间：</w:t>
      </w:r>
      <w:r>
        <w:rPr>
          <w:rFonts w:hint="eastAsia" w:ascii="宋体" w:hAnsi="宋体" w:cs="宋体"/>
          <w:bCs/>
          <w:sz w:val="28"/>
          <w:szCs w:val="28"/>
          <w:u w:val="single"/>
        </w:rPr>
        <w:t xml:space="preserve">         </w:t>
      </w:r>
      <w:r>
        <w:rPr>
          <w:rFonts w:hint="eastAsia" w:ascii="宋体" w:hAnsi="宋体" w:cs="宋体"/>
          <w:bCs/>
          <w:sz w:val="28"/>
          <w:szCs w:val="28"/>
        </w:rPr>
        <w:t>年</w:t>
      </w:r>
      <w:r>
        <w:rPr>
          <w:rFonts w:hint="eastAsia" w:ascii="宋体" w:hAnsi="宋体" w:cs="宋体"/>
          <w:bCs/>
          <w:sz w:val="28"/>
          <w:szCs w:val="28"/>
          <w:u w:val="single"/>
        </w:rPr>
        <w:t xml:space="preserve">      </w:t>
      </w:r>
      <w:r>
        <w:rPr>
          <w:rFonts w:hint="eastAsia" w:ascii="宋体" w:hAnsi="宋体" w:cs="宋体"/>
          <w:bCs/>
          <w:sz w:val="28"/>
          <w:szCs w:val="28"/>
        </w:rPr>
        <w:t>月</w:t>
      </w:r>
      <w:r>
        <w:rPr>
          <w:rFonts w:hint="eastAsia" w:ascii="宋体" w:hAnsi="宋体" w:cs="宋体"/>
          <w:bCs/>
          <w:sz w:val="28"/>
          <w:szCs w:val="28"/>
          <w:u w:val="single"/>
        </w:rPr>
        <w:t xml:space="preserve">      </w:t>
      </w:r>
      <w:r>
        <w:rPr>
          <w:rFonts w:hint="eastAsia" w:ascii="宋体" w:hAnsi="宋体" w:cs="宋体"/>
          <w:bCs/>
          <w:sz w:val="28"/>
          <w:szCs w:val="28"/>
        </w:rPr>
        <w:t>日</w:t>
      </w:r>
    </w:p>
    <w:p>
      <w:pPr>
        <w:adjustRightInd w:val="0"/>
        <w:snapToGrid w:val="0"/>
        <w:spacing w:line="560" w:lineRule="exact"/>
        <w:rPr>
          <w:rFonts w:ascii="宋体" w:hAnsi="宋体" w:cs="宋体"/>
          <w:bCs/>
          <w:sz w:val="28"/>
          <w:szCs w:val="28"/>
        </w:rPr>
      </w:pPr>
      <w:r>
        <w:rPr>
          <w:rFonts w:hint="eastAsia" w:ascii="宋体" w:hAnsi="宋体" w:cs="宋体"/>
          <w:bCs/>
          <w:sz w:val="28"/>
          <w:szCs w:val="28"/>
        </w:rPr>
        <w:t>合同订立地点：</w:t>
      </w:r>
      <w:r>
        <w:rPr>
          <w:rFonts w:hint="eastAsia" w:ascii="宋体" w:hAnsi="宋体" w:cs="宋体"/>
          <w:bCs/>
          <w:sz w:val="28"/>
          <w:szCs w:val="28"/>
          <w:u w:val="single"/>
        </w:rPr>
        <w:t xml:space="preserve">                           </w:t>
      </w:r>
    </w:p>
    <w:p>
      <w:pPr>
        <w:adjustRightInd w:val="0"/>
        <w:snapToGrid w:val="0"/>
        <w:spacing w:line="560" w:lineRule="exact"/>
        <w:ind w:firstLine="560" w:firstLineChars="200"/>
        <w:rPr>
          <w:rFonts w:ascii="宋体" w:hAnsi="宋体" w:cs="宋体"/>
          <w:bCs/>
          <w:sz w:val="28"/>
          <w:szCs w:val="28"/>
        </w:rPr>
      </w:pPr>
      <w:r>
        <w:rPr>
          <w:rFonts w:hint="eastAsia" w:ascii="宋体" w:hAnsi="宋体" w:cs="宋体"/>
          <w:bCs/>
          <w:sz w:val="28"/>
          <w:szCs w:val="28"/>
        </w:rPr>
        <w:t xml:space="preserve">  </w:t>
      </w:r>
    </w:p>
    <w:p>
      <w:pPr>
        <w:adjustRightInd w:val="0"/>
        <w:snapToGrid w:val="0"/>
        <w:spacing w:line="560" w:lineRule="exact"/>
        <w:rPr>
          <w:rFonts w:ascii="宋体" w:hAnsi="宋体" w:cs="宋体"/>
          <w:bCs/>
          <w:sz w:val="28"/>
          <w:szCs w:val="28"/>
        </w:rPr>
      </w:pPr>
      <w:r>
        <w:rPr>
          <w:rFonts w:hint="eastAsia" w:ascii="宋体" w:hAnsi="宋体" w:cs="宋体"/>
          <w:bCs/>
          <w:sz w:val="28"/>
          <w:szCs w:val="28"/>
        </w:rPr>
        <w:t>甲      方：（公章）                 乙      方：（公章）</w:t>
      </w:r>
    </w:p>
    <w:p>
      <w:pPr>
        <w:adjustRightInd w:val="0"/>
        <w:snapToGrid w:val="0"/>
        <w:spacing w:line="560" w:lineRule="exact"/>
        <w:rPr>
          <w:rFonts w:ascii="宋体" w:hAnsi="宋体" w:cs="宋体"/>
          <w:bCs/>
          <w:sz w:val="28"/>
          <w:szCs w:val="28"/>
        </w:rPr>
      </w:pPr>
      <w:r>
        <w:rPr>
          <w:rFonts w:hint="eastAsia" w:ascii="宋体" w:hAnsi="宋体" w:cs="宋体"/>
          <w:bCs/>
          <w:sz w:val="28"/>
          <w:szCs w:val="28"/>
        </w:rPr>
        <w:t>法定代表人：</w:t>
      </w:r>
      <w:r>
        <w:rPr>
          <w:rFonts w:hint="eastAsia" w:ascii="宋体" w:hAnsi="宋体" w:cs="宋体"/>
          <w:bCs/>
          <w:sz w:val="28"/>
          <w:szCs w:val="28"/>
          <w:u w:val="single"/>
        </w:rPr>
        <w:t xml:space="preserve">                  </w:t>
      </w:r>
      <w:r>
        <w:rPr>
          <w:rFonts w:hint="eastAsia" w:ascii="宋体" w:hAnsi="宋体" w:cs="宋体"/>
          <w:bCs/>
          <w:sz w:val="28"/>
          <w:szCs w:val="28"/>
        </w:rPr>
        <w:t xml:space="preserve">       法定代表人：</w:t>
      </w:r>
      <w:r>
        <w:rPr>
          <w:rFonts w:hint="eastAsia" w:ascii="宋体" w:hAnsi="宋体" w:cs="宋体"/>
          <w:bCs/>
          <w:sz w:val="28"/>
          <w:szCs w:val="28"/>
          <w:u w:val="single"/>
        </w:rPr>
        <w:t xml:space="preserve">              </w:t>
      </w:r>
    </w:p>
    <w:p>
      <w:pPr>
        <w:adjustRightInd w:val="0"/>
        <w:snapToGrid w:val="0"/>
        <w:spacing w:line="560" w:lineRule="exact"/>
        <w:rPr>
          <w:rFonts w:ascii="宋体" w:hAnsi="宋体" w:cs="宋体"/>
          <w:bCs/>
          <w:sz w:val="28"/>
          <w:szCs w:val="28"/>
        </w:rPr>
      </w:pPr>
      <w:r>
        <w:rPr>
          <w:rFonts w:hint="eastAsia" w:ascii="宋体" w:hAnsi="宋体" w:cs="宋体"/>
          <w:bCs/>
          <w:sz w:val="28"/>
          <w:szCs w:val="28"/>
        </w:rPr>
        <w:t>委托代理人：</w:t>
      </w:r>
      <w:r>
        <w:rPr>
          <w:rFonts w:hint="eastAsia" w:ascii="宋体" w:hAnsi="宋体" w:cs="宋体"/>
          <w:bCs/>
          <w:sz w:val="28"/>
          <w:szCs w:val="28"/>
          <w:u w:val="single"/>
        </w:rPr>
        <w:t xml:space="preserve">                  </w:t>
      </w:r>
      <w:r>
        <w:rPr>
          <w:rFonts w:hint="eastAsia" w:ascii="宋体" w:hAnsi="宋体" w:cs="宋体"/>
          <w:bCs/>
          <w:sz w:val="28"/>
          <w:szCs w:val="28"/>
        </w:rPr>
        <w:t xml:space="preserve">       委托代理人：</w:t>
      </w:r>
      <w:r>
        <w:rPr>
          <w:rFonts w:hint="eastAsia" w:ascii="宋体" w:hAnsi="宋体" w:cs="宋体"/>
          <w:bCs/>
          <w:sz w:val="28"/>
          <w:szCs w:val="28"/>
          <w:u w:val="single"/>
        </w:rPr>
        <w:t xml:space="preserve">              </w:t>
      </w:r>
    </w:p>
    <w:p>
      <w:pPr>
        <w:adjustRightInd w:val="0"/>
        <w:snapToGrid w:val="0"/>
        <w:spacing w:line="560" w:lineRule="exact"/>
        <w:rPr>
          <w:rFonts w:ascii="宋体" w:hAnsi="宋体" w:cs="宋体"/>
          <w:bCs/>
          <w:sz w:val="28"/>
          <w:szCs w:val="28"/>
        </w:rPr>
      </w:pPr>
      <w:r>
        <w:rPr>
          <w:rFonts w:hint="eastAsia" w:ascii="宋体" w:hAnsi="宋体" w:cs="宋体"/>
          <w:bCs/>
          <w:sz w:val="28"/>
          <w:szCs w:val="28"/>
        </w:rPr>
        <w:t>电      话：</w:t>
      </w:r>
      <w:r>
        <w:rPr>
          <w:rFonts w:hint="eastAsia" w:ascii="宋体" w:hAnsi="宋体" w:cs="宋体"/>
          <w:bCs/>
          <w:sz w:val="28"/>
          <w:szCs w:val="28"/>
          <w:u w:val="single"/>
        </w:rPr>
        <w:t xml:space="preserve">                  </w:t>
      </w:r>
      <w:r>
        <w:rPr>
          <w:rFonts w:hint="eastAsia" w:ascii="宋体" w:hAnsi="宋体" w:cs="宋体"/>
          <w:bCs/>
          <w:sz w:val="28"/>
          <w:szCs w:val="28"/>
        </w:rPr>
        <w:t xml:space="preserve">       电      话：</w:t>
      </w:r>
      <w:r>
        <w:rPr>
          <w:rFonts w:hint="eastAsia" w:ascii="宋体" w:hAnsi="宋体" w:cs="宋体"/>
          <w:bCs/>
          <w:sz w:val="28"/>
          <w:szCs w:val="28"/>
          <w:u w:val="single"/>
        </w:rPr>
        <w:t xml:space="preserve">              </w:t>
      </w:r>
    </w:p>
    <w:p>
      <w:pPr>
        <w:adjustRightInd w:val="0"/>
        <w:snapToGrid w:val="0"/>
        <w:spacing w:line="560" w:lineRule="exact"/>
        <w:rPr>
          <w:rFonts w:ascii="宋体" w:hAnsi="宋体" w:cs="宋体"/>
          <w:bCs/>
          <w:sz w:val="28"/>
          <w:szCs w:val="28"/>
        </w:rPr>
      </w:pPr>
      <w:r>
        <w:rPr>
          <w:rFonts w:hint="eastAsia" w:ascii="宋体" w:hAnsi="宋体" w:cs="宋体"/>
          <w:bCs/>
          <w:sz w:val="28"/>
          <w:szCs w:val="28"/>
        </w:rPr>
        <w:t>传      真：</w:t>
      </w:r>
      <w:r>
        <w:rPr>
          <w:rFonts w:hint="eastAsia" w:ascii="宋体" w:hAnsi="宋体" w:cs="宋体"/>
          <w:bCs/>
          <w:sz w:val="28"/>
          <w:szCs w:val="28"/>
          <w:u w:val="single"/>
        </w:rPr>
        <w:t xml:space="preserve">                  </w:t>
      </w:r>
      <w:r>
        <w:rPr>
          <w:rFonts w:hint="eastAsia" w:ascii="宋体" w:hAnsi="宋体" w:cs="宋体"/>
          <w:bCs/>
          <w:sz w:val="28"/>
          <w:szCs w:val="28"/>
        </w:rPr>
        <w:t xml:space="preserve">       传      真：</w:t>
      </w:r>
      <w:r>
        <w:rPr>
          <w:rFonts w:hint="eastAsia" w:ascii="宋体" w:hAnsi="宋体" w:cs="宋体"/>
          <w:bCs/>
          <w:sz w:val="28"/>
          <w:szCs w:val="28"/>
          <w:u w:val="single"/>
        </w:rPr>
        <w:t xml:space="preserve">              </w:t>
      </w:r>
    </w:p>
    <w:p>
      <w:pPr>
        <w:adjustRightInd w:val="0"/>
        <w:snapToGrid w:val="0"/>
        <w:spacing w:line="560" w:lineRule="exact"/>
        <w:rPr>
          <w:rFonts w:ascii="宋体" w:hAnsi="宋体" w:cs="宋体"/>
          <w:bCs/>
          <w:sz w:val="28"/>
          <w:szCs w:val="28"/>
        </w:rPr>
      </w:pPr>
      <w:r>
        <w:rPr>
          <w:rFonts w:hint="eastAsia" w:ascii="宋体" w:hAnsi="宋体" w:cs="宋体"/>
          <w:bCs/>
          <w:sz w:val="28"/>
          <w:szCs w:val="28"/>
        </w:rPr>
        <w:t>账户名称：</w:t>
      </w:r>
      <w:r>
        <w:rPr>
          <w:rFonts w:hint="eastAsia" w:ascii="宋体" w:hAnsi="宋体" w:cs="宋体"/>
          <w:bCs/>
          <w:sz w:val="28"/>
          <w:szCs w:val="28"/>
          <w:u w:val="single"/>
        </w:rPr>
        <w:t xml:space="preserve">                    </w:t>
      </w:r>
      <w:r>
        <w:rPr>
          <w:rFonts w:hint="eastAsia" w:ascii="宋体" w:hAnsi="宋体" w:cs="宋体"/>
          <w:bCs/>
          <w:sz w:val="28"/>
          <w:szCs w:val="28"/>
        </w:rPr>
        <w:t xml:space="preserve">       账户名称：</w:t>
      </w:r>
      <w:r>
        <w:rPr>
          <w:rFonts w:hint="eastAsia" w:ascii="宋体" w:hAnsi="宋体" w:cs="宋体"/>
          <w:bCs/>
          <w:sz w:val="28"/>
          <w:szCs w:val="28"/>
          <w:u w:val="single"/>
        </w:rPr>
        <w:t xml:space="preserve">                </w:t>
      </w:r>
    </w:p>
    <w:p>
      <w:pPr>
        <w:adjustRightInd w:val="0"/>
        <w:snapToGrid w:val="0"/>
        <w:spacing w:line="560" w:lineRule="exact"/>
        <w:rPr>
          <w:rFonts w:ascii="宋体" w:hAnsi="宋体" w:cs="宋体"/>
          <w:bCs/>
          <w:sz w:val="28"/>
          <w:szCs w:val="28"/>
        </w:rPr>
      </w:pPr>
      <w:r>
        <w:rPr>
          <w:rFonts w:hint="eastAsia" w:ascii="宋体" w:hAnsi="宋体" w:cs="宋体"/>
          <w:bCs/>
          <w:sz w:val="28"/>
          <w:szCs w:val="28"/>
        </w:rPr>
        <w:t>开 户 银 行：</w:t>
      </w:r>
      <w:r>
        <w:rPr>
          <w:rFonts w:hint="eastAsia" w:ascii="宋体" w:hAnsi="宋体" w:cs="宋体"/>
          <w:bCs/>
          <w:sz w:val="28"/>
          <w:szCs w:val="28"/>
          <w:u w:val="single"/>
        </w:rPr>
        <w:t xml:space="preserve">                 </w:t>
      </w:r>
      <w:r>
        <w:rPr>
          <w:rFonts w:hint="eastAsia" w:ascii="宋体" w:hAnsi="宋体" w:cs="宋体"/>
          <w:bCs/>
          <w:sz w:val="28"/>
          <w:szCs w:val="28"/>
        </w:rPr>
        <w:t xml:space="preserve">       开 户 银 行：</w:t>
      </w:r>
      <w:r>
        <w:rPr>
          <w:rFonts w:hint="eastAsia" w:ascii="宋体" w:hAnsi="宋体" w:cs="宋体"/>
          <w:bCs/>
          <w:sz w:val="28"/>
          <w:szCs w:val="28"/>
          <w:u w:val="single"/>
        </w:rPr>
        <w:t xml:space="preserve">             </w:t>
      </w:r>
    </w:p>
    <w:p>
      <w:pPr>
        <w:adjustRightInd w:val="0"/>
        <w:snapToGrid w:val="0"/>
        <w:spacing w:line="560" w:lineRule="exact"/>
        <w:rPr>
          <w:rFonts w:ascii="宋体" w:hAnsi="宋体" w:cs="宋体"/>
          <w:bCs/>
          <w:sz w:val="28"/>
          <w:szCs w:val="28"/>
        </w:rPr>
      </w:pPr>
      <w:r>
        <w:rPr>
          <w:rFonts w:hint="eastAsia" w:ascii="宋体" w:hAnsi="宋体" w:cs="宋体"/>
          <w:bCs/>
          <w:sz w:val="28"/>
          <w:szCs w:val="28"/>
        </w:rPr>
        <w:t>帐  号：</w:t>
      </w:r>
      <w:r>
        <w:rPr>
          <w:rFonts w:hint="eastAsia" w:ascii="宋体" w:hAnsi="宋体" w:cs="宋体"/>
          <w:bCs/>
          <w:sz w:val="28"/>
          <w:szCs w:val="28"/>
          <w:u w:val="single"/>
        </w:rPr>
        <w:t xml:space="preserve">                      </w:t>
      </w:r>
      <w:r>
        <w:rPr>
          <w:rFonts w:hint="eastAsia" w:ascii="宋体" w:hAnsi="宋体" w:cs="宋体"/>
          <w:bCs/>
          <w:sz w:val="28"/>
          <w:szCs w:val="28"/>
        </w:rPr>
        <w:t xml:space="preserve">       帐  号：</w:t>
      </w:r>
      <w:r>
        <w:rPr>
          <w:rFonts w:hint="eastAsia" w:ascii="宋体" w:hAnsi="宋体" w:cs="宋体"/>
          <w:bCs/>
          <w:sz w:val="28"/>
          <w:szCs w:val="28"/>
          <w:u w:val="single"/>
        </w:rPr>
        <w:t xml:space="preserve">                  </w:t>
      </w:r>
    </w:p>
    <w:p>
      <w:pPr>
        <w:widowControl/>
        <w:adjustRightInd w:val="0"/>
        <w:snapToGrid w:val="0"/>
        <w:spacing w:line="560" w:lineRule="exact"/>
        <w:jc w:val="left"/>
        <w:rPr>
          <w:rFonts w:hint="eastAsia"/>
          <w:lang w:val="en-US" w:eastAsia="zh-CN"/>
        </w:rPr>
      </w:pPr>
      <w:bookmarkStart w:id="460" w:name="_Toc112317779"/>
      <w:bookmarkStart w:id="461" w:name="_Hlk112258830"/>
    </w:p>
    <w:p>
      <w:pPr>
        <w:pStyle w:val="29"/>
        <w:rPr>
          <w:rFonts w:hint="eastAsia"/>
          <w:lang w:val="en-US" w:eastAsia="zh-CN"/>
        </w:rPr>
        <w:sectPr>
          <w:headerReference r:id="rId12" w:type="default"/>
          <w:pgSz w:w="11906" w:h="16838"/>
          <w:pgMar w:top="1417" w:right="1134" w:bottom="1417" w:left="1417" w:header="851" w:footer="992" w:gutter="0"/>
          <w:cols w:space="720" w:num="1"/>
          <w:docGrid w:type="lines" w:linePitch="312" w:charSpace="0"/>
        </w:sectPr>
      </w:pPr>
    </w:p>
    <w:p>
      <w:pPr>
        <w:pStyle w:val="3"/>
        <w:jc w:val="center"/>
        <w:rPr>
          <w:b w:val="0"/>
          <w:sz w:val="36"/>
          <w:szCs w:val="36"/>
        </w:rPr>
      </w:pPr>
      <w:bookmarkStart w:id="462" w:name="_Toc30632"/>
      <w:bookmarkStart w:id="463" w:name="_Toc3440"/>
      <w:bookmarkStart w:id="464" w:name="_Toc29819"/>
      <w:r>
        <w:rPr>
          <w:rFonts w:hint="eastAsia"/>
          <w:b w:val="0"/>
          <w:sz w:val="36"/>
          <w:szCs w:val="36"/>
        </w:rPr>
        <w:t>第七章</w:t>
      </w:r>
      <w:r>
        <w:rPr>
          <w:b w:val="0"/>
          <w:sz w:val="36"/>
          <w:szCs w:val="36"/>
        </w:rPr>
        <w:t xml:space="preserve"> </w:t>
      </w:r>
      <w:bookmarkStart w:id="465" w:name="_Hlk112353494"/>
      <w:r>
        <w:rPr>
          <w:rFonts w:hint="eastAsia"/>
          <w:b w:val="0"/>
          <w:sz w:val="36"/>
          <w:szCs w:val="36"/>
          <w:lang w:val="zh-CN"/>
        </w:rPr>
        <w:t>投标供应商须知</w:t>
      </w:r>
      <w:r>
        <w:rPr>
          <w:rFonts w:hint="eastAsia"/>
          <w:b w:val="0"/>
          <w:sz w:val="36"/>
          <w:szCs w:val="36"/>
        </w:rPr>
        <w:t>前附表</w:t>
      </w:r>
      <w:bookmarkEnd w:id="460"/>
      <w:bookmarkEnd w:id="462"/>
      <w:bookmarkEnd w:id="463"/>
      <w:bookmarkEnd w:id="464"/>
      <w:bookmarkEnd w:id="465"/>
      <w:bookmarkStart w:id="466" w:name="_Toc13822"/>
      <w:bookmarkStart w:id="467" w:name="_Toc4160"/>
    </w:p>
    <w:bookmarkEnd w:id="461"/>
    <w:p>
      <w:pPr>
        <w:keepNext/>
        <w:keepLines/>
        <w:adjustRightInd w:val="0"/>
        <w:snapToGrid w:val="0"/>
        <w:spacing w:before="120" w:beforeLines="50" w:after="120" w:afterLines="50" w:line="560" w:lineRule="exact"/>
        <w:ind w:firstLine="560" w:firstLineChars="200"/>
        <w:jc w:val="left"/>
        <w:textAlignment w:val="baseline"/>
        <w:rPr>
          <w:bCs/>
        </w:rPr>
      </w:pPr>
      <w:bookmarkStart w:id="468" w:name="_Toc83738975"/>
      <w:bookmarkStart w:id="469" w:name="_Toc32673"/>
      <w:r>
        <w:rPr>
          <w:rFonts w:hint="eastAsia" w:ascii="宋体" w:hAnsi="宋体" w:cs="宋体"/>
          <w:bCs/>
          <w:sz w:val="28"/>
          <w:szCs w:val="28"/>
        </w:rPr>
        <w:t>本表是对第一章“投标供应商须知”内容的集中说明，需重点关注。</w:t>
      </w:r>
      <w:bookmarkEnd w:id="466"/>
      <w:bookmarkEnd w:id="467"/>
      <w:r>
        <w:rPr>
          <w:rFonts w:hint="eastAsia" w:ascii="宋体" w:hAnsi="宋体" w:cs="宋体"/>
          <w:bCs/>
          <w:sz w:val="28"/>
          <w:szCs w:val="28"/>
        </w:rPr>
        <w:t>如与第一章“投标供应商须知”存在不一致的地方，以本表为准。</w:t>
      </w:r>
      <w:bookmarkEnd w:id="468"/>
      <w:bookmarkEnd w:id="469"/>
    </w:p>
    <w:tbl>
      <w:tblPr>
        <w:tblStyle w:val="42"/>
        <w:tblW w:w="955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21"/>
        <w:gridCol w:w="3661"/>
        <w:gridCol w:w="927"/>
        <w:gridCol w:w="30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blHeader/>
        </w:trPr>
        <w:tc>
          <w:tcPr>
            <w:tcW w:w="1921" w:type="dxa"/>
            <w:vAlign w:val="center"/>
          </w:tcPr>
          <w:p>
            <w:pPr>
              <w:adjustRightInd w:val="0"/>
              <w:snapToGrid w:val="0"/>
              <w:spacing w:before="120" w:beforeLines="50"/>
              <w:jc w:val="center"/>
              <w:rPr>
                <w:rFonts w:ascii="宋体" w:hAnsi="宋体" w:cs="宋体"/>
                <w:bCs/>
                <w:szCs w:val="21"/>
              </w:rPr>
            </w:pPr>
            <w:r>
              <w:rPr>
                <w:rFonts w:hint="eastAsia" w:ascii="宋体" w:hAnsi="宋体" w:cs="宋体"/>
                <w:bCs/>
                <w:szCs w:val="21"/>
              </w:rPr>
              <w:t>条款号</w:t>
            </w:r>
          </w:p>
        </w:tc>
        <w:tc>
          <w:tcPr>
            <w:tcW w:w="3661" w:type="dxa"/>
            <w:vAlign w:val="center"/>
          </w:tcPr>
          <w:p>
            <w:pPr>
              <w:adjustRightInd w:val="0"/>
              <w:snapToGrid w:val="0"/>
              <w:spacing w:before="120" w:beforeLines="50"/>
              <w:jc w:val="center"/>
              <w:rPr>
                <w:rFonts w:ascii="宋体" w:hAnsi="宋体" w:cs="宋体"/>
                <w:bCs/>
                <w:szCs w:val="21"/>
              </w:rPr>
            </w:pPr>
            <w:r>
              <w:rPr>
                <w:rFonts w:hint="eastAsia" w:ascii="宋体" w:hAnsi="宋体" w:cs="宋体"/>
                <w:bCs/>
                <w:szCs w:val="21"/>
              </w:rPr>
              <w:t>条款名称</w:t>
            </w:r>
          </w:p>
        </w:tc>
        <w:tc>
          <w:tcPr>
            <w:tcW w:w="3977" w:type="dxa"/>
            <w:gridSpan w:val="2"/>
            <w:vAlign w:val="center"/>
          </w:tcPr>
          <w:p>
            <w:pPr>
              <w:adjustRightInd w:val="0"/>
              <w:snapToGrid w:val="0"/>
              <w:spacing w:before="120" w:beforeLines="50"/>
              <w:jc w:val="center"/>
              <w:rPr>
                <w:rFonts w:ascii="宋体" w:hAnsi="宋体" w:cs="宋体"/>
                <w:bCs/>
                <w:szCs w:val="21"/>
              </w:rPr>
            </w:pPr>
            <w:r>
              <w:rPr>
                <w:rFonts w:hint="eastAsia" w:ascii="宋体" w:hAnsi="宋体" w:cs="宋体"/>
                <w:bCs/>
                <w:szCs w:val="21"/>
              </w:rPr>
              <w:t>编列内容规定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9559" w:type="dxa"/>
            <w:gridSpan w:val="4"/>
            <w:vAlign w:val="center"/>
          </w:tcPr>
          <w:p>
            <w:pPr>
              <w:adjustRightInd w:val="0"/>
              <w:snapToGrid w:val="0"/>
              <w:spacing w:before="120" w:beforeLines="50"/>
              <w:rPr>
                <w:rFonts w:ascii="宋体" w:hAnsi="宋体" w:cs="宋体"/>
                <w:bCs/>
                <w:szCs w:val="21"/>
              </w:rPr>
            </w:pPr>
            <w:r>
              <w:rPr>
                <w:rFonts w:hint="eastAsia" w:ascii="宋体" w:hAnsi="宋体" w:cs="宋体"/>
                <w:b/>
                <w:sz w:val="24"/>
              </w:rPr>
              <w:t>一、说明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jc w:val="left"/>
              <w:rPr>
                <w:rFonts w:ascii="宋体" w:hAnsi="宋体" w:cs="宋体"/>
                <w:bCs/>
                <w:szCs w:val="21"/>
              </w:rPr>
            </w:pPr>
            <w:r>
              <w:rPr>
                <w:rFonts w:hint="eastAsia" w:ascii="宋体" w:hAnsi="宋体" w:cs="宋体"/>
                <w:bCs/>
                <w:szCs w:val="21"/>
              </w:rPr>
              <w:t>第1.1款</w:t>
            </w:r>
          </w:p>
        </w:tc>
        <w:tc>
          <w:tcPr>
            <w:tcW w:w="3661" w:type="dxa"/>
            <w:vAlign w:val="center"/>
          </w:tcPr>
          <w:p>
            <w:pPr>
              <w:adjustRightInd w:val="0"/>
              <w:snapToGrid w:val="0"/>
              <w:spacing w:before="120" w:beforeLines="50"/>
              <w:jc w:val="left"/>
              <w:rPr>
                <w:rFonts w:ascii="宋体" w:hAnsi="宋体" w:cs="宋体"/>
                <w:bCs/>
                <w:szCs w:val="21"/>
              </w:rPr>
            </w:pPr>
            <w:r>
              <w:rPr>
                <w:rFonts w:hint="eastAsia" w:ascii="宋体" w:hAnsi="宋体" w:cs="宋体"/>
                <w:bCs/>
                <w:szCs w:val="21"/>
              </w:rPr>
              <w:t>采购项目</w:t>
            </w:r>
          </w:p>
        </w:tc>
        <w:tc>
          <w:tcPr>
            <w:tcW w:w="3977" w:type="dxa"/>
            <w:gridSpan w:val="2"/>
            <w:vAlign w:val="center"/>
          </w:tcPr>
          <w:p>
            <w:pPr>
              <w:adjustRightInd w:val="0"/>
              <w:snapToGrid w:val="0"/>
              <w:spacing w:before="120" w:beforeLines="50"/>
              <w:jc w:val="left"/>
              <w:rPr>
                <w:rFonts w:ascii="宋体" w:hAnsi="宋体" w:cs="宋体"/>
                <w:bCs/>
                <w:szCs w:val="21"/>
              </w:rPr>
            </w:pPr>
            <w:r>
              <w:rPr>
                <w:rFonts w:hint="eastAsia" w:ascii="宋体" w:hAnsi="宋体" w:cs="宋体"/>
                <w:bCs/>
                <w:szCs w:val="21"/>
              </w:rPr>
              <w:t>详见第四章“招标公告”第一条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jc w:val="left"/>
              <w:rPr>
                <w:rFonts w:ascii="宋体" w:hAnsi="宋体" w:cs="宋体"/>
                <w:bCs/>
                <w:szCs w:val="21"/>
              </w:rPr>
            </w:pPr>
            <w:r>
              <w:rPr>
                <w:rFonts w:hint="eastAsia" w:ascii="宋体" w:hAnsi="宋体" w:cs="宋体"/>
                <w:bCs/>
                <w:szCs w:val="21"/>
              </w:rPr>
              <w:t>第3.2款</w:t>
            </w:r>
          </w:p>
        </w:tc>
        <w:tc>
          <w:tcPr>
            <w:tcW w:w="3661" w:type="dxa"/>
            <w:vAlign w:val="center"/>
          </w:tcPr>
          <w:p>
            <w:pPr>
              <w:adjustRightInd w:val="0"/>
              <w:snapToGrid w:val="0"/>
              <w:spacing w:before="120" w:beforeLines="50"/>
              <w:jc w:val="left"/>
              <w:rPr>
                <w:rFonts w:ascii="宋体" w:hAnsi="宋体" w:cs="宋体"/>
                <w:bCs/>
                <w:szCs w:val="21"/>
              </w:rPr>
            </w:pPr>
            <w:r>
              <w:rPr>
                <w:rFonts w:hint="eastAsia" w:ascii="宋体" w:hAnsi="宋体" w:cs="宋体"/>
                <w:bCs/>
                <w:szCs w:val="21"/>
              </w:rPr>
              <w:t>投标供应商资格条件</w:t>
            </w:r>
          </w:p>
        </w:tc>
        <w:tc>
          <w:tcPr>
            <w:tcW w:w="3977" w:type="dxa"/>
            <w:gridSpan w:val="2"/>
            <w:vAlign w:val="center"/>
          </w:tcPr>
          <w:p>
            <w:pPr>
              <w:adjustRightInd w:val="0"/>
              <w:snapToGrid w:val="0"/>
              <w:spacing w:before="120" w:beforeLines="50"/>
              <w:jc w:val="left"/>
              <w:rPr>
                <w:rFonts w:ascii="宋体" w:hAnsi="宋体" w:cs="宋体"/>
                <w:bCs/>
                <w:szCs w:val="21"/>
              </w:rPr>
            </w:pPr>
            <w:r>
              <w:rPr>
                <w:rFonts w:hint="eastAsia" w:ascii="宋体" w:hAnsi="宋体" w:cs="宋体"/>
                <w:bCs/>
                <w:szCs w:val="21"/>
              </w:rPr>
              <w:t>详见第四章“招标公告”第四条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jc w:val="left"/>
              <w:rPr>
                <w:rFonts w:ascii="宋体" w:hAnsi="宋体" w:cs="宋体"/>
                <w:bCs/>
                <w:szCs w:val="21"/>
              </w:rPr>
            </w:pPr>
            <w:r>
              <w:rPr>
                <w:rFonts w:hint="eastAsia" w:ascii="宋体" w:hAnsi="宋体" w:cs="宋体"/>
                <w:bCs/>
                <w:szCs w:val="21"/>
              </w:rPr>
              <w:t>第7.1款</w:t>
            </w:r>
          </w:p>
        </w:tc>
        <w:tc>
          <w:tcPr>
            <w:tcW w:w="3661" w:type="dxa"/>
            <w:vAlign w:val="center"/>
          </w:tcPr>
          <w:p>
            <w:pPr>
              <w:adjustRightInd w:val="0"/>
              <w:snapToGrid w:val="0"/>
              <w:spacing w:before="120" w:beforeLines="50"/>
              <w:jc w:val="left"/>
              <w:rPr>
                <w:rFonts w:ascii="宋体" w:hAnsi="宋体" w:cs="宋体"/>
                <w:bCs/>
                <w:szCs w:val="21"/>
              </w:rPr>
            </w:pPr>
            <w:r>
              <w:rPr>
                <w:rFonts w:hint="eastAsia" w:ascii="宋体" w:hAnsi="宋体" w:cs="宋体"/>
                <w:bCs/>
                <w:szCs w:val="21"/>
              </w:rPr>
              <w:t>招标文件申领时间</w:t>
            </w:r>
          </w:p>
        </w:tc>
        <w:tc>
          <w:tcPr>
            <w:tcW w:w="3977" w:type="dxa"/>
            <w:gridSpan w:val="2"/>
            <w:vAlign w:val="center"/>
          </w:tcPr>
          <w:p>
            <w:pPr>
              <w:adjustRightInd w:val="0"/>
              <w:snapToGrid w:val="0"/>
              <w:spacing w:before="120" w:beforeLines="50"/>
              <w:jc w:val="left"/>
              <w:rPr>
                <w:rFonts w:ascii="宋体" w:hAnsi="宋体" w:cs="宋体"/>
                <w:bCs/>
                <w:szCs w:val="21"/>
              </w:rPr>
            </w:pPr>
            <w:r>
              <w:rPr>
                <w:rFonts w:hint="eastAsia" w:ascii="宋体" w:hAnsi="宋体" w:cs="宋体"/>
                <w:bCs/>
                <w:szCs w:val="21"/>
              </w:rPr>
              <w:t>详见第四章“招标公告”第五条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jc w:val="left"/>
              <w:rPr>
                <w:rFonts w:ascii="宋体" w:hAnsi="宋体" w:cs="宋体"/>
                <w:bCs/>
                <w:szCs w:val="21"/>
              </w:rPr>
            </w:pPr>
            <w:r>
              <w:rPr>
                <w:rFonts w:hint="eastAsia" w:ascii="宋体" w:hAnsi="宋体" w:cs="宋体"/>
                <w:bCs/>
                <w:szCs w:val="21"/>
              </w:rPr>
              <w:t>第7.2款</w:t>
            </w:r>
          </w:p>
        </w:tc>
        <w:tc>
          <w:tcPr>
            <w:tcW w:w="3661" w:type="dxa"/>
            <w:vAlign w:val="center"/>
          </w:tcPr>
          <w:p>
            <w:pPr>
              <w:adjustRightInd w:val="0"/>
              <w:snapToGrid w:val="0"/>
              <w:spacing w:before="120" w:beforeLines="50"/>
              <w:jc w:val="left"/>
              <w:rPr>
                <w:rFonts w:ascii="宋体" w:hAnsi="宋体" w:cs="宋体"/>
                <w:bCs/>
                <w:szCs w:val="21"/>
              </w:rPr>
            </w:pPr>
            <w:r>
              <w:rPr>
                <w:rFonts w:hint="eastAsia" w:ascii="宋体" w:hAnsi="宋体" w:cs="宋体"/>
                <w:bCs/>
                <w:szCs w:val="21"/>
              </w:rPr>
              <w:t>组织现场踏勘或者召开答疑会</w:t>
            </w:r>
          </w:p>
        </w:tc>
        <w:tc>
          <w:tcPr>
            <w:tcW w:w="3977" w:type="dxa"/>
            <w:gridSpan w:val="2"/>
            <w:vAlign w:val="center"/>
          </w:tcPr>
          <w:p>
            <w:pPr>
              <w:overflowPunct w:val="0"/>
              <w:adjustRightInd w:val="0"/>
              <w:snapToGrid w:val="0"/>
              <w:spacing w:before="120" w:beforeLines="50"/>
              <w:jc w:val="left"/>
              <w:rPr>
                <w:rFonts w:ascii="宋体" w:hAnsi="宋体" w:cs="宋体"/>
                <w:bCs/>
                <w:szCs w:val="21"/>
                <w:u w:val="single"/>
              </w:rPr>
            </w:pPr>
            <w:r>
              <w:rPr>
                <w:rFonts w:hint="eastAsia" w:ascii="宋体" w:hAnsi="宋体" w:cs="宋体"/>
                <w:bCs/>
                <w:szCs w:val="21"/>
              </w:rPr>
              <w:t>时间：</w:t>
            </w:r>
          </w:p>
          <w:p>
            <w:pPr>
              <w:overflowPunct w:val="0"/>
              <w:adjustRightInd w:val="0"/>
              <w:snapToGrid w:val="0"/>
              <w:spacing w:before="120" w:beforeLines="50"/>
              <w:jc w:val="left"/>
              <w:rPr>
                <w:rFonts w:ascii="宋体" w:hAnsi="宋体" w:cs="宋体"/>
                <w:bCs/>
                <w:szCs w:val="21"/>
              </w:rPr>
            </w:pPr>
            <w:r>
              <w:rPr>
                <w:rFonts w:hint="eastAsia" w:ascii="宋体" w:hAnsi="宋体" w:cs="宋体"/>
                <w:bCs/>
                <w:szCs w:val="21"/>
              </w:rPr>
              <w:t>地点:</w:t>
            </w:r>
          </w:p>
          <w:p>
            <w:pPr>
              <w:overflowPunct w:val="0"/>
              <w:adjustRightInd w:val="0"/>
              <w:snapToGrid w:val="0"/>
              <w:spacing w:before="120" w:beforeLines="50"/>
              <w:jc w:val="left"/>
              <w:rPr>
                <w:rFonts w:ascii="宋体" w:hAnsi="宋体" w:cs="宋体"/>
                <w:bCs/>
                <w:szCs w:val="21"/>
                <w:u w:val="single"/>
              </w:rPr>
            </w:pPr>
            <w:r>
              <w:rPr>
                <w:rFonts w:hint="eastAsia" w:ascii="宋体" w:hAnsi="宋体" w:cs="宋体"/>
                <w:bCs/>
                <w:szCs w:val="21"/>
              </w:rPr>
              <w:t>联系人：</w:t>
            </w:r>
          </w:p>
          <w:p>
            <w:pPr>
              <w:adjustRightInd w:val="0"/>
              <w:snapToGrid w:val="0"/>
              <w:spacing w:before="120" w:beforeLines="50"/>
              <w:jc w:val="left"/>
              <w:rPr>
                <w:rFonts w:hint="eastAsia" w:ascii="宋体" w:hAnsi="宋体" w:cs="宋体"/>
                <w:bCs/>
                <w:szCs w:val="21"/>
                <w:u w:val="single"/>
              </w:rPr>
            </w:pPr>
            <w:r>
              <w:rPr>
                <w:rFonts w:hint="eastAsia" w:ascii="宋体" w:hAnsi="宋体" w:cs="宋体"/>
                <w:bCs/>
                <w:szCs w:val="21"/>
              </w:rPr>
              <w:t>要求：</w:t>
            </w:r>
            <w:r>
              <w:rPr>
                <w:rFonts w:hint="eastAsia" w:ascii="宋体" w:hAnsi="宋体" w:cs="宋体"/>
                <w:bCs/>
                <w:szCs w:val="21"/>
                <w:u w:val="single"/>
              </w:rPr>
              <w:t>采购机构或采购单位统一组织所有潜在投标供应商同时进行现场踏勘。</w:t>
            </w:r>
          </w:p>
          <w:p>
            <w:pPr>
              <w:adjustRightInd w:val="0"/>
              <w:snapToGrid w:val="0"/>
              <w:spacing w:before="120" w:beforeLines="50"/>
              <w:jc w:val="left"/>
              <w:rPr>
                <w:rFonts w:hint="eastAsia" w:ascii="宋体" w:hAnsi="宋体" w:eastAsia="宋体" w:cs="宋体"/>
                <w:bCs/>
                <w:szCs w:val="21"/>
                <w:u w:val="single"/>
                <w:lang w:val="en-US" w:eastAsia="zh-CN"/>
              </w:rPr>
            </w:pPr>
            <w:r>
              <w:rPr>
                <w:rFonts w:hint="eastAsia" w:ascii="宋体" w:hAnsi="宋体" w:cs="宋体"/>
                <w:bCs/>
                <w:szCs w:val="21"/>
                <w:u w:val="single"/>
                <w:lang w:val="en-US" w:eastAsia="zh-CN"/>
              </w:rPr>
              <w:t>本项目不涉及。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jc w:val="left"/>
              <w:rPr>
                <w:rFonts w:ascii="宋体" w:hAnsi="宋体" w:cs="宋体"/>
                <w:bCs/>
                <w:szCs w:val="21"/>
              </w:rPr>
            </w:pPr>
            <w:r>
              <w:rPr>
                <w:rFonts w:hint="eastAsia" w:ascii="宋体" w:hAnsi="宋体" w:cs="宋体"/>
                <w:bCs/>
                <w:szCs w:val="21"/>
              </w:rPr>
              <w:t>第8.1款</w:t>
            </w:r>
          </w:p>
        </w:tc>
        <w:tc>
          <w:tcPr>
            <w:tcW w:w="3661" w:type="dxa"/>
            <w:vAlign w:val="center"/>
          </w:tcPr>
          <w:p>
            <w:pPr>
              <w:adjustRightInd w:val="0"/>
              <w:snapToGrid w:val="0"/>
              <w:spacing w:before="120" w:beforeLines="50"/>
              <w:jc w:val="left"/>
              <w:rPr>
                <w:rFonts w:ascii="宋体" w:hAnsi="宋体" w:cs="宋体"/>
                <w:bCs/>
                <w:szCs w:val="21"/>
              </w:rPr>
            </w:pPr>
            <w:r>
              <w:rPr>
                <w:rFonts w:hint="eastAsia" w:ascii="宋体" w:hAnsi="宋体" w:cs="宋体"/>
                <w:bCs/>
                <w:szCs w:val="21"/>
              </w:rPr>
              <w:t>信息发布指定媒体</w:t>
            </w:r>
          </w:p>
        </w:tc>
        <w:tc>
          <w:tcPr>
            <w:tcW w:w="3977" w:type="dxa"/>
            <w:gridSpan w:val="2"/>
            <w:vAlign w:val="center"/>
          </w:tcPr>
          <w:p>
            <w:pPr>
              <w:adjustRightInd w:val="0"/>
              <w:snapToGrid w:val="0"/>
              <w:spacing w:before="120" w:beforeLines="50"/>
              <w:jc w:val="left"/>
              <w:rPr>
                <w:rFonts w:ascii="宋体" w:hAnsi="宋体" w:cs="宋体"/>
                <w:bCs/>
                <w:szCs w:val="21"/>
              </w:rPr>
            </w:pPr>
            <w:r>
              <w:rPr>
                <w:rFonts w:hint="eastAsia" w:ascii="宋体" w:hAnsi="宋体" w:cs="宋体"/>
                <w:bCs/>
                <w:szCs w:val="21"/>
              </w:rPr>
              <w:t>详见第四章“招标公告”第十一条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9559" w:type="dxa"/>
            <w:gridSpan w:val="4"/>
            <w:vAlign w:val="center"/>
          </w:tcPr>
          <w:p>
            <w:pPr>
              <w:adjustRightInd w:val="0"/>
              <w:snapToGrid w:val="0"/>
              <w:spacing w:before="120" w:beforeLines="50"/>
              <w:rPr>
                <w:rFonts w:ascii="宋体" w:hAnsi="宋体" w:cs="宋体"/>
                <w:bCs/>
                <w:szCs w:val="21"/>
              </w:rPr>
            </w:pPr>
            <w:r>
              <w:rPr>
                <w:rFonts w:hint="eastAsia" w:ascii="宋体" w:hAnsi="宋体" w:cs="宋体"/>
                <w:b/>
                <w:sz w:val="24"/>
              </w:rPr>
              <w:t>二、招标文件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第10.1款</w:t>
            </w:r>
          </w:p>
        </w:tc>
        <w:tc>
          <w:tcPr>
            <w:tcW w:w="366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投标截止时间</w:t>
            </w:r>
          </w:p>
        </w:tc>
        <w:tc>
          <w:tcPr>
            <w:tcW w:w="3977" w:type="dxa"/>
            <w:gridSpan w:val="2"/>
            <w:vAlign w:val="center"/>
          </w:tcPr>
          <w:p>
            <w:pPr>
              <w:adjustRightInd w:val="0"/>
              <w:snapToGrid w:val="0"/>
              <w:spacing w:before="120" w:beforeLines="50"/>
              <w:rPr>
                <w:rFonts w:ascii="宋体" w:hAnsi="宋体" w:cs="宋体"/>
                <w:bCs/>
                <w:szCs w:val="21"/>
              </w:rPr>
            </w:pPr>
            <w:r>
              <w:rPr>
                <w:rFonts w:hint="eastAsia" w:ascii="宋体" w:hAnsi="宋体" w:cs="宋体"/>
                <w:bCs/>
                <w:szCs w:val="21"/>
              </w:rPr>
              <w:t>详见第四章“招标公告”第六条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9559" w:type="dxa"/>
            <w:gridSpan w:val="4"/>
            <w:vAlign w:val="center"/>
          </w:tcPr>
          <w:p>
            <w:pPr>
              <w:adjustRightInd w:val="0"/>
              <w:snapToGrid w:val="0"/>
              <w:spacing w:before="120" w:beforeLines="50"/>
              <w:rPr>
                <w:rFonts w:ascii="宋体" w:hAnsi="宋体" w:cs="宋体"/>
                <w:bCs/>
                <w:szCs w:val="21"/>
              </w:rPr>
            </w:pPr>
            <w:r>
              <w:rPr>
                <w:rFonts w:hint="eastAsia" w:ascii="宋体" w:hAnsi="宋体" w:cs="宋体"/>
                <w:b/>
                <w:sz w:val="24"/>
              </w:rPr>
              <w:t>三、投标文件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第14.6款</w:t>
            </w:r>
          </w:p>
        </w:tc>
        <w:tc>
          <w:tcPr>
            <w:tcW w:w="366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投标文件副本及电子版投标文件份数</w:t>
            </w:r>
          </w:p>
        </w:tc>
        <w:tc>
          <w:tcPr>
            <w:tcW w:w="3977" w:type="dxa"/>
            <w:gridSpan w:val="2"/>
            <w:vAlign w:val="center"/>
          </w:tcPr>
          <w:p>
            <w:pPr>
              <w:adjustRightInd w:val="0"/>
              <w:snapToGrid w:val="0"/>
              <w:spacing w:before="120" w:beforeLines="50"/>
              <w:rPr>
                <w:rFonts w:ascii="宋体" w:hAnsi="宋体" w:cs="宋体"/>
                <w:bCs/>
                <w:szCs w:val="21"/>
              </w:rPr>
            </w:pPr>
            <w:r>
              <w:rPr>
                <w:rFonts w:hint="eastAsia" w:ascii="宋体" w:hAnsi="宋体" w:cs="宋体"/>
                <w:bCs/>
                <w:szCs w:val="21"/>
              </w:rPr>
              <w:t>副本份数：3份</w:t>
            </w:r>
          </w:p>
          <w:p>
            <w:pPr>
              <w:adjustRightInd w:val="0"/>
              <w:snapToGrid w:val="0"/>
              <w:spacing w:before="120" w:beforeLines="50"/>
              <w:rPr>
                <w:rFonts w:hint="default" w:ascii="宋体" w:hAnsi="宋体" w:eastAsia="宋体" w:cs="宋体"/>
                <w:bCs/>
                <w:szCs w:val="21"/>
                <w:u w:val="single"/>
                <w:lang w:val="en-US" w:eastAsia="zh-CN"/>
              </w:rPr>
            </w:pPr>
            <w:r>
              <w:rPr>
                <w:rFonts w:hint="eastAsia" w:ascii="宋体" w:hAnsi="宋体" w:cs="宋体"/>
                <w:bCs/>
                <w:szCs w:val="21"/>
              </w:rPr>
              <w:t>电子版投标文件：1份</w:t>
            </w:r>
            <w:r>
              <w:rPr>
                <w:rFonts w:hint="eastAsia" w:ascii="宋体" w:hAnsi="宋体" w:cs="宋体"/>
                <w:bCs/>
                <w:szCs w:val="21"/>
                <w:lang w:val="en-US" w:eastAsia="zh-CN"/>
              </w:rPr>
              <w:t>(电子光盘)</w:t>
            </w:r>
          </w:p>
          <w:p>
            <w:pPr>
              <w:adjustRightInd w:val="0"/>
              <w:snapToGrid w:val="0"/>
              <w:spacing w:before="120" w:beforeLines="50"/>
              <w:rPr>
                <w:rFonts w:ascii="宋体" w:hAnsi="宋体" w:cs="宋体"/>
                <w:bCs/>
                <w:szCs w:val="21"/>
              </w:rPr>
            </w:pPr>
            <w:r>
              <w:rPr>
                <w:rFonts w:hint="eastAsia" w:ascii="宋体" w:hAnsi="宋体" w:cs="宋体"/>
                <w:bCs/>
                <w:szCs w:val="21"/>
              </w:rPr>
              <w:t>其中，《价格文件》3份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第15.1款</w:t>
            </w:r>
          </w:p>
        </w:tc>
        <w:tc>
          <w:tcPr>
            <w:tcW w:w="366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投标文件有效期</w:t>
            </w:r>
          </w:p>
        </w:tc>
        <w:tc>
          <w:tcPr>
            <w:tcW w:w="3977" w:type="dxa"/>
            <w:gridSpan w:val="2"/>
            <w:vAlign w:val="center"/>
          </w:tcPr>
          <w:p>
            <w:pPr>
              <w:adjustRightInd w:val="0"/>
              <w:snapToGrid w:val="0"/>
              <w:spacing w:before="120" w:beforeLines="50"/>
              <w:rPr>
                <w:rFonts w:ascii="宋体" w:hAnsi="宋体" w:cs="宋体"/>
                <w:bCs/>
                <w:szCs w:val="21"/>
              </w:rPr>
            </w:pPr>
            <w:r>
              <w:rPr>
                <w:rFonts w:hint="eastAsia" w:ascii="宋体" w:hAnsi="宋体" w:cs="宋体"/>
                <w:bCs/>
                <w:szCs w:val="21"/>
              </w:rPr>
              <w:t>从提交投标文件的截止之日起</w:t>
            </w:r>
            <w:r>
              <w:rPr>
                <w:rFonts w:hint="eastAsia" w:ascii="宋体" w:hAnsi="宋体" w:cs="宋体"/>
                <w:bCs/>
                <w:szCs w:val="21"/>
                <w:u w:val="single"/>
              </w:rPr>
              <w:t>180</w:t>
            </w:r>
            <w:r>
              <w:rPr>
                <w:rFonts w:hint="eastAsia" w:ascii="宋体" w:hAnsi="宋体" w:cs="宋体"/>
                <w:bCs/>
                <w:szCs w:val="21"/>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第16.4款</w:t>
            </w:r>
          </w:p>
        </w:tc>
        <w:tc>
          <w:tcPr>
            <w:tcW w:w="366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投标报价的其他要求</w:t>
            </w:r>
          </w:p>
        </w:tc>
        <w:tc>
          <w:tcPr>
            <w:tcW w:w="3977" w:type="dxa"/>
            <w:gridSpan w:val="2"/>
            <w:vAlign w:val="center"/>
          </w:tcPr>
          <w:p>
            <w:pPr>
              <w:adjustRightInd w:val="0"/>
              <w:snapToGrid w:val="0"/>
              <w:spacing w:before="120" w:beforeLines="50"/>
              <w:rPr>
                <w:rFonts w:ascii="宋体" w:hAnsi="宋体" w:cs="宋体"/>
                <w:bCs/>
                <w:szCs w:val="21"/>
              </w:rPr>
            </w:pPr>
            <w:r>
              <w:rPr>
                <w:rFonts w:hint="eastAsia" w:ascii="宋体" w:hAnsi="宋体" w:cs="宋体"/>
                <w:bCs/>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第17.1款</w:t>
            </w:r>
          </w:p>
        </w:tc>
        <w:tc>
          <w:tcPr>
            <w:tcW w:w="366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投标保证金</w:t>
            </w:r>
          </w:p>
        </w:tc>
        <w:tc>
          <w:tcPr>
            <w:tcW w:w="3977" w:type="dxa"/>
            <w:gridSpan w:val="2"/>
            <w:vAlign w:val="center"/>
          </w:tcPr>
          <w:p>
            <w:pPr>
              <w:adjustRightInd w:val="0"/>
              <w:snapToGrid w:val="0"/>
              <w:spacing w:before="120" w:beforeLines="50"/>
              <w:rPr>
                <w:rFonts w:ascii="宋体" w:hAnsi="宋体" w:cs="宋体"/>
                <w:bCs/>
                <w:szCs w:val="21"/>
                <w:highlight w:val="none"/>
              </w:rPr>
            </w:pPr>
            <w:r>
              <w:rPr>
                <w:rFonts w:hint="eastAsia" w:ascii="宋体" w:hAnsi="宋体" w:cs="宋体"/>
                <w:bCs/>
                <w:szCs w:val="21"/>
              </w:rPr>
              <w:t>保证金金额：</w:t>
            </w:r>
            <w:r>
              <w:rPr>
                <w:rFonts w:hint="eastAsia" w:ascii="宋体" w:hAnsi="宋体" w:cs="宋体"/>
                <w:bCs/>
                <w:szCs w:val="21"/>
                <w:u w:val="single"/>
                <w:lang w:val="en-US" w:eastAsia="zh-CN"/>
              </w:rPr>
              <w:t>2</w:t>
            </w:r>
            <w:r>
              <w:rPr>
                <w:rFonts w:hint="eastAsia" w:ascii="宋体" w:hAnsi="宋体" w:cs="宋体"/>
                <w:bCs/>
                <w:szCs w:val="21"/>
                <w:highlight w:val="none"/>
                <w:u w:val="single"/>
              </w:rPr>
              <w:t xml:space="preserve"> </w:t>
            </w:r>
            <w:r>
              <w:rPr>
                <w:rFonts w:hint="eastAsia" w:ascii="宋体" w:hAnsi="宋体" w:cs="宋体"/>
                <w:bCs/>
                <w:szCs w:val="21"/>
                <w:highlight w:val="none"/>
              </w:rPr>
              <w:t>万元（￥</w:t>
            </w:r>
            <w:r>
              <w:rPr>
                <w:rFonts w:hint="eastAsia" w:ascii="宋体" w:hAnsi="宋体" w:cs="宋体"/>
                <w:bCs/>
                <w:szCs w:val="21"/>
                <w:highlight w:val="none"/>
                <w:u w:val="single"/>
                <w:lang w:val="en-US" w:eastAsia="zh-CN"/>
              </w:rPr>
              <w:t>20000.00</w:t>
            </w:r>
            <w:r>
              <w:rPr>
                <w:rFonts w:hint="eastAsia" w:ascii="宋体" w:hAnsi="宋体" w:cs="宋体"/>
                <w:bCs/>
                <w:szCs w:val="21"/>
                <w:highlight w:val="none"/>
                <w:u w:val="single"/>
              </w:rPr>
              <w:t xml:space="preserve">  </w:t>
            </w:r>
            <w:r>
              <w:rPr>
                <w:rFonts w:hint="eastAsia" w:ascii="宋体" w:hAnsi="宋体" w:cs="宋体"/>
                <w:bCs/>
                <w:szCs w:val="21"/>
                <w:highlight w:val="none"/>
              </w:rPr>
              <w:t>）</w:t>
            </w:r>
          </w:p>
          <w:p>
            <w:pPr>
              <w:adjustRightInd w:val="0"/>
              <w:snapToGrid w:val="0"/>
              <w:spacing w:before="120" w:beforeLines="50"/>
              <w:rPr>
                <w:rFonts w:ascii="宋体" w:hAnsi="宋体" w:cs="宋体"/>
                <w:bCs/>
                <w:szCs w:val="21"/>
                <w:highlight w:val="none"/>
              </w:rPr>
            </w:pPr>
            <w:r>
              <w:rPr>
                <w:rFonts w:hint="eastAsia" w:ascii="宋体" w:hAnsi="宋体" w:cs="宋体"/>
                <w:bCs/>
                <w:szCs w:val="21"/>
                <w:highlight w:val="none"/>
              </w:rPr>
              <w:t>缴纳截止时间：</w:t>
            </w:r>
            <w:r>
              <w:rPr>
                <w:rFonts w:hint="eastAsia" w:ascii="宋体" w:hAnsi="宋体" w:cs="宋体"/>
                <w:bCs/>
                <w:szCs w:val="21"/>
                <w:highlight w:val="none"/>
                <w:lang w:val="en-US" w:eastAsia="zh-CN"/>
              </w:rPr>
              <w:t>2024年4月24日上午9：30</w:t>
            </w:r>
            <w:r>
              <w:rPr>
                <w:rFonts w:hint="eastAsia" w:ascii="宋体" w:hAnsi="宋体" w:cs="宋体"/>
                <w:bCs/>
                <w:szCs w:val="21"/>
                <w:highlight w:val="none"/>
              </w:rPr>
              <w:t>(本项目投标截止时间），以投标保证金账户实际收款为准。</w:t>
            </w:r>
          </w:p>
          <w:p>
            <w:pPr>
              <w:adjustRightInd w:val="0"/>
              <w:snapToGrid w:val="0"/>
              <w:spacing w:before="120" w:beforeLines="50"/>
              <w:rPr>
                <w:rFonts w:ascii="宋体" w:hAnsi="宋体" w:cs="宋体"/>
                <w:bCs/>
                <w:szCs w:val="21"/>
              </w:rPr>
            </w:pPr>
            <w:r>
              <w:rPr>
                <w:rFonts w:hint="eastAsia" w:ascii="宋体" w:hAnsi="宋体" w:cs="宋体"/>
                <w:bCs/>
                <w:szCs w:val="21"/>
                <w:highlight w:val="none"/>
              </w:rPr>
              <w:t>缴纳办法：投标单位必须通过单位银行账户转账至投标保证金账户，在汇款时要在备注信息中注明本项目的编号及用途（如“项目编号，投标保证金”</w:t>
            </w:r>
            <w:r>
              <w:rPr>
                <w:rFonts w:hint="eastAsia" w:ascii="宋体" w:hAnsi="宋体" w:cs="宋体"/>
                <w:bCs/>
                <w:szCs w:val="21"/>
              </w:rPr>
              <w:t>）。</w:t>
            </w:r>
          </w:p>
          <w:p>
            <w:pPr>
              <w:adjustRightInd w:val="0"/>
              <w:snapToGrid w:val="0"/>
              <w:spacing w:before="120" w:beforeLines="50"/>
              <w:rPr>
                <w:rFonts w:ascii="宋体" w:hAnsi="宋体" w:cs="宋体"/>
                <w:bCs/>
                <w:szCs w:val="21"/>
              </w:rPr>
            </w:pPr>
            <w:r>
              <w:rPr>
                <w:rFonts w:hint="eastAsia" w:ascii="宋体" w:hAnsi="宋体" w:cs="宋体"/>
                <w:bCs/>
                <w:szCs w:val="21"/>
              </w:rPr>
              <w:t>缴纳投标保证金账户信息：投标人报名成功后，采购人将账户信息发送至投标人报名邮箱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4" w:hRule="atLeast"/>
        </w:trPr>
        <w:tc>
          <w:tcPr>
            <w:tcW w:w="9559" w:type="dxa"/>
            <w:gridSpan w:val="4"/>
            <w:vAlign w:val="center"/>
          </w:tcPr>
          <w:p>
            <w:pPr>
              <w:adjustRightInd w:val="0"/>
              <w:snapToGrid w:val="0"/>
              <w:spacing w:before="120" w:beforeLines="50"/>
              <w:rPr>
                <w:rFonts w:ascii="宋体" w:hAnsi="宋体" w:cs="宋体"/>
                <w:bCs/>
                <w:szCs w:val="21"/>
              </w:rPr>
            </w:pPr>
            <w:r>
              <w:rPr>
                <w:rFonts w:hint="eastAsia" w:ascii="宋体" w:hAnsi="宋体" w:cs="宋体"/>
                <w:b/>
                <w:sz w:val="24"/>
              </w:rPr>
              <w:t>四、投标文件递交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第18.4款</w:t>
            </w:r>
          </w:p>
        </w:tc>
        <w:tc>
          <w:tcPr>
            <w:tcW w:w="366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投标开始和截止时间及地点、方式</w:t>
            </w:r>
          </w:p>
        </w:tc>
        <w:tc>
          <w:tcPr>
            <w:tcW w:w="3977" w:type="dxa"/>
            <w:gridSpan w:val="2"/>
            <w:vAlign w:val="center"/>
          </w:tcPr>
          <w:p>
            <w:pPr>
              <w:adjustRightInd w:val="0"/>
              <w:snapToGrid w:val="0"/>
              <w:spacing w:before="120" w:beforeLines="50"/>
              <w:rPr>
                <w:rFonts w:ascii="宋体" w:hAnsi="宋体" w:cs="宋体"/>
                <w:bCs/>
                <w:szCs w:val="21"/>
              </w:rPr>
            </w:pPr>
            <w:r>
              <w:rPr>
                <w:rFonts w:hint="eastAsia" w:ascii="宋体" w:hAnsi="宋体" w:cs="宋体"/>
                <w:bCs/>
                <w:szCs w:val="21"/>
              </w:rPr>
              <w:t>详见第四章“招标公告”第六条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9559" w:type="dxa"/>
            <w:gridSpan w:val="4"/>
            <w:vAlign w:val="center"/>
          </w:tcPr>
          <w:p>
            <w:pPr>
              <w:adjustRightInd w:val="0"/>
              <w:snapToGrid w:val="0"/>
              <w:spacing w:before="120" w:beforeLines="50"/>
              <w:rPr>
                <w:rFonts w:ascii="宋体" w:hAnsi="宋体" w:cs="宋体"/>
                <w:bCs/>
                <w:szCs w:val="21"/>
              </w:rPr>
            </w:pPr>
            <w:r>
              <w:rPr>
                <w:rFonts w:hint="eastAsia" w:ascii="宋体" w:hAnsi="宋体" w:cs="宋体"/>
                <w:b/>
                <w:sz w:val="24"/>
              </w:rPr>
              <w:t>五、开标与评标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第20.1款</w:t>
            </w:r>
          </w:p>
        </w:tc>
        <w:tc>
          <w:tcPr>
            <w:tcW w:w="3661" w:type="dxa"/>
            <w:vAlign w:val="center"/>
          </w:tcPr>
          <w:p>
            <w:pPr>
              <w:rPr>
                <w:rFonts w:ascii="宋体" w:hAnsi="宋体" w:cs="宋体"/>
                <w:bCs/>
                <w:szCs w:val="21"/>
              </w:rPr>
            </w:pPr>
            <w:r>
              <w:rPr>
                <w:rFonts w:hint="eastAsia" w:ascii="宋体" w:hAnsi="宋体" w:cs="宋体"/>
                <w:bCs/>
                <w:szCs w:val="21"/>
              </w:rPr>
              <w:t>开标时间及地点</w:t>
            </w:r>
          </w:p>
        </w:tc>
        <w:tc>
          <w:tcPr>
            <w:tcW w:w="3977" w:type="dxa"/>
            <w:gridSpan w:val="2"/>
            <w:vAlign w:val="center"/>
          </w:tcPr>
          <w:p>
            <w:pPr>
              <w:adjustRightInd w:val="0"/>
              <w:snapToGrid w:val="0"/>
              <w:spacing w:before="120" w:beforeLines="50"/>
              <w:rPr>
                <w:rFonts w:ascii="宋体" w:hAnsi="宋体" w:cs="宋体"/>
                <w:bCs/>
                <w:szCs w:val="21"/>
              </w:rPr>
            </w:pPr>
            <w:r>
              <w:rPr>
                <w:rFonts w:hint="eastAsia" w:ascii="宋体" w:hAnsi="宋体" w:cs="宋体"/>
                <w:bCs/>
                <w:szCs w:val="21"/>
              </w:rPr>
              <w:t>详见第四章“招标公告”第七条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第20.2款</w:t>
            </w:r>
          </w:p>
        </w:tc>
        <w:tc>
          <w:tcPr>
            <w:tcW w:w="366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采用质量优先法评审的合格分或者名次</w:t>
            </w:r>
          </w:p>
        </w:tc>
        <w:tc>
          <w:tcPr>
            <w:tcW w:w="3977" w:type="dxa"/>
            <w:gridSpan w:val="2"/>
            <w:vAlign w:val="center"/>
          </w:tcPr>
          <w:p>
            <w:pPr>
              <w:adjustRightInd w:val="0"/>
              <w:snapToGrid w:val="0"/>
              <w:spacing w:before="120" w:beforeLines="50"/>
              <w:rPr>
                <w:rFonts w:ascii="宋体" w:hAnsi="宋体" w:cs="宋体"/>
                <w:bCs/>
                <w:szCs w:val="21"/>
              </w:rPr>
            </w:pPr>
            <w:r>
              <w:rPr>
                <w:rFonts w:hint="eastAsia" w:ascii="宋体" w:hAnsi="宋体" w:cs="宋体"/>
                <w:bCs/>
                <w:szCs w:val="21"/>
              </w:rPr>
              <w:t>□ 技术得分达到</w:t>
            </w:r>
            <w:r>
              <w:rPr>
                <w:rFonts w:hint="eastAsia" w:ascii="宋体" w:hAnsi="宋体" w:cs="宋体"/>
                <w:bCs/>
                <w:szCs w:val="21"/>
                <w:u w:val="single"/>
              </w:rPr>
              <w:t xml:space="preserve">     </w:t>
            </w:r>
            <w:r>
              <w:rPr>
                <w:rFonts w:hint="eastAsia" w:ascii="宋体" w:hAnsi="宋体" w:cs="宋体"/>
                <w:bCs/>
                <w:szCs w:val="21"/>
              </w:rPr>
              <w:t>分以上。</w:t>
            </w:r>
          </w:p>
          <w:p>
            <w:pPr>
              <w:adjustRightInd w:val="0"/>
              <w:snapToGrid w:val="0"/>
              <w:spacing w:before="120" w:beforeLines="50"/>
              <w:rPr>
                <w:rFonts w:ascii="宋体" w:hAnsi="宋体" w:cs="宋体"/>
                <w:bCs/>
                <w:szCs w:val="21"/>
              </w:rPr>
            </w:pPr>
            <w:r>
              <w:rPr>
                <w:rFonts w:hint="eastAsia" w:ascii="宋体" w:hAnsi="宋体" w:cs="宋体"/>
                <w:bCs/>
                <w:szCs w:val="21"/>
              </w:rPr>
              <w:t>□ 技术得分达到前</w:t>
            </w:r>
            <w:r>
              <w:rPr>
                <w:rFonts w:hint="eastAsia" w:ascii="宋体" w:hAnsi="宋体" w:cs="宋体"/>
                <w:bCs/>
                <w:szCs w:val="21"/>
                <w:u w:val="single"/>
              </w:rPr>
              <w:t xml:space="preserve">     </w:t>
            </w:r>
            <w:r>
              <w:rPr>
                <w:rFonts w:hint="eastAsia" w:ascii="宋体" w:hAnsi="宋体" w:cs="宋体"/>
                <w:bCs/>
                <w:szCs w:val="21"/>
              </w:rPr>
              <w:t>名次以上。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第22.1款</w:t>
            </w:r>
          </w:p>
        </w:tc>
        <w:tc>
          <w:tcPr>
            <w:tcW w:w="366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资格性审查标准</w:t>
            </w:r>
          </w:p>
        </w:tc>
        <w:tc>
          <w:tcPr>
            <w:tcW w:w="3977" w:type="dxa"/>
            <w:gridSpan w:val="2"/>
            <w:vAlign w:val="center"/>
          </w:tcPr>
          <w:p>
            <w:pPr>
              <w:adjustRightInd w:val="0"/>
              <w:snapToGrid w:val="0"/>
              <w:spacing w:before="120" w:beforeLines="50"/>
              <w:rPr>
                <w:rFonts w:ascii="宋体" w:hAnsi="宋体" w:cs="宋体"/>
                <w:bCs/>
                <w:szCs w:val="21"/>
              </w:rPr>
            </w:pPr>
            <w:r>
              <w:rPr>
                <w:rFonts w:hint="eastAsia" w:ascii="宋体" w:hAnsi="宋体" w:cs="宋体"/>
                <w:bCs/>
                <w:szCs w:val="21"/>
              </w:rPr>
              <w:t>详见本章附表1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第22.2款</w:t>
            </w:r>
          </w:p>
        </w:tc>
        <w:tc>
          <w:tcPr>
            <w:tcW w:w="366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符合性审查标准</w:t>
            </w:r>
          </w:p>
        </w:tc>
        <w:tc>
          <w:tcPr>
            <w:tcW w:w="3977" w:type="dxa"/>
            <w:gridSpan w:val="2"/>
            <w:vAlign w:val="center"/>
          </w:tcPr>
          <w:p>
            <w:pPr>
              <w:adjustRightInd w:val="0"/>
              <w:snapToGrid w:val="0"/>
              <w:spacing w:before="120" w:beforeLines="50"/>
              <w:rPr>
                <w:rFonts w:ascii="宋体" w:hAnsi="宋体" w:cs="宋体"/>
                <w:bCs/>
                <w:szCs w:val="21"/>
              </w:rPr>
            </w:pPr>
            <w:r>
              <w:rPr>
                <w:rFonts w:hint="eastAsia" w:ascii="宋体" w:hAnsi="宋体" w:cs="宋体"/>
                <w:bCs/>
                <w:szCs w:val="21"/>
              </w:rPr>
              <w:t>详见本章附表2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第22.3（1）项</w:t>
            </w:r>
          </w:p>
        </w:tc>
        <w:tc>
          <w:tcPr>
            <w:tcW w:w="366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商务评审标准</w:t>
            </w:r>
          </w:p>
        </w:tc>
        <w:tc>
          <w:tcPr>
            <w:tcW w:w="3977" w:type="dxa"/>
            <w:gridSpan w:val="2"/>
            <w:vAlign w:val="center"/>
          </w:tcPr>
          <w:p>
            <w:pPr>
              <w:adjustRightInd w:val="0"/>
              <w:snapToGrid w:val="0"/>
              <w:spacing w:before="120" w:beforeLines="50"/>
              <w:rPr>
                <w:rFonts w:ascii="宋体" w:hAnsi="宋体" w:cs="宋体"/>
                <w:bCs/>
                <w:szCs w:val="21"/>
              </w:rPr>
            </w:pPr>
            <w:r>
              <w:rPr>
                <w:rFonts w:hint="eastAsia" w:ascii="宋体" w:hAnsi="宋体" w:cs="宋体"/>
                <w:bCs/>
                <w:szCs w:val="21"/>
              </w:rPr>
              <w:t>详见本章附表3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第22.3（2）项</w:t>
            </w:r>
          </w:p>
        </w:tc>
        <w:tc>
          <w:tcPr>
            <w:tcW w:w="366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技术评审标准</w:t>
            </w:r>
          </w:p>
        </w:tc>
        <w:tc>
          <w:tcPr>
            <w:tcW w:w="3977" w:type="dxa"/>
            <w:gridSpan w:val="2"/>
            <w:vAlign w:val="center"/>
          </w:tcPr>
          <w:p>
            <w:pPr>
              <w:adjustRightInd w:val="0"/>
              <w:snapToGrid w:val="0"/>
              <w:spacing w:before="120" w:beforeLines="50"/>
              <w:rPr>
                <w:rFonts w:ascii="宋体" w:hAnsi="宋体" w:cs="宋体"/>
                <w:bCs/>
                <w:szCs w:val="21"/>
              </w:rPr>
            </w:pPr>
            <w:r>
              <w:rPr>
                <w:rFonts w:hint="eastAsia" w:ascii="宋体" w:hAnsi="宋体" w:cs="宋体"/>
                <w:bCs/>
                <w:szCs w:val="21"/>
              </w:rPr>
              <w:t>详见本章附表4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第22.4（3）项</w:t>
            </w:r>
          </w:p>
        </w:tc>
        <w:tc>
          <w:tcPr>
            <w:tcW w:w="366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价格评审标准</w:t>
            </w:r>
          </w:p>
        </w:tc>
        <w:tc>
          <w:tcPr>
            <w:tcW w:w="3977" w:type="dxa"/>
            <w:gridSpan w:val="2"/>
            <w:vAlign w:val="center"/>
          </w:tcPr>
          <w:p>
            <w:pPr>
              <w:adjustRightInd w:val="0"/>
              <w:snapToGrid w:val="0"/>
              <w:spacing w:before="120" w:beforeLines="50"/>
              <w:rPr>
                <w:rFonts w:ascii="宋体" w:hAnsi="宋体" w:cs="宋体"/>
                <w:bCs/>
                <w:szCs w:val="21"/>
              </w:rPr>
            </w:pPr>
            <w:r>
              <w:rPr>
                <w:rFonts w:hint="eastAsia" w:ascii="宋体" w:hAnsi="宋体" w:cs="宋体"/>
                <w:bCs/>
                <w:szCs w:val="21"/>
              </w:rPr>
              <w:t>详见本章附表5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第27.1（2）项</w:t>
            </w:r>
          </w:p>
        </w:tc>
        <w:tc>
          <w:tcPr>
            <w:tcW w:w="3661" w:type="dxa"/>
            <w:vAlign w:val="center"/>
          </w:tcPr>
          <w:p>
            <w:pPr>
              <w:adjustRightInd w:val="0"/>
              <w:snapToGrid w:val="0"/>
              <w:spacing w:before="120" w:beforeLines="50"/>
              <w:rPr>
                <w:rFonts w:ascii="宋体" w:hAnsi="宋体" w:cs="宋体"/>
                <w:bCs/>
                <w:szCs w:val="21"/>
                <w:highlight w:val="none"/>
              </w:rPr>
            </w:pPr>
            <w:r>
              <w:rPr>
                <w:rFonts w:hint="eastAsia" w:ascii="宋体" w:hAnsi="宋体" w:cs="宋体"/>
                <w:bCs/>
                <w:szCs w:val="21"/>
                <w:highlight w:val="none"/>
              </w:rPr>
              <w:t>非实质性偏离的范围和幅度</w:t>
            </w:r>
          </w:p>
        </w:tc>
        <w:tc>
          <w:tcPr>
            <w:tcW w:w="3977" w:type="dxa"/>
            <w:gridSpan w:val="2"/>
            <w:vAlign w:val="center"/>
          </w:tcPr>
          <w:p>
            <w:pPr>
              <w:adjustRightInd w:val="0"/>
              <w:snapToGrid w:val="0"/>
              <w:spacing w:before="120" w:beforeLines="50"/>
              <w:rPr>
                <w:rFonts w:ascii="宋体" w:hAnsi="宋体" w:cs="宋体"/>
                <w:bCs/>
                <w:szCs w:val="21"/>
              </w:rPr>
            </w:pPr>
            <w:r>
              <w:rPr>
                <w:rFonts w:hint="eastAsia" w:ascii="宋体" w:hAnsi="宋体" w:cs="宋体"/>
                <w:bCs/>
                <w:szCs w:val="21"/>
              </w:rPr>
              <w:t>□ 招标文件中非实质性商务条款偏离</w:t>
            </w:r>
            <w:r>
              <w:rPr>
                <w:rFonts w:hint="eastAsia" w:ascii="宋体" w:hAnsi="宋体" w:cs="宋体"/>
                <w:bCs/>
                <w:szCs w:val="21"/>
                <w:u w:val="single"/>
              </w:rPr>
              <w:t xml:space="preserve">   </w:t>
            </w:r>
            <w:r>
              <w:rPr>
                <w:rFonts w:hint="eastAsia" w:ascii="宋体" w:hAnsi="宋体" w:cs="宋体"/>
                <w:bCs/>
                <w:szCs w:val="21"/>
              </w:rPr>
              <w:t>项及以上将导致投标无效；</w:t>
            </w:r>
          </w:p>
          <w:p>
            <w:pPr>
              <w:adjustRightInd w:val="0"/>
              <w:snapToGrid w:val="0"/>
              <w:spacing w:before="120" w:beforeLines="50"/>
              <w:rPr>
                <w:rFonts w:ascii="宋体" w:hAnsi="宋体" w:cs="宋体"/>
                <w:bCs/>
                <w:szCs w:val="21"/>
              </w:rPr>
            </w:pPr>
            <w:r>
              <w:rPr>
                <w:rFonts w:hint="eastAsia" w:ascii="宋体" w:hAnsi="宋体" w:cs="宋体"/>
                <w:bCs/>
                <w:szCs w:val="21"/>
              </w:rPr>
              <w:t>□ 招标文件中非实质性技术参数偏离</w:t>
            </w:r>
            <w:r>
              <w:rPr>
                <w:rFonts w:hint="eastAsia" w:ascii="宋体" w:hAnsi="宋体" w:cs="宋体"/>
                <w:bCs/>
                <w:szCs w:val="21"/>
                <w:u w:val="single"/>
              </w:rPr>
              <w:t xml:space="preserve">   </w:t>
            </w:r>
            <w:r>
              <w:rPr>
                <w:rFonts w:hint="eastAsia" w:ascii="宋体" w:hAnsi="宋体" w:cs="宋体"/>
                <w:bCs/>
                <w:szCs w:val="21"/>
              </w:rPr>
              <w:t>项及以上将导致投标无效；</w:t>
            </w:r>
          </w:p>
          <w:p>
            <w:pPr>
              <w:adjustRightInd w:val="0"/>
              <w:snapToGrid w:val="0"/>
              <w:spacing w:before="120" w:beforeLines="50"/>
              <w:rPr>
                <w:rFonts w:hint="eastAsia" w:ascii="宋体" w:hAnsi="宋体" w:eastAsia="宋体" w:cs="宋体"/>
                <w:bCs/>
                <w:szCs w:val="21"/>
                <w:lang w:eastAsia="zh-CN"/>
              </w:rPr>
            </w:pPr>
            <w:r>
              <w:rPr>
                <w:rFonts w:hint="eastAsia" w:asciiTheme="minorEastAsia" w:hAnsiTheme="minorEastAsia" w:eastAsiaTheme="minorEastAsia"/>
                <w:szCs w:val="21"/>
                <w:lang w:eastAsia="zh-CN"/>
              </w:rPr>
              <w:t>☑</w:t>
            </w:r>
            <w:r>
              <w:rPr>
                <w:rFonts w:asciiTheme="minorEastAsia" w:hAnsiTheme="minorEastAsia" w:eastAsiaTheme="minorEastAsia"/>
                <w:szCs w:val="21"/>
              </w:rPr>
              <w:t xml:space="preserve">  </w:t>
            </w:r>
            <w:r>
              <w:rPr>
                <w:rFonts w:ascii="Times New Roman" w:hAnsi="Times New Roman" w:cs="Times New Roman" w:eastAsiaTheme="minorEastAsia"/>
                <w:b w:val="0"/>
                <w:bCs/>
                <w:sz w:val="21"/>
                <w:szCs w:val="21"/>
                <w:highlight w:val="none"/>
                <w:u w:val="single"/>
              </w:rPr>
              <w:t xml:space="preserve"> </w:t>
            </w:r>
            <w:r>
              <w:rPr>
                <w:rFonts w:hint="eastAsia" w:cs="Times New Roman" w:eastAsiaTheme="minorEastAsia"/>
                <w:b w:val="0"/>
                <w:bCs/>
                <w:sz w:val="21"/>
                <w:szCs w:val="21"/>
                <w:highlight w:val="none"/>
                <w:u w:val="single"/>
                <w:lang w:eastAsia="zh-CN"/>
              </w:rPr>
              <w:t>按照技术评审标准表</w:t>
            </w:r>
            <w:r>
              <w:rPr>
                <w:rFonts w:ascii="Times New Roman" w:hAnsi="Times New Roman" w:cs="Times New Roman" w:eastAsiaTheme="minorEastAsia"/>
                <w:b w:val="0"/>
                <w:bCs/>
                <w:sz w:val="21"/>
                <w:szCs w:val="21"/>
                <w:highlight w:val="none"/>
                <w:u w:val="single"/>
              </w:rPr>
              <w:t xml:space="preserve"> </w:t>
            </w:r>
            <w:r>
              <w:rPr>
                <w:rFonts w:asciiTheme="minorEastAsia" w:hAnsiTheme="minorEastAsia" w:eastAsiaTheme="minorEastAsia"/>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6" w:hRule="atLeast"/>
        </w:trPr>
        <w:tc>
          <w:tcPr>
            <w:tcW w:w="1921" w:type="dxa"/>
            <w:vMerge w:val="restart"/>
            <w:vAlign w:val="center"/>
          </w:tcPr>
          <w:p>
            <w:pPr>
              <w:adjustRightInd w:val="0"/>
              <w:snapToGrid w:val="0"/>
              <w:spacing w:before="120" w:beforeLines="50"/>
              <w:rPr>
                <w:rFonts w:ascii="宋体" w:hAnsi="宋体" w:cs="宋体"/>
                <w:bCs/>
                <w:szCs w:val="21"/>
              </w:rPr>
            </w:pPr>
            <w:r>
              <w:rPr>
                <w:rFonts w:hint="eastAsia" w:ascii="宋体" w:hAnsi="宋体" w:cs="宋体"/>
                <w:bCs/>
                <w:szCs w:val="21"/>
              </w:rPr>
              <w:t>第21.2款</w:t>
            </w:r>
          </w:p>
        </w:tc>
        <w:tc>
          <w:tcPr>
            <w:tcW w:w="3661" w:type="dxa"/>
            <w:vMerge w:val="restart"/>
            <w:vAlign w:val="center"/>
          </w:tcPr>
          <w:p>
            <w:pPr>
              <w:adjustRightInd w:val="0"/>
              <w:snapToGrid w:val="0"/>
              <w:spacing w:before="120" w:beforeLines="50"/>
              <w:rPr>
                <w:rFonts w:ascii="宋体" w:hAnsi="宋体" w:cs="宋体"/>
                <w:bCs/>
                <w:szCs w:val="21"/>
                <w:highlight w:val="none"/>
              </w:rPr>
            </w:pPr>
            <w:r>
              <w:rPr>
                <w:rFonts w:hint="eastAsia" w:ascii="宋体" w:hAnsi="宋体" w:cs="宋体"/>
                <w:bCs/>
                <w:szCs w:val="21"/>
                <w:highlight w:val="none"/>
              </w:rPr>
              <w:t>评审方法</w:t>
            </w:r>
          </w:p>
        </w:tc>
        <w:tc>
          <w:tcPr>
            <w:tcW w:w="3977" w:type="dxa"/>
            <w:gridSpan w:val="2"/>
            <w:vAlign w:val="center"/>
          </w:tcPr>
          <w:p>
            <w:pPr>
              <w:widowControl/>
              <w:adjustRightInd w:val="0"/>
              <w:snapToGrid w:val="0"/>
              <w:spacing w:before="120" w:beforeLines="50"/>
              <w:jc w:val="left"/>
              <w:rPr>
                <w:rFonts w:ascii="宋体" w:hAnsi="宋体" w:cs="宋体"/>
                <w:bCs/>
                <w:szCs w:val="21"/>
              </w:rPr>
            </w:pPr>
            <w:r>
              <w:rPr>
                <w:rFonts w:hint="eastAsia" w:ascii="宋体" w:hAnsi="宋体" w:cs="宋体"/>
                <w:bCs/>
                <w:szCs w:val="21"/>
              </w:rPr>
              <w:sym w:font="Wingdings 2" w:char="00A3"/>
            </w:r>
            <w:r>
              <w:rPr>
                <w:rFonts w:hint="eastAsia" w:ascii="宋体" w:hAnsi="宋体" w:cs="宋体"/>
                <w:bCs/>
                <w:szCs w:val="21"/>
              </w:rPr>
              <w:t xml:space="preserve"> 经评审的最低价法</w:t>
            </w:r>
          </w:p>
          <w:p>
            <w:pPr>
              <w:adjustRightInd w:val="0"/>
              <w:snapToGrid w:val="0"/>
              <w:spacing w:before="120" w:beforeLines="50"/>
              <w:rPr>
                <w:rFonts w:ascii="宋体" w:hAnsi="宋体" w:cs="宋体"/>
                <w:bCs/>
                <w:szCs w:val="21"/>
              </w:rPr>
            </w:pPr>
            <w:r>
              <w:rPr>
                <w:rFonts w:hint="eastAsia" w:ascii="宋体" w:hAnsi="宋体" w:cs="宋体"/>
                <w:bCs/>
                <w:szCs w:val="21"/>
                <w:lang w:eastAsia="zh-CN"/>
              </w:rPr>
              <w:t>☑</w:t>
            </w:r>
            <w:r>
              <w:rPr>
                <w:rFonts w:hint="eastAsia" w:ascii="宋体" w:hAnsi="宋体" w:cs="宋体"/>
                <w:bCs/>
                <w:szCs w:val="21"/>
              </w:rPr>
              <w:t xml:space="preserve"> 综合评分法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70" w:hRule="atLeast"/>
        </w:trPr>
        <w:tc>
          <w:tcPr>
            <w:tcW w:w="1921" w:type="dxa"/>
            <w:vMerge w:val="continue"/>
            <w:vAlign w:val="center"/>
          </w:tcPr>
          <w:p>
            <w:pPr>
              <w:adjustRightInd w:val="0"/>
              <w:snapToGrid w:val="0"/>
              <w:spacing w:before="120" w:beforeLines="50"/>
              <w:rPr>
                <w:rFonts w:ascii="宋体" w:hAnsi="宋体" w:cs="宋体"/>
                <w:bCs/>
                <w:szCs w:val="21"/>
              </w:rPr>
            </w:pPr>
          </w:p>
        </w:tc>
        <w:tc>
          <w:tcPr>
            <w:tcW w:w="3661" w:type="dxa"/>
            <w:vMerge w:val="continue"/>
            <w:vAlign w:val="center"/>
          </w:tcPr>
          <w:p>
            <w:pPr>
              <w:adjustRightInd w:val="0"/>
              <w:snapToGrid w:val="0"/>
              <w:spacing w:before="120" w:beforeLines="50"/>
              <w:rPr>
                <w:rFonts w:ascii="宋体" w:hAnsi="宋体" w:cs="宋体"/>
                <w:bCs/>
                <w:szCs w:val="21"/>
              </w:rPr>
            </w:pPr>
          </w:p>
        </w:tc>
        <w:tc>
          <w:tcPr>
            <w:tcW w:w="927"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sym w:font="Wingdings 2" w:char="00A3"/>
            </w:r>
            <w:r>
              <w:rPr>
                <w:rFonts w:hint="eastAsia" w:ascii="宋体" w:hAnsi="宋体" w:cs="宋体"/>
                <w:bCs/>
                <w:szCs w:val="21"/>
              </w:rPr>
              <w:t>质量优先法</w:t>
            </w:r>
          </w:p>
        </w:tc>
        <w:tc>
          <w:tcPr>
            <w:tcW w:w="3050"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sym w:font="Wingdings 2" w:char="00A3"/>
            </w:r>
            <w:r>
              <w:rPr>
                <w:rFonts w:hint="eastAsia" w:ascii="宋体" w:hAnsi="宋体" w:cs="宋体"/>
                <w:bCs/>
                <w:szCs w:val="21"/>
              </w:rPr>
              <w:t>技术得分达到</w:t>
            </w:r>
            <w:r>
              <w:rPr>
                <w:rFonts w:hint="eastAsia" w:ascii="宋体" w:hAnsi="宋体" w:cs="宋体"/>
                <w:bCs/>
                <w:szCs w:val="21"/>
                <w:u w:val="single"/>
              </w:rPr>
              <w:t xml:space="preserve">     </w:t>
            </w:r>
            <w:r>
              <w:rPr>
                <w:rFonts w:hint="eastAsia" w:ascii="宋体" w:hAnsi="宋体" w:cs="宋体"/>
                <w:bCs/>
                <w:szCs w:val="21"/>
              </w:rPr>
              <w:t>分以上</w:t>
            </w:r>
          </w:p>
          <w:p>
            <w:pPr>
              <w:adjustRightInd w:val="0"/>
              <w:snapToGrid w:val="0"/>
              <w:spacing w:before="120" w:beforeLines="50"/>
              <w:rPr>
                <w:rFonts w:ascii="宋体" w:hAnsi="宋体" w:cs="宋体"/>
                <w:bCs/>
                <w:szCs w:val="21"/>
              </w:rPr>
            </w:pPr>
            <w:r>
              <w:rPr>
                <w:rFonts w:hint="eastAsia" w:ascii="宋体" w:hAnsi="宋体" w:cs="宋体"/>
                <w:bCs/>
                <w:szCs w:val="21"/>
              </w:rPr>
              <w:sym w:font="Wingdings 2" w:char="00A3"/>
            </w:r>
            <w:r>
              <w:rPr>
                <w:rFonts w:hint="eastAsia" w:ascii="宋体" w:hAnsi="宋体" w:cs="宋体"/>
                <w:bCs/>
                <w:szCs w:val="21"/>
              </w:rPr>
              <w:t>技术得分达到前</w:t>
            </w:r>
            <w:r>
              <w:rPr>
                <w:rFonts w:hint="eastAsia" w:ascii="宋体" w:hAnsi="宋体" w:cs="宋体"/>
                <w:bCs/>
                <w:szCs w:val="21"/>
                <w:u w:val="single"/>
              </w:rPr>
              <w:t xml:space="preserve">  </w:t>
            </w:r>
            <w:r>
              <w:rPr>
                <w:rFonts w:hint="eastAsia" w:ascii="宋体" w:hAnsi="宋体" w:cs="宋体"/>
                <w:bCs/>
                <w:szCs w:val="21"/>
              </w:rPr>
              <w:t>名次以上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※第29.3款</w:t>
            </w:r>
          </w:p>
        </w:tc>
        <w:tc>
          <w:tcPr>
            <w:tcW w:w="366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样品评审方法</w:t>
            </w:r>
          </w:p>
        </w:tc>
        <w:tc>
          <w:tcPr>
            <w:tcW w:w="3977" w:type="dxa"/>
            <w:gridSpan w:val="2"/>
            <w:vAlign w:val="center"/>
          </w:tcPr>
          <w:p>
            <w:pPr>
              <w:adjustRightInd w:val="0"/>
              <w:snapToGrid w:val="0"/>
              <w:spacing w:before="120" w:beforeLines="50"/>
              <w:rPr>
                <w:rFonts w:ascii="宋体" w:hAnsi="宋体" w:cs="宋体"/>
                <w:bCs/>
                <w:szCs w:val="21"/>
              </w:rPr>
            </w:pPr>
            <w:r>
              <w:rPr>
                <w:rFonts w:hint="eastAsia" w:ascii="宋体" w:hAnsi="宋体" w:cs="宋体"/>
                <w:bCs/>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※第29.4（1）项</w:t>
            </w:r>
          </w:p>
        </w:tc>
        <w:tc>
          <w:tcPr>
            <w:tcW w:w="366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相同品牌供应商得分或者报价相同的规定</w:t>
            </w:r>
          </w:p>
        </w:tc>
        <w:tc>
          <w:tcPr>
            <w:tcW w:w="3977" w:type="dxa"/>
            <w:gridSpan w:val="2"/>
            <w:vAlign w:val="center"/>
          </w:tcPr>
          <w:p>
            <w:pPr>
              <w:adjustRightInd w:val="0"/>
              <w:snapToGrid w:val="0"/>
              <w:spacing w:before="120" w:beforeLines="50"/>
              <w:rPr>
                <w:rFonts w:ascii="宋体" w:hAnsi="宋体" w:cs="宋体"/>
                <w:bCs/>
                <w:szCs w:val="21"/>
              </w:rPr>
            </w:pPr>
            <w:r>
              <w:rPr>
                <w:rFonts w:hint="eastAsia" w:ascii="宋体" w:hAnsi="宋体" w:cs="宋体"/>
                <w:bCs/>
                <w:szCs w:val="21"/>
              </w:rPr>
              <w:t>采取随机抽取的方式确定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※第29.4（2）项</w:t>
            </w:r>
          </w:p>
        </w:tc>
        <w:tc>
          <w:tcPr>
            <w:tcW w:w="366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核心产品的规定</w:t>
            </w:r>
          </w:p>
        </w:tc>
        <w:tc>
          <w:tcPr>
            <w:tcW w:w="3977" w:type="dxa"/>
            <w:gridSpan w:val="2"/>
            <w:vAlign w:val="center"/>
          </w:tcPr>
          <w:p>
            <w:pPr>
              <w:adjustRightInd w:val="0"/>
              <w:snapToGrid w:val="0"/>
              <w:spacing w:before="120" w:beforeLines="50"/>
              <w:rPr>
                <w:rFonts w:ascii="宋体" w:hAnsi="宋体" w:cs="宋体"/>
                <w:bCs/>
                <w:szCs w:val="21"/>
              </w:rPr>
            </w:pPr>
            <w:r>
              <w:rPr>
                <w:rFonts w:hint="eastAsia" w:ascii="宋体" w:hAnsi="宋体" w:cs="宋体"/>
                <w:bCs/>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9559" w:type="dxa"/>
            <w:gridSpan w:val="4"/>
            <w:vAlign w:val="center"/>
          </w:tcPr>
          <w:p>
            <w:pPr>
              <w:adjustRightInd w:val="0"/>
              <w:snapToGrid w:val="0"/>
              <w:spacing w:before="120" w:beforeLines="50"/>
              <w:rPr>
                <w:rFonts w:ascii="宋体" w:hAnsi="宋体" w:cs="宋体"/>
                <w:bCs/>
                <w:szCs w:val="21"/>
              </w:rPr>
            </w:pPr>
            <w:r>
              <w:rPr>
                <w:rFonts w:hint="eastAsia" w:ascii="宋体" w:hAnsi="宋体" w:cs="宋体"/>
                <w:b/>
                <w:sz w:val="24"/>
              </w:rPr>
              <w:t>六、质疑、投诉和投诉复议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第42.4款</w:t>
            </w:r>
          </w:p>
        </w:tc>
        <w:tc>
          <w:tcPr>
            <w:tcW w:w="366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采购机构质疑处理部门及联系方式</w:t>
            </w:r>
          </w:p>
        </w:tc>
        <w:tc>
          <w:tcPr>
            <w:tcW w:w="3977" w:type="dxa"/>
            <w:gridSpan w:val="2"/>
            <w:vAlign w:val="center"/>
          </w:tcPr>
          <w:p>
            <w:pPr>
              <w:adjustRightInd w:val="0"/>
              <w:snapToGrid w:val="0"/>
              <w:spacing w:before="120" w:beforeLines="50"/>
              <w:rPr>
                <w:rFonts w:ascii="宋体" w:hAnsi="宋体" w:cs="宋体"/>
                <w:bCs/>
                <w:szCs w:val="21"/>
              </w:rPr>
            </w:pPr>
            <w:r>
              <w:rPr>
                <w:rFonts w:hint="eastAsia" w:ascii="宋体" w:hAnsi="宋体" w:cs="宋体"/>
                <w:bCs/>
                <w:szCs w:val="21"/>
              </w:rPr>
              <w:t>联系人：</w:t>
            </w:r>
            <w:r>
              <w:rPr>
                <w:rFonts w:hint="eastAsia" w:ascii="宋体" w:hAnsi="宋体" w:cs="宋体"/>
                <w:bCs/>
                <w:szCs w:val="21"/>
                <w:lang w:val="en-US" w:eastAsia="zh-CN"/>
              </w:rPr>
              <w:t>夏</w:t>
            </w:r>
            <w:r>
              <w:rPr>
                <w:rFonts w:hint="eastAsia" w:ascii="宋体" w:hAnsi="宋体" w:cs="宋体"/>
                <w:bCs/>
                <w:szCs w:val="21"/>
              </w:rPr>
              <w:t>助理</w:t>
            </w:r>
          </w:p>
          <w:p>
            <w:pPr>
              <w:adjustRightInd w:val="0"/>
              <w:snapToGrid w:val="0"/>
              <w:spacing w:before="120" w:beforeLines="50"/>
              <w:rPr>
                <w:rFonts w:hint="default" w:ascii="宋体" w:hAnsi="宋体" w:eastAsia="宋体" w:cs="宋体"/>
                <w:bCs/>
                <w:szCs w:val="21"/>
                <w:lang w:val="en-US" w:eastAsia="zh-CN"/>
              </w:rPr>
            </w:pPr>
            <w:r>
              <w:rPr>
                <w:rFonts w:hint="eastAsia" w:ascii="宋体" w:hAnsi="宋体" w:cs="宋体"/>
                <w:bCs/>
                <w:szCs w:val="21"/>
              </w:rPr>
              <w:t>联系方式：023-687</w:t>
            </w:r>
            <w:r>
              <w:rPr>
                <w:rFonts w:hint="eastAsia" w:ascii="宋体" w:hAnsi="宋体" w:cs="宋体"/>
                <w:bCs/>
                <w:szCs w:val="21"/>
                <w:lang w:val="en-US" w:eastAsia="zh-CN"/>
              </w:rPr>
              <w:t>63907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第43.4款</w:t>
            </w:r>
          </w:p>
        </w:tc>
        <w:tc>
          <w:tcPr>
            <w:tcW w:w="366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受理、处理投标供应商部门及联系方式</w:t>
            </w:r>
          </w:p>
        </w:tc>
        <w:tc>
          <w:tcPr>
            <w:tcW w:w="3977" w:type="dxa"/>
            <w:gridSpan w:val="2"/>
            <w:vAlign w:val="center"/>
          </w:tcPr>
          <w:p>
            <w:pPr>
              <w:adjustRightInd w:val="0"/>
              <w:snapToGrid w:val="0"/>
              <w:spacing w:before="120" w:beforeLines="50"/>
              <w:rPr>
                <w:rFonts w:ascii="宋体" w:hAnsi="宋体" w:cs="宋体"/>
                <w:bCs/>
                <w:szCs w:val="21"/>
              </w:rPr>
            </w:pPr>
            <w:r>
              <w:rPr>
                <w:rFonts w:hint="eastAsia" w:ascii="宋体" w:hAnsi="宋体" w:cs="宋体"/>
                <w:bCs/>
                <w:szCs w:val="21"/>
              </w:rPr>
              <w:t>处理部门：采购单位上级采购管部办公室</w:t>
            </w:r>
          </w:p>
          <w:p>
            <w:pPr>
              <w:adjustRightInd w:val="0"/>
              <w:snapToGrid w:val="0"/>
              <w:spacing w:before="120" w:beforeLines="50"/>
              <w:rPr>
                <w:rFonts w:ascii="宋体" w:hAnsi="宋体" w:cs="宋体"/>
                <w:bCs/>
                <w:szCs w:val="21"/>
              </w:rPr>
            </w:pPr>
            <w:r>
              <w:rPr>
                <w:rFonts w:hint="eastAsia" w:ascii="宋体" w:hAnsi="宋体" w:cs="宋体"/>
                <w:bCs/>
                <w:szCs w:val="21"/>
              </w:rPr>
              <w:t>联系人：王参谋</w:t>
            </w:r>
          </w:p>
          <w:p>
            <w:pPr>
              <w:adjustRightInd w:val="0"/>
              <w:snapToGrid w:val="0"/>
              <w:spacing w:before="120" w:beforeLines="50"/>
              <w:rPr>
                <w:rFonts w:ascii="宋体" w:hAnsi="宋体" w:cs="宋体"/>
                <w:bCs/>
                <w:szCs w:val="21"/>
              </w:rPr>
            </w:pPr>
            <w:r>
              <w:rPr>
                <w:rFonts w:hint="eastAsia" w:ascii="宋体" w:hAnsi="宋体" w:cs="宋体"/>
                <w:bCs/>
                <w:szCs w:val="21"/>
              </w:rPr>
              <w:t>联系方式：023-68752144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第44.4款</w:t>
            </w:r>
          </w:p>
        </w:tc>
        <w:tc>
          <w:tcPr>
            <w:tcW w:w="366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受理、处理投诉复议申请部门及联系方式</w:t>
            </w:r>
          </w:p>
        </w:tc>
        <w:tc>
          <w:tcPr>
            <w:tcW w:w="3977" w:type="dxa"/>
            <w:gridSpan w:val="2"/>
            <w:vAlign w:val="center"/>
          </w:tcPr>
          <w:p>
            <w:pPr>
              <w:adjustRightInd w:val="0"/>
              <w:snapToGrid w:val="0"/>
              <w:spacing w:before="120" w:beforeLines="50"/>
              <w:rPr>
                <w:rFonts w:ascii="宋体" w:hAnsi="宋体" w:cs="宋体"/>
                <w:bCs/>
                <w:szCs w:val="21"/>
              </w:rPr>
            </w:pPr>
            <w:r>
              <w:rPr>
                <w:rFonts w:hint="eastAsia" w:ascii="宋体" w:hAnsi="宋体" w:cs="宋体"/>
                <w:bCs/>
                <w:szCs w:val="21"/>
              </w:rPr>
              <w:t>处理部门：采购供应局</w:t>
            </w:r>
          </w:p>
          <w:p>
            <w:pPr>
              <w:adjustRightInd w:val="0"/>
              <w:snapToGrid w:val="0"/>
              <w:spacing w:before="120" w:beforeLines="50"/>
              <w:rPr>
                <w:rFonts w:ascii="宋体" w:hAnsi="宋体" w:cs="宋体"/>
                <w:bCs/>
                <w:szCs w:val="21"/>
              </w:rPr>
            </w:pPr>
            <w:r>
              <w:rPr>
                <w:rFonts w:hint="eastAsia" w:ascii="宋体" w:hAnsi="宋体" w:cs="宋体"/>
                <w:bCs/>
                <w:szCs w:val="21"/>
              </w:rPr>
              <w:t>联系人：李助理</w:t>
            </w:r>
          </w:p>
          <w:p>
            <w:pPr>
              <w:adjustRightInd w:val="0"/>
              <w:snapToGrid w:val="0"/>
              <w:spacing w:before="120" w:beforeLines="50"/>
              <w:rPr>
                <w:rFonts w:ascii="宋体" w:hAnsi="宋体" w:cs="宋体"/>
                <w:bCs/>
                <w:szCs w:val="21"/>
              </w:rPr>
            </w:pPr>
            <w:r>
              <w:rPr>
                <w:rFonts w:hint="eastAsia" w:ascii="宋体" w:hAnsi="宋体" w:cs="宋体"/>
                <w:bCs/>
                <w:szCs w:val="21"/>
              </w:rPr>
              <w:t>联系方式：</w:t>
            </w:r>
            <w:r>
              <w:rPr>
                <w:rFonts w:ascii="宋体" w:hAnsi="宋体" w:cs="宋体"/>
                <w:bCs/>
                <w:szCs w:val="21"/>
              </w:rPr>
              <w:t>010-66718844</w:t>
            </w:r>
          </w:p>
        </w:tc>
      </w:tr>
    </w:tbl>
    <w:p>
      <w:pPr>
        <w:rPr>
          <w:bCs/>
        </w:rPr>
      </w:pPr>
    </w:p>
    <w:p>
      <w:pPr>
        <w:widowControl/>
        <w:jc w:val="left"/>
        <w:rPr>
          <w:rFonts w:ascii="黑体" w:hAnsi="黑体" w:eastAsia="黑体"/>
          <w:bCs/>
          <w:sz w:val="28"/>
          <w:szCs w:val="28"/>
        </w:rPr>
      </w:pPr>
    </w:p>
    <w:p>
      <w:pPr>
        <w:pStyle w:val="4"/>
        <w:spacing w:before="120" w:beforeLines="50" w:after="120" w:afterLines="50" w:line="560" w:lineRule="exact"/>
        <w:rPr>
          <w:rFonts w:ascii="黑体" w:hAnsi="黑体"/>
          <w:b w:val="0"/>
          <w:sz w:val="28"/>
          <w:szCs w:val="28"/>
        </w:rPr>
      </w:pPr>
      <w:bookmarkStart w:id="470" w:name="_Toc8827"/>
      <w:bookmarkStart w:id="471" w:name="_Toc9670"/>
      <w:bookmarkStart w:id="472" w:name="_Toc30854"/>
      <w:r>
        <w:rPr>
          <w:rFonts w:hint="eastAsia" w:ascii="黑体" w:hAnsi="黑体"/>
          <w:b w:val="0"/>
          <w:sz w:val="28"/>
          <w:szCs w:val="28"/>
        </w:rPr>
        <w:t>附表1 资格性审查表</w:t>
      </w:r>
      <w:bookmarkEnd w:id="470"/>
      <w:bookmarkEnd w:id="471"/>
      <w:bookmarkEnd w:id="472"/>
    </w:p>
    <w:p>
      <w:pPr>
        <w:spacing w:before="120" w:beforeLines="50" w:after="120" w:afterLines="50" w:line="560" w:lineRule="exact"/>
        <w:jc w:val="center"/>
        <w:rPr>
          <w:rFonts w:ascii="黑体" w:hAnsi="黑体" w:eastAsia="黑体"/>
          <w:bCs/>
          <w:sz w:val="36"/>
          <w:szCs w:val="36"/>
        </w:rPr>
      </w:pPr>
      <w:bookmarkStart w:id="473" w:name="_Hlk112524014"/>
      <w:r>
        <w:rPr>
          <w:rFonts w:hint="eastAsia" w:ascii="黑体" w:hAnsi="黑体" w:eastAsia="黑体"/>
          <w:bCs/>
          <w:sz w:val="36"/>
          <w:szCs w:val="36"/>
        </w:rPr>
        <w:t>资格性审查表</w:t>
      </w:r>
    </w:p>
    <w:bookmarkEnd w:id="473"/>
    <w:p>
      <w:pPr>
        <w:spacing w:line="560" w:lineRule="exact"/>
        <w:rPr>
          <w:bCs/>
          <w:szCs w:val="21"/>
        </w:rPr>
      </w:pPr>
      <w:r>
        <w:rPr>
          <w:rFonts w:hint="eastAsia"/>
          <w:bCs/>
          <w:szCs w:val="21"/>
        </w:rPr>
        <w:t>项目名称：</w:t>
      </w:r>
      <w:r>
        <w:rPr>
          <w:bCs/>
          <w:szCs w:val="21"/>
          <w:u w:val="single"/>
        </w:rPr>
        <w:t xml:space="preserve">                  </w:t>
      </w:r>
      <w:r>
        <w:rPr>
          <w:bCs/>
          <w:szCs w:val="21"/>
        </w:rPr>
        <w:t xml:space="preserve">      </w:t>
      </w:r>
      <w:r>
        <w:rPr>
          <w:rFonts w:hint="eastAsia"/>
          <w:bCs/>
          <w:szCs w:val="21"/>
        </w:rPr>
        <w:t>项目编号：</w:t>
      </w:r>
      <w:r>
        <w:rPr>
          <w:bCs/>
          <w:szCs w:val="21"/>
          <w:u w:val="single"/>
        </w:rPr>
        <w:t xml:space="preserve">                    </w:t>
      </w:r>
      <w:r>
        <w:rPr>
          <w:bCs/>
          <w:szCs w:val="21"/>
        </w:rPr>
        <w:t xml:space="preserve">         </w:t>
      </w:r>
    </w:p>
    <w:tbl>
      <w:tblPr>
        <w:tblStyle w:val="42"/>
        <w:tblW w:w="9435" w:type="dxa"/>
        <w:jc w:val="center"/>
        <w:tblLayout w:type="fixed"/>
        <w:tblCellMar>
          <w:top w:w="0" w:type="dxa"/>
          <w:left w:w="108" w:type="dxa"/>
          <w:bottom w:w="0" w:type="dxa"/>
          <w:right w:w="108" w:type="dxa"/>
        </w:tblCellMar>
      </w:tblPr>
      <w:tblGrid>
        <w:gridCol w:w="3843"/>
        <w:gridCol w:w="1134"/>
        <w:gridCol w:w="1134"/>
        <w:gridCol w:w="3324"/>
      </w:tblGrid>
      <w:tr>
        <w:tblPrEx>
          <w:tblCellMar>
            <w:top w:w="0" w:type="dxa"/>
            <w:left w:w="108" w:type="dxa"/>
            <w:bottom w:w="0" w:type="dxa"/>
            <w:right w:w="108" w:type="dxa"/>
          </w:tblCellMar>
        </w:tblPrEx>
        <w:trPr>
          <w:trHeight w:val="357" w:hRule="atLeast"/>
          <w:tblHeader/>
          <w:jc w:val="center"/>
        </w:trPr>
        <w:tc>
          <w:tcPr>
            <w:tcW w:w="384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Cs/>
                <w:szCs w:val="21"/>
              </w:rPr>
            </w:pPr>
            <w:r>
              <w:rPr>
                <w:rFonts w:hint="eastAsia" w:ascii="宋体" w:hAnsi="宋体" w:cs="宋体"/>
                <w:bCs/>
                <w:szCs w:val="21"/>
              </w:rPr>
              <w:t>审查项目</w:t>
            </w:r>
          </w:p>
        </w:tc>
        <w:tc>
          <w:tcPr>
            <w:tcW w:w="226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Cs/>
                <w:szCs w:val="21"/>
              </w:rPr>
            </w:pPr>
            <w:r>
              <w:rPr>
                <w:rFonts w:hint="eastAsia" w:ascii="宋体" w:hAnsi="宋体" w:cs="宋体"/>
                <w:bCs/>
                <w:szCs w:val="21"/>
              </w:rPr>
              <w:t>是否合格</w:t>
            </w:r>
          </w:p>
        </w:tc>
        <w:tc>
          <w:tcPr>
            <w:tcW w:w="3324" w:type="dxa"/>
            <w:vMerge w:val="restart"/>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具体要求</w:t>
            </w:r>
          </w:p>
        </w:tc>
      </w:tr>
      <w:tr>
        <w:tblPrEx>
          <w:tblCellMar>
            <w:top w:w="0" w:type="dxa"/>
            <w:left w:w="108" w:type="dxa"/>
            <w:bottom w:w="0" w:type="dxa"/>
            <w:right w:w="108" w:type="dxa"/>
          </w:tblCellMar>
        </w:tblPrEx>
        <w:trPr>
          <w:trHeight w:val="968" w:hRule="exact"/>
          <w:tblHeader/>
          <w:jc w:val="center"/>
        </w:trPr>
        <w:tc>
          <w:tcPr>
            <w:tcW w:w="3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bCs/>
                <w:szCs w:val="21"/>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bCs/>
                <w:szCs w:val="21"/>
              </w:rPr>
            </w:pPr>
            <w:r>
              <w:rPr>
                <w:rFonts w:hint="eastAsia" w:ascii="宋体" w:hAnsi="宋体" w:cs="宋体"/>
                <w:bCs/>
                <w:szCs w:val="21"/>
              </w:rPr>
              <w:t>投标</w:t>
            </w:r>
          </w:p>
          <w:p>
            <w:pPr>
              <w:widowControl/>
              <w:spacing w:line="240" w:lineRule="exact"/>
              <w:jc w:val="center"/>
              <w:rPr>
                <w:rFonts w:ascii="宋体" w:hAnsi="宋体" w:cs="宋体"/>
                <w:bCs/>
                <w:szCs w:val="21"/>
              </w:rPr>
            </w:pPr>
            <w:r>
              <w:rPr>
                <w:rFonts w:hint="eastAsia" w:ascii="宋体" w:hAnsi="宋体" w:cs="宋体"/>
                <w:bCs/>
                <w:szCs w:val="21"/>
              </w:rPr>
              <w:t>供应商1</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bCs/>
                <w:szCs w:val="21"/>
              </w:rPr>
            </w:pPr>
            <w:r>
              <w:rPr>
                <w:rFonts w:hint="eastAsia" w:ascii="宋体" w:hAnsi="宋体" w:cs="宋体"/>
                <w:bCs/>
                <w:szCs w:val="21"/>
              </w:rPr>
              <w:t>…</w:t>
            </w:r>
          </w:p>
        </w:tc>
        <w:tc>
          <w:tcPr>
            <w:tcW w:w="3324" w:type="dxa"/>
            <w:vMerge w:val="continue"/>
            <w:tcBorders>
              <w:top w:val="single" w:color="auto" w:sz="4" w:space="0"/>
              <w:left w:val="nil"/>
              <w:bottom w:val="single" w:color="auto" w:sz="4" w:space="0"/>
              <w:right w:val="single" w:color="auto" w:sz="4" w:space="0"/>
            </w:tcBorders>
            <w:vAlign w:val="center"/>
          </w:tcPr>
          <w:p>
            <w:pPr>
              <w:widowControl/>
              <w:jc w:val="left"/>
              <w:rPr>
                <w:rFonts w:ascii="黑体" w:hAnsi="宋体" w:eastAsia="黑体" w:cs="宋体"/>
                <w:bCs/>
                <w:szCs w:val="21"/>
              </w:rPr>
            </w:pPr>
          </w:p>
        </w:tc>
      </w:tr>
      <w:tr>
        <w:tblPrEx>
          <w:tblCellMar>
            <w:top w:w="0" w:type="dxa"/>
            <w:left w:w="108" w:type="dxa"/>
            <w:bottom w:w="0" w:type="dxa"/>
            <w:right w:w="108" w:type="dxa"/>
          </w:tblCellMar>
        </w:tblPrEx>
        <w:trPr>
          <w:trHeight w:val="675" w:hRule="exact"/>
          <w:jc w:val="center"/>
        </w:trPr>
        <w:tc>
          <w:tcPr>
            <w:tcW w:w="9435" w:type="dxa"/>
            <w:gridSpan w:val="4"/>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Cs/>
                <w:szCs w:val="21"/>
              </w:rPr>
            </w:pPr>
            <w:r>
              <w:rPr>
                <w:rFonts w:hint="eastAsia" w:ascii="宋体" w:hAnsi="宋体" w:cs="宋体"/>
                <w:bCs/>
                <w:szCs w:val="21"/>
              </w:rPr>
              <w:t>一、一般资格审查</w:t>
            </w:r>
          </w:p>
        </w:tc>
      </w:tr>
      <w:tr>
        <w:tblPrEx>
          <w:tblCellMar>
            <w:top w:w="0" w:type="dxa"/>
            <w:left w:w="108" w:type="dxa"/>
            <w:bottom w:w="0" w:type="dxa"/>
            <w:right w:w="108" w:type="dxa"/>
          </w:tblCellMar>
        </w:tblPrEx>
        <w:trPr>
          <w:trHeight w:val="2258"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rPr>
                <w:rFonts w:ascii="宋体" w:hAnsi="宋体"/>
                <w:bCs/>
                <w:szCs w:val="21"/>
              </w:rPr>
            </w:pPr>
            <w:r>
              <w:rPr>
                <w:rFonts w:ascii="宋体" w:hAnsi="宋体"/>
                <w:bCs/>
                <w:szCs w:val="21"/>
              </w:rPr>
              <w:t>1.营业执照或事业单位法人证书满足招标文件要求</w:t>
            </w: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bCs/>
                <w:szCs w:val="21"/>
              </w:rPr>
            </w:pP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r>
              <w:rPr>
                <w:rFonts w:hint="eastAsia" w:ascii="宋体" w:hAnsi="宋体" w:cs="宋体"/>
                <w:bCs/>
                <w:szCs w:val="21"/>
              </w:rPr>
              <w:t>企业法人须提供“统一社会信用代码营业执照”，未换证的提交“营业执照、税务登记证、组织机构代码证或三证合一的营业执照”；事业单位须提供“统一社会信用代码法人登记书”，未换证的提交“事业法人登记证书、组织机构代码证”；军队单位不作要求</w:t>
            </w:r>
          </w:p>
        </w:tc>
      </w:tr>
      <w:tr>
        <w:tblPrEx>
          <w:tblCellMar>
            <w:top w:w="0" w:type="dxa"/>
            <w:left w:w="108" w:type="dxa"/>
            <w:bottom w:w="0" w:type="dxa"/>
            <w:right w:w="108" w:type="dxa"/>
          </w:tblCellMar>
        </w:tblPrEx>
        <w:trPr>
          <w:trHeight w:val="698"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rPr>
                <w:rFonts w:ascii="宋体" w:hAnsi="宋体"/>
                <w:bCs/>
                <w:szCs w:val="21"/>
              </w:rPr>
            </w:pPr>
            <w:r>
              <w:rPr>
                <w:rFonts w:ascii="宋体" w:hAnsi="宋体"/>
                <w:bCs/>
                <w:szCs w:val="21"/>
              </w:rPr>
              <w:t>2.法定代表人资格证明书</w:t>
            </w: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bCs/>
                <w:szCs w:val="21"/>
              </w:rPr>
            </w:pP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r>
      <w:tr>
        <w:tblPrEx>
          <w:tblCellMar>
            <w:top w:w="0" w:type="dxa"/>
            <w:left w:w="108" w:type="dxa"/>
            <w:bottom w:w="0" w:type="dxa"/>
            <w:right w:w="108" w:type="dxa"/>
          </w:tblCellMar>
        </w:tblPrEx>
        <w:trPr>
          <w:trHeight w:val="1931"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rPr>
                <w:rFonts w:hint="eastAsia" w:ascii="宋体" w:hAnsi="宋体" w:eastAsia="宋体"/>
                <w:bCs/>
                <w:szCs w:val="21"/>
                <w:lang w:eastAsia="zh-CN"/>
              </w:rPr>
            </w:pPr>
            <w:r>
              <w:rPr>
                <w:rFonts w:ascii="Times New Roman" w:hAnsi="Times New Roman" w:cs="Times New Roman"/>
                <w:bCs/>
                <w:szCs w:val="21"/>
                <w:highlight w:val="none"/>
              </w:rPr>
              <w:t xml:space="preserve">3. </w:t>
            </w:r>
            <w:r>
              <w:rPr>
                <w:rFonts w:hint="eastAsia" w:ascii="宋体" w:hAnsi="宋体"/>
                <w:szCs w:val="21"/>
              </w:rPr>
              <w:t>法定代表人授权书（</w:t>
            </w:r>
            <w:r>
              <w:rPr>
                <w:rFonts w:hint="eastAsia" w:ascii="宋体" w:hAnsi="宋体"/>
                <w:szCs w:val="21"/>
                <w:lang w:eastAsia="zh-CN"/>
              </w:rPr>
              <w:t>被授权人需具有</w:t>
            </w:r>
            <w:r>
              <w:rPr>
                <w:rFonts w:hint="eastAsia" w:ascii="宋体" w:hAnsi="宋体"/>
                <w:szCs w:val="21"/>
              </w:rPr>
              <w:t>在投标前</w:t>
            </w:r>
            <w:r>
              <w:rPr>
                <w:rFonts w:hint="eastAsia" w:ascii="宋体" w:hAnsi="宋体"/>
                <w:b/>
                <w:bCs/>
                <w:color w:val="FF0000"/>
                <w:szCs w:val="21"/>
              </w:rPr>
              <w:t>4个月内（不含投标当月）连续3个月</w:t>
            </w:r>
            <w:r>
              <w:rPr>
                <w:rFonts w:hint="eastAsia" w:ascii="宋体" w:hAnsi="宋体"/>
                <w:szCs w:val="21"/>
              </w:rPr>
              <w:t>由投标供应商缴纳社保证明材料。代缴社保证明材料不予认可。）</w:t>
            </w: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bCs/>
                <w:szCs w:val="21"/>
              </w:rPr>
            </w:pP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r>
              <w:rPr>
                <w:rFonts w:hint="eastAsia" w:ascii="宋体" w:hAnsi="宋体"/>
                <w:bCs/>
                <w:szCs w:val="21"/>
                <w:lang w:eastAsia="zh-CN"/>
              </w:rPr>
              <w:t>代缴社保证明材料不予认可。</w:t>
            </w:r>
          </w:p>
        </w:tc>
      </w:tr>
      <w:tr>
        <w:tblPrEx>
          <w:tblCellMar>
            <w:top w:w="0" w:type="dxa"/>
            <w:left w:w="108" w:type="dxa"/>
            <w:bottom w:w="0" w:type="dxa"/>
            <w:right w:w="108" w:type="dxa"/>
          </w:tblCellMar>
        </w:tblPrEx>
        <w:trPr>
          <w:trHeight w:val="814"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rPr>
                <w:rFonts w:ascii="宋体" w:hAnsi="宋体"/>
                <w:bCs/>
                <w:szCs w:val="21"/>
              </w:rPr>
            </w:pPr>
            <w:r>
              <w:rPr>
                <w:rFonts w:ascii="宋体" w:hAnsi="宋体" w:cs="宋体"/>
                <w:bCs/>
                <w:szCs w:val="21"/>
              </w:rPr>
              <w:t>4.</w:t>
            </w:r>
            <w:r>
              <w:rPr>
                <w:bCs/>
              </w:rPr>
              <w:t xml:space="preserve"> </w:t>
            </w:r>
            <w:r>
              <w:rPr>
                <w:rFonts w:hint="eastAsia" w:ascii="宋体" w:hAnsi="宋体" w:cs="宋体"/>
                <w:bCs/>
                <w:szCs w:val="21"/>
              </w:rPr>
              <w:t>申领招标文件</w:t>
            </w:r>
            <w:bookmarkStart w:id="474" w:name="_Hlk112258452"/>
            <w:r>
              <w:rPr>
                <w:rFonts w:hint="eastAsia" w:ascii="宋体" w:hAnsi="宋体" w:cs="宋体"/>
                <w:bCs/>
                <w:szCs w:val="21"/>
              </w:rPr>
              <w:t>截止</w:t>
            </w:r>
            <w:r>
              <w:rPr>
                <w:rFonts w:hint="eastAsia" w:ascii="宋体" w:hAnsi="宋体"/>
                <w:bCs/>
                <w:szCs w:val="21"/>
              </w:rPr>
              <w:t>时间</w:t>
            </w:r>
            <w:bookmarkEnd w:id="474"/>
            <w:r>
              <w:rPr>
                <w:rFonts w:hint="eastAsia" w:ascii="宋体" w:hAnsi="宋体" w:cs="宋体"/>
                <w:bCs/>
                <w:szCs w:val="21"/>
              </w:rPr>
              <w:t>，供应商成立时间不少于</w:t>
            </w:r>
            <w:r>
              <w:rPr>
                <w:rFonts w:ascii="宋体" w:hAnsi="宋体" w:cs="宋体"/>
                <w:bCs/>
                <w:szCs w:val="21"/>
              </w:rPr>
              <w:t>3年</w:t>
            </w: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bCs/>
                <w:szCs w:val="21"/>
              </w:rPr>
            </w:pP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r>
              <w:rPr>
                <w:rFonts w:hint="eastAsia" w:ascii="宋体" w:hAnsi="宋体" w:cs="宋体"/>
                <w:bCs/>
                <w:szCs w:val="21"/>
              </w:rPr>
              <w:t>国有企业、事业单位、军队单位除外</w:t>
            </w:r>
          </w:p>
        </w:tc>
      </w:tr>
      <w:tr>
        <w:tblPrEx>
          <w:tblCellMar>
            <w:top w:w="0" w:type="dxa"/>
            <w:left w:w="108" w:type="dxa"/>
            <w:bottom w:w="0" w:type="dxa"/>
            <w:right w:w="108" w:type="dxa"/>
          </w:tblCellMar>
        </w:tblPrEx>
        <w:trPr>
          <w:trHeight w:val="2414"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rPr>
                <w:rFonts w:ascii="宋体" w:hAnsi="宋体"/>
                <w:bCs/>
                <w:szCs w:val="21"/>
              </w:rPr>
            </w:pPr>
            <w:r>
              <w:rPr>
                <w:rFonts w:ascii="宋体" w:hAnsi="宋体"/>
                <w:bCs/>
                <w:szCs w:val="21"/>
              </w:rPr>
              <w:t>5.供应商承诺及书面声明</w:t>
            </w: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bCs/>
                <w:szCs w:val="21"/>
              </w:rPr>
            </w:pP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r>
              <w:rPr>
                <w:rFonts w:hint="eastAsia" w:ascii="宋体" w:hAnsi="宋体"/>
                <w:bCs/>
                <w:szCs w:val="21"/>
              </w:rPr>
              <w:t>承诺及书面声明应当</w:t>
            </w:r>
            <w:r>
              <w:rPr>
                <w:rFonts w:hint="eastAsia" w:ascii="宋体" w:hAnsi="宋体" w:cs="宋体"/>
                <w:bCs/>
                <w:szCs w:val="21"/>
              </w:rPr>
              <w:t>包含供应商诚信承诺、保密承诺、诚信责任保证金承诺、未被列入失信名单承诺、近亲关系企业不参与采购活动承诺、没有重大违法记录、没有发生过重大质量安全事故、非外资独资企业或外资控股企业的书面声明</w:t>
            </w:r>
          </w:p>
        </w:tc>
      </w:tr>
      <w:tr>
        <w:tblPrEx>
          <w:tblCellMar>
            <w:top w:w="0" w:type="dxa"/>
            <w:left w:w="108" w:type="dxa"/>
            <w:bottom w:w="0" w:type="dxa"/>
            <w:right w:w="108" w:type="dxa"/>
          </w:tblCellMar>
        </w:tblPrEx>
        <w:trPr>
          <w:trHeight w:val="1706"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rPr>
                <w:rFonts w:ascii="宋体" w:hAnsi="宋体"/>
                <w:bCs/>
                <w:szCs w:val="21"/>
              </w:rPr>
            </w:pPr>
            <w:r>
              <w:rPr>
                <w:rFonts w:ascii="宋体" w:hAnsi="宋体"/>
                <w:bCs/>
                <w:szCs w:val="21"/>
              </w:rPr>
              <w:t>6.投标供应商最近</w:t>
            </w:r>
            <w:r>
              <w:rPr>
                <w:rFonts w:ascii="宋体" w:hAnsi="宋体"/>
                <w:b/>
                <w:bCs w:val="0"/>
                <w:color w:val="FF0000"/>
                <w:szCs w:val="21"/>
              </w:rPr>
              <w:t>一年内（投标时间截止前）</w:t>
            </w:r>
            <w:r>
              <w:rPr>
                <w:rFonts w:hint="eastAsia" w:ascii="宋体" w:hAnsi="宋体"/>
                <w:b/>
                <w:bCs w:val="0"/>
                <w:color w:val="FF0000"/>
                <w:szCs w:val="21"/>
              </w:rPr>
              <w:t>任意</w:t>
            </w:r>
            <w:r>
              <w:rPr>
                <w:rFonts w:ascii="宋体" w:hAnsi="宋体"/>
                <w:b/>
                <w:bCs w:val="0"/>
                <w:color w:val="FF0000"/>
                <w:szCs w:val="21"/>
              </w:rPr>
              <w:t>6个月</w:t>
            </w:r>
            <w:r>
              <w:rPr>
                <w:rFonts w:ascii="宋体" w:hAnsi="宋体"/>
                <w:bCs/>
                <w:szCs w:val="21"/>
              </w:rPr>
              <w:t>纳税的证明材料</w:t>
            </w: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bCs/>
                <w:szCs w:val="21"/>
              </w:rPr>
            </w:pP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r>
              <w:rPr>
                <w:rFonts w:hint="eastAsia" w:ascii="宋体" w:hAnsi="宋体" w:cs="宋体"/>
                <w:bCs/>
                <w:szCs w:val="21"/>
              </w:rPr>
              <w:t>根据税务部门出具的完税凭证或纳税的银行转账汇款单、对账单等判定；军队单位不作要求；不需要纳税的供应商，应当提供相关证明材料</w:t>
            </w:r>
          </w:p>
        </w:tc>
      </w:tr>
      <w:tr>
        <w:tblPrEx>
          <w:tblCellMar>
            <w:top w:w="0" w:type="dxa"/>
            <w:left w:w="108" w:type="dxa"/>
            <w:bottom w:w="0" w:type="dxa"/>
            <w:right w:w="108" w:type="dxa"/>
          </w:tblCellMar>
        </w:tblPrEx>
        <w:trPr>
          <w:trHeight w:val="1500"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rPr>
                <w:rFonts w:ascii="宋体" w:hAnsi="宋体"/>
                <w:bCs/>
                <w:szCs w:val="21"/>
              </w:rPr>
            </w:pPr>
            <w:r>
              <w:rPr>
                <w:rFonts w:ascii="宋体" w:hAnsi="宋体"/>
                <w:bCs/>
                <w:szCs w:val="21"/>
              </w:rPr>
              <w:t>7.投标供应商最近</w:t>
            </w:r>
            <w:r>
              <w:rPr>
                <w:rFonts w:ascii="宋体" w:hAnsi="宋体"/>
                <w:b/>
                <w:bCs w:val="0"/>
                <w:color w:val="FF0000"/>
                <w:szCs w:val="21"/>
              </w:rPr>
              <w:t>一年内（投标时间截止前）任意6个月</w:t>
            </w:r>
            <w:r>
              <w:rPr>
                <w:rFonts w:ascii="宋体" w:hAnsi="宋体"/>
                <w:bCs/>
                <w:szCs w:val="21"/>
              </w:rPr>
              <w:t>缴纳社会保障金的证明材料</w:t>
            </w: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r>
              <w:rPr>
                <w:rFonts w:hint="eastAsia" w:ascii="宋体" w:hAnsi="宋体" w:cs="宋体"/>
                <w:bCs/>
                <w:szCs w:val="21"/>
              </w:rPr>
              <w:t>根据银行转账汇款单或社保（税务）部门出具的缴纳社会保障金的凭证判定；不需要缴纳社会保障金的供应商，投标供应商应当提供相关证明材料或提供书面声明</w:t>
            </w:r>
          </w:p>
        </w:tc>
      </w:tr>
      <w:tr>
        <w:tblPrEx>
          <w:tblCellMar>
            <w:top w:w="0" w:type="dxa"/>
            <w:left w:w="108" w:type="dxa"/>
            <w:bottom w:w="0" w:type="dxa"/>
            <w:right w:w="108" w:type="dxa"/>
          </w:tblCellMar>
        </w:tblPrEx>
        <w:trPr>
          <w:trHeight w:val="2778" w:hRule="exact"/>
          <w:jc w:val="center"/>
        </w:trPr>
        <w:tc>
          <w:tcPr>
            <w:tcW w:w="38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bCs/>
                <w:szCs w:val="21"/>
              </w:rPr>
            </w:pPr>
            <w:r>
              <w:rPr>
                <w:rFonts w:ascii="宋体" w:hAnsi="宋体"/>
                <w:bCs/>
                <w:szCs w:val="21"/>
              </w:rPr>
              <w:t>8.投标供应商提供会计师事务所出具的近</w:t>
            </w:r>
            <w:r>
              <w:rPr>
                <w:rFonts w:ascii="宋体" w:hAnsi="宋体"/>
                <w:b/>
                <w:bCs w:val="0"/>
                <w:color w:val="FF0000"/>
                <w:szCs w:val="21"/>
              </w:rPr>
              <w:t>3年</w:t>
            </w:r>
            <w:r>
              <w:rPr>
                <w:rFonts w:hint="eastAsia" w:ascii="宋体" w:hAnsi="宋体"/>
                <w:b/>
                <w:bCs w:val="0"/>
                <w:color w:val="FF0000"/>
                <w:szCs w:val="21"/>
                <w:lang w:eastAsia="zh-CN"/>
              </w:rPr>
              <w:t>（</w:t>
            </w:r>
            <w:r>
              <w:rPr>
                <w:rFonts w:hint="eastAsia" w:ascii="宋体" w:hAnsi="宋体"/>
                <w:b/>
                <w:bCs w:val="0"/>
                <w:color w:val="FF0000"/>
                <w:szCs w:val="21"/>
                <w:lang w:val="en-US" w:eastAsia="zh-CN"/>
              </w:rPr>
              <w:t>2020-2022年</w:t>
            </w:r>
            <w:r>
              <w:rPr>
                <w:rFonts w:hint="eastAsia" w:ascii="宋体" w:hAnsi="宋体"/>
                <w:b/>
                <w:bCs w:val="0"/>
                <w:color w:val="FF0000"/>
                <w:szCs w:val="21"/>
                <w:lang w:eastAsia="zh-CN"/>
              </w:rPr>
              <w:t>）</w:t>
            </w:r>
            <w:r>
              <w:rPr>
                <w:rFonts w:ascii="宋体" w:hAnsi="宋体"/>
                <w:b/>
                <w:bCs w:val="0"/>
                <w:color w:val="FF0000"/>
                <w:szCs w:val="21"/>
              </w:rPr>
              <w:t>审计</w:t>
            </w:r>
            <w:r>
              <w:rPr>
                <w:rFonts w:ascii="宋体" w:hAnsi="宋体"/>
                <w:bCs/>
                <w:szCs w:val="21"/>
              </w:rPr>
              <w:t>报告</w:t>
            </w:r>
          </w:p>
        </w:tc>
        <w:tc>
          <w:tcPr>
            <w:tcW w:w="1134"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bCs/>
                <w:szCs w:val="21"/>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c>
          <w:tcPr>
            <w:tcW w:w="3324"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r>
              <w:rPr>
                <w:rFonts w:hint="eastAsia" w:ascii="宋体" w:hAnsi="宋体" w:cs="宋体"/>
                <w:bCs/>
                <w:szCs w:val="21"/>
              </w:rPr>
              <w:t>审计报告</w:t>
            </w:r>
            <w:r>
              <w:rPr>
                <w:rFonts w:hint="eastAsia" w:ascii="宋体" w:hAnsi="宋体" w:cs="宋体"/>
                <w:bCs/>
                <w:szCs w:val="21"/>
                <w:highlight w:val="yellow"/>
              </w:rPr>
              <w:t>应当包含</w:t>
            </w:r>
            <w:r>
              <w:rPr>
                <w:rFonts w:hint="eastAsia" w:ascii="宋体" w:hAnsi="宋体" w:cs="宋体"/>
                <w:bCs/>
                <w:szCs w:val="21"/>
              </w:rPr>
              <w:t>报告正文、资产负债表、利润表、现金流量表及所有者权益变动表（</w:t>
            </w:r>
            <w:r>
              <w:rPr>
                <w:rFonts w:hint="eastAsia" w:ascii="宋体" w:hAnsi="宋体" w:cs="宋体"/>
                <w:bCs/>
                <w:color w:val="FF0000"/>
                <w:szCs w:val="21"/>
              </w:rPr>
              <w:t>无所有者权益表的提供书面说明</w:t>
            </w:r>
            <w:r>
              <w:rPr>
                <w:rFonts w:hint="eastAsia" w:ascii="宋体" w:hAnsi="宋体" w:cs="宋体"/>
                <w:bCs/>
                <w:szCs w:val="21"/>
              </w:rPr>
              <w:t>）、附注和会计师事务所营业执照，报告正文应当有会计师事务所公章，</w:t>
            </w:r>
            <w:r>
              <w:rPr>
                <w:rFonts w:ascii="宋体" w:hAnsi="宋体" w:cs="宋体"/>
                <w:bCs/>
                <w:szCs w:val="21"/>
              </w:rPr>
              <w:t>2个注册会计师的签字和盖章。军队单位、事业单位无法提供审计报告的，可由上级管理部门批复的决算（或内部会计报表）代替。</w:t>
            </w:r>
          </w:p>
        </w:tc>
      </w:tr>
      <w:tr>
        <w:tblPrEx>
          <w:tblCellMar>
            <w:top w:w="0" w:type="dxa"/>
            <w:left w:w="108" w:type="dxa"/>
            <w:bottom w:w="0" w:type="dxa"/>
            <w:right w:w="108" w:type="dxa"/>
          </w:tblCellMar>
        </w:tblPrEx>
        <w:trPr>
          <w:trHeight w:val="1115"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rPr>
                <w:rFonts w:ascii="宋体" w:hAnsi="宋体"/>
                <w:bCs/>
                <w:szCs w:val="21"/>
              </w:rPr>
            </w:pPr>
            <w:r>
              <w:rPr>
                <w:rFonts w:ascii="宋体" w:hAnsi="宋体"/>
                <w:bCs/>
                <w:szCs w:val="21"/>
              </w:rPr>
              <w:t>9.投标保证金满足招标文件要求</w:t>
            </w: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bCs/>
                <w:szCs w:val="21"/>
              </w:rPr>
            </w:pP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r>
      <w:tr>
        <w:tblPrEx>
          <w:tblCellMar>
            <w:top w:w="0" w:type="dxa"/>
            <w:left w:w="108" w:type="dxa"/>
            <w:bottom w:w="0" w:type="dxa"/>
            <w:right w:w="108" w:type="dxa"/>
          </w:tblCellMar>
        </w:tblPrEx>
        <w:trPr>
          <w:trHeight w:val="677" w:hRule="atLeast"/>
          <w:jc w:val="center"/>
        </w:trPr>
        <w:tc>
          <w:tcPr>
            <w:tcW w:w="9435" w:type="dxa"/>
            <w:gridSpan w:val="4"/>
            <w:tcBorders>
              <w:top w:val="single" w:color="auto" w:sz="4" w:space="0"/>
              <w:left w:val="single" w:color="auto" w:sz="4" w:space="0"/>
              <w:bottom w:val="single" w:color="auto" w:sz="4" w:space="0"/>
              <w:right w:val="single" w:color="000000" w:sz="4" w:space="0"/>
            </w:tcBorders>
            <w:vAlign w:val="center"/>
          </w:tcPr>
          <w:p>
            <w:pPr>
              <w:widowControl/>
              <w:spacing w:line="240" w:lineRule="exact"/>
              <w:jc w:val="left"/>
              <w:rPr>
                <w:rFonts w:ascii="宋体" w:hAnsi="宋体" w:cs="宋体"/>
                <w:bCs/>
                <w:szCs w:val="21"/>
              </w:rPr>
            </w:pPr>
            <w:r>
              <w:rPr>
                <w:rFonts w:hint="eastAsia" w:ascii="宋体" w:hAnsi="宋体" w:cs="宋体"/>
                <w:bCs/>
                <w:szCs w:val="21"/>
              </w:rPr>
              <w:t>说明：</w:t>
            </w:r>
            <w:r>
              <w:rPr>
                <w:rFonts w:ascii="宋体" w:hAnsi="宋体" w:cs="宋体"/>
                <w:bCs/>
                <w:szCs w:val="21"/>
              </w:rPr>
              <w:t xml:space="preserve">1.合格打“√”, </w:t>
            </w:r>
            <w:r>
              <w:rPr>
                <w:rFonts w:hint="eastAsia" w:ascii="宋体" w:hAnsi="宋体" w:cs="宋体"/>
                <w:bCs/>
                <w:szCs w:val="21"/>
              </w:rPr>
              <w:t>不合格打“×”。</w:t>
            </w:r>
            <w:r>
              <w:rPr>
                <w:rFonts w:ascii="宋体" w:hAnsi="宋体" w:cs="宋体"/>
                <w:bCs/>
                <w:szCs w:val="21"/>
              </w:rPr>
              <w:t>2.有一项内容不合格，综合评定为不合格。</w:t>
            </w:r>
          </w:p>
        </w:tc>
      </w:tr>
    </w:tbl>
    <w:p>
      <w:pPr>
        <w:spacing w:line="560" w:lineRule="exact"/>
        <w:rPr>
          <w:bCs/>
          <w:szCs w:val="21"/>
        </w:rPr>
      </w:pPr>
      <w:r>
        <w:rPr>
          <w:rFonts w:hint="eastAsia"/>
          <w:bCs/>
          <w:szCs w:val="21"/>
        </w:rPr>
        <w:t>审查人员签名：</w:t>
      </w:r>
      <w:r>
        <w:rPr>
          <w:bCs/>
          <w:szCs w:val="21"/>
        </w:rPr>
        <w:t xml:space="preserve">                                                       </w:t>
      </w:r>
      <w:r>
        <w:rPr>
          <w:rFonts w:hint="eastAsia"/>
          <w:bCs/>
          <w:szCs w:val="21"/>
        </w:rPr>
        <w:t>年　　月　　日</w:t>
      </w:r>
    </w:p>
    <w:p>
      <w:pPr>
        <w:rPr>
          <w:bCs/>
          <w:szCs w:val="21"/>
        </w:rPr>
      </w:pPr>
      <w:r>
        <w:rPr>
          <w:rFonts w:hint="eastAsia"/>
          <w:bCs/>
          <w:szCs w:val="21"/>
        </w:rPr>
        <w:br w:type="page"/>
      </w:r>
    </w:p>
    <w:p>
      <w:pPr>
        <w:pStyle w:val="4"/>
        <w:spacing w:before="120" w:beforeLines="50" w:after="120" w:afterLines="50" w:line="560" w:lineRule="exact"/>
        <w:rPr>
          <w:rFonts w:ascii="黑体" w:hAnsi="黑体"/>
          <w:b w:val="0"/>
          <w:sz w:val="28"/>
          <w:szCs w:val="28"/>
        </w:rPr>
      </w:pPr>
      <w:bookmarkStart w:id="475" w:name="_Toc25852"/>
      <w:bookmarkStart w:id="476" w:name="_Toc2883"/>
      <w:bookmarkStart w:id="477" w:name="_Toc20480"/>
      <w:r>
        <w:rPr>
          <w:rFonts w:hint="eastAsia" w:ascii="黑体" w:hAnsi="黑体"/>
          <w:b w:val="0"/>
          <w:sz w:val="28"/>
          <w:szCs w:val="28"/>
        </w:rPr>
        <w:t>附表</w:t>
      </w:r>
      <w:r>
        <w:rPr>
          <w:rFonts w:ascii="黑体" w:hAnsi="黑体"/>
          <w:b w:val="0"/>
          <w:sz w:val="28"/>
          <w:szCs w:val="28"/>
        </w:rPr>
        <w:t xml:space="preserve">2 </w:t>
      </w:r>
      <w:r>
        <w:rPr>
          <w:rFonts w:hint="eastAsia" w:ascii="黑体" w:hAnsi="黑体"/>
          <w:b w:val="0"/>
          <w:sz w:val="28"/>
          <w:szCs w:val="28"/>
        </w:rPr>
        <w:t>符合性审查表</w:t>
      </w:r>
      <w:bookmarkEnd w:id="475"/>
      <w:bookmarkEnd w:id="476"/>
      <w:bookmarkEnd w:id="477"/>
    </w:p>
    <w:p>
      <w:pPr>
        <w:spacing w:before="120" w:beforeLines="50" w:after="120" w:afterLines="50" w:line="560" w:lineRule="exact"/>
        <w:jc w:val="center"/>
        <w:rPr>
          <w:rFonts w:ascii="黑体" w:hAnsi="黑体" w:eastAsia="黑体"/>
          <w:bCs/>
          <w:sz w:val="36"/>
          <w:szCs w:val="36"/>
        </w:rPr>
      </w:pPr>
      <w:bookmarkStart w:id="478" w:name="_Hlk112524041"/>
      <w:r>
        <w:rPr>
          <w:rFonts w:hint="eastAsia" w:ascii="黑体" w:hAnsi="黑体" w:eastAsia="黑体"/>
          <w:bCs/>
          <w:sz w:val="36"/>
          <w:szCs w:val="36"/>
        </w:rPr>
        <w:t>符合性审查表</w:t>
      </w:r>
    </w:p>
    <w:bookmarkEnd w:id="478"/>
    <w:p>
      <w:pPr>
        <w:spacing w:line="560" w:lineRule="exact"/>
        <w:rPr>
          <w:bCs/>
          <w:szCs w:val="21"/>
        </w:rPr>
      </w:pPr>
      <w:r>
        <w:rPr>
          <w:rFonts w:hint="eastAsia"/>
          <w:bCs/>
          <w:szCs w:val="21"/>
        </w:rPr>
        <w:t>项目名称：</w:t>
      </w:r>
      <w:r>
        <w:rPr>
          <w:bCs/>
          <w:szCs w:val="21"/>
          <w:u w:val="single"/>
        </w:rPr>
        <w:t xml:space="preserve">                  </w:t>
      </w:r>
      <w:r>
        <w:rPr>
          <w:bCs/>
          <w:szCs w:val="21"/>
        </w:rPr>
        <w:t xml:space="preserve">      </w:t>
      </w:r>
      <w:r>
        <w:rPr>
          <w:rFonts w:hint="eastAsia"/>
          <w:bCs/>
          <w:szCs w:val="21"/>
        </w:rPr>
        <w:t>项目编号：</w:t>
      </w:r>
      <w:r>
        <w:rPr>
          <w:bCs/>
          <w:szCs w:val="21"/>
          <w:u w:val="single"/>
        </w:rPr>
        <w:t xml:space="preserve">                    </w:t>
      </w:r>
      <w:r>
        <w:rPr>
          <w:bCs/>
          <w:szCs w:val="21"/>
        </w:rPr>
        <w:t xml:space="preserve">         </w:t>
      </w:r>
    </w:p>
    <w:tbl>
      <w:tblPr>
        <w:tblStyle w:val="42"/>
        <w:tblW w:w="9435" w:type="dxa"/>
        <w:jc w:val="center"/>
        <w:tblLayout w:type="fixed"/>
        <w:tblCellMar>
          <w:top w:w="0" w:type="dxa"/>
          <w:left w:w="108" w:type="dxa"/>
          <w:bottom w:w="0" w:type="dxa"/>
          <w:right w:w="108" w:type="dxa"/>
        </w:tblCellMar>
      </w:tblPr>
      <w:tblGrid>
        <w:gridCol w:w="3843"/>
        <w:gridCol w:w="1134"/>
        <w:gridCol w:w="1134"/>
        <w:gridCol w:w="3324"/>
      </w:tblGrid>
      <w:tr>
        <w:tblPrEx>
          <w:tblCellMar>
            <w:top w:w="0" w:type="dxa"/>
            <w:left w:w="108" w:type="dxa"/>
            <w:bottom w:w="0" w:type="dxa"/>
            <w:right w:w="108" w:type="dxa"/>
          </w:tblCellMar>
        </w:tblPrEx>
        <w:trPr>
          <w:trHeight w:val="356" w:hRule="atLeast"/>
          <w:jc w:val="center"/>
        </w:trPr>
        <w:tc>
          <w:tcPr>
            <w:tcW w:w="384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Cs/>
                <w:szCs w:val="21"/>
              </w:rPr>
            </w:pPr>
            <w:r>
              <w:rPr>
                <w:rFonts w:hint="eastAsia" w:ascii="宋体" w:hAnsi="宋体" w:cs="宋体"/>
                <w:bCs/>
                <w:szCs w:val="21"/>
              </w:rPr>
              <w:t>审查项目</w:t>
            </w:r>
          </w:p>
        </w:tc>
        <w:tc>
          <w:tcPr>
            <w:tcW w:w="226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Cs/>
                <w:szCs w:val="21"/>
              </w:rPr>
            </w:pPr>
            <w:r>
              <w:rPr>
                <w:rFonts w:hint="eastAsia" w:ascii="宋体" w:hAnsi="宋体" w:cs="宋体"/>
                <w:bCs/>
                <w:szCs w:val="21"/>
              </w:rPr>
              <w:t>是否合格</w:t>
            </w:r>
          </w:p>
        </w:tc>
        <w:tc>
          <w:tcPr>
            <w:tcW w:w="3324" w:type="dxa"/>
            <w:vMerge w:val="restart"/>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具体要求</w:t>
            </w:r>
          </w:p>
        </w:tc>
      </w:tr>
      <w:tr>
        <w:tblPrEx>
          <w:tblCellMar>
            <w:top w:w="0" w:type="dxa"/>
            <w:left w:w="108" w:type="dxa"/>
            <w:bottom w:w="0" w:type="dxa"/>
            <w:right w:w="108" w:type="dxa"/>
          </w:tblCellMar>
        </w:tblPrEx>
        <w:trPr>
          <w:trHeight w:val="968" w:hRule="exact"/>
          <w:jc w:val="center"/>
        </w:trPr>
        <w:tc>
          <w:tcPr>
            <w:tcW w:w="3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bCs/>
                <w:szCs w:val="21"/>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bCs/>
                <w:szCs w:val="21"/>
              </w:rPr>
            </w:pPr>
            <w:r>
              <w:rPr>
                <w:rFonts w:hint="eastAsia" w:ascii="宋体" w:hAnsi="宋体" w:cs="宋体"/>
                <w:bCs/>
                <w:szCs w:val="21"/>
              </w:rPr>
              <w:t>投标</w:t>
            </w:r>
          </w:p>
          <w:p>
            <w:pPr>
              <w:widowControl/>
              <w:spacing w:line="240" w:lineRule="exact"/>
              <w:jc w:val="center"/>
              <w:rPr>
                <w:rFonts w:ascii="宋体" w:hAnsi="宋体" w:cs="宋体"/>
                <w:bCs/>
                <w:szCs w:val="21"/>
              </w:rPr>
            </w:pPr>
            <w:r>
              <w:rPr>
                <w:rFonts w:hint="eastAsia" w:ascii="宋体" w:hAnsi="宋体" w:cs="宋体"/>
                <w:bCs/>
                <w:szCs w:val="21"/>
              </w:rPr>
              <w:t>供应商1</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bCs/>
                <w:szCs w:val="21"/>
              </w:rPr>
            </w:pPr>
            <w:r>
              <w:rPr>
                <w:rFonts w:hint="eastAsia" w:ascii="宋体" w:hAnsi="宋体" w:cs="宋体"/>
                <w:bCs/>
                <w:szCs w:val="21"/>
              </w:rPr>
              <w:t>…</w:t>
            </w:r>
          </w:p>
        </w:tc>
        <w:tc>
          <w:tcPr>
            <w:tcW w:w="3324" w:type="dxa"/>
            <w:vMerge w:val="continue"/>
            <w:tcBorders>
              <w:top w:val="single" w:color="auto" w:sz="4" w:space="0"/>
              <w:left w:val="nil"/>
              <w:bottom w:val="single" w:color="auto" w:sz="4" w:space="0"/>
              <w:right w:val="single" w:color="auto" w:sz="4" w:space="0"/>
            </w:tcBorders>
            <w:vAlign w:val="center"/>
          </w:tcPr>
          <w:p>
            <w:pPr>
              <w:widowControl/>
              <w:jc w:val="left"/>
              <w:rPr>
                <w:rFonts w:ascii="黑体" w:hAnsi="宋体" w:eastAsia="黑体" w:cs="宋体"/>
                <w:bCs/>
                <w:szCs w:val="21"/>
              </w:rPr>
            </w:pPr>
          </w:p>
        </w:tc>
      </w:tr>
      <w:tr>
        <w:tblPrEx>
          <w:tblCellMar>
            <w:top w:w="0" w:type="dxa"/>
            <w:left w:w="108" w:type="dxa"/>
            <w:bottom w:w="0" w:type="dxa"/>
            <w:right w:w="108" w:type="dxa"/>
          </w:tblCellMar>
        </w:tblPrEx>
        <w:trPr>
          <w:trHeight w:val="941"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bCs/>
                <w:szCs w:val="21"/>
              </w:rPr>
            </w:pPr>
            <w:r>
              <w:rPr>
                <w:rFonts w:ascii="宋体" w:hAnsi="宋体"/>
                <w:bCs/>
                <w:szCs w:val="21"/>
              </w:rPr>
              <w:t>1.</w:t>
            </w:r>
            <w:r>
              <w:rPr>
                <w:rFonts w:hint="eastAsia" w:ascii="宋体" w:hAnsi="宋体"/>
                <w:bCs/>
                <w:szCs w:val="21"/>
              </w:rPr>
              <w:t>投标文件签署、盖章齐全完整</w:t>
            </w: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bCs/>
                <w:szCs w:val="21"/>
              </w:rPr>
            </w:pP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r>
      <w:tr>
        <w:tblPrEx>
          <w:tblCellMar>
            <w:top w:w="0" w:type="dxa"/>
            <w:left w:w="108" w:type="dxa"/>
            <w:bottom w:w="0" w:type="dxa"/>
            <w:right w:w="108" w:type="dxa"/>
          </w:tblCellMar>
        </w:tblPrEx>
        <w:trPr>
          <w:trHeight w:val="1106"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bCs/>
                <w:szCs w:val="21"/>
              </w:rPr>
            </w:pPr>
            <w:r>
              <w:rPr>
                <w:rFonts w:ascii="宋体" w:hAnsi="宋体"/>
                <w:bCs/>
                <w:szCs w:val="21"/>
              </w:rPr>
              <w:t>2.</w:t>
            </w:r>
            <w:r>
              <w:rPr>
                <w:rFonts w:hint="eastAsia" w:ascii="宋体" w:hAnsi="宋体"/>
                <w:bCs/>
                <w:szCs w:val="21"/>
              </w:rPr>
              <w:t>投标文件有效期满足招标文件要求</w:t>
            </w: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bCs/>
                <w:szCs w:val="21"/>
              </w:rPr>
            </w:pP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r>
      <w:tr>
        <w:tblPrEx>
          <w:tblCellMar>
            <w:top w:w="0" w:type="dxa"/>
            <w:left w:w="108" w:type="dxa"/>
            <w:bottom w:w="0" w:type="dxa"/>
            <w:right w:w="108" w:type="dxa"/>
          </w:tblCellMar>
        </w:tblPrEx>
        <w:trPr>
          <w:trHeight w:val="1594"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bCs/>
                <w:szCs w:val="21"/>
              </w:rPr>
            </w:pPr>
            <w:r>
              <w:rPr>
                <w:rFonts w:ascii="宋体" w:hAnsi="宋体"/>
                <w:bCs/>
                <w:szCs w:val="21"/>
              </w:rPr>
              <w:t>3.</w:t>
            </w:r>
            <w:r>
              <w:rPr>
                <w:rFonts w:hint="eastAsia" w:ascii="宋体" w:hAnsi="宋体"/>
                <w:bCs/>
                <w:szCs w:val="21"/>
              </w:rPr>
              <w:t>结算方式、交货方式等</w:t>
            </w:r>
            <w:r>
              <w:rPr>
                <w:rFonts w:ascii="宋体" w:hAnsi="宋体"/>
                <w:bCs/>
                <w:szCs w:val="21"/>
              </w:rPr>
              <w:t>“</w:t>
            </w:r>
            <w:r>
              <w:rPr>
                <w:rFonts w:hint="eastAsia" w:ascii="宋体" w:hAnsi="宋体"/>
                <w:bCs/>
                <w:szCs w:val="21"/>
              </w:rPr>
              <w:t>★</w:t>
            </w:r>
            <w:r>
              <w:rPr>
                <w:rFonts w:ascii="宋体" w:hAnsi="宋体"/>
                <w:bCs/>
                <w:szCs w:val="21"/>
              </w:rPr>
              <w:t>”号</w:t>
            </w:r>
            <w:r>
              <w:rPr>
                <w:rFonts w:hint="eastAsia" w:ascii="宋体" w:hAnsi="宋体"/>
                <w:bCs/>
                <w:szCs w:val="21"/>
              </w:rPr>
              <w:t>商务</w:t>
            </w:r>
            <w:r>
              <w:rPr>
                <w:rFonts w:ascii="宋体" w:hAnsi="宋体"/>
                <w:bCs/>
                <w:szCs w:val="21"/>
              </w:rPr>
              <w:t>条款</w:t>
            </w:r>
            <w:r>
              <w:rPr>
                <w:rFonts w:hint="eastAsia" w:ascii="宋体" w:hAnsi="宋体"/>
                <w:bCs/>
                <w:szCs w:val="21"/>
              </w:rPr>
              <w:t>满足招标文件要求</w:t>
            </w: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bCs/>
                <w:szCs w:val="21"/>
              </w:rPr>
            </w:pP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宋体" w:hAnsi="宋体"/>
                <w:bCs/>
                <w:szCs w:val="21"/>
              </w:rPr>
            </w:pPr>
            <w:r>
              <w:rPr>
                <w:rFonts w:hint="eastAsia" w:ascii="宋体" w:hAnsi="宋体" w:cs="宋体"/>
                <w:bCs/>
                <w:szCs w:val="21"/>
              </w:rPr>
              <w:t>商务专家对招标文件第五章“采购项目技术和商务要求”中“★”号条款响应情况做出判定</w:t>
            </w:r>
          </w:p>
        </w:tc>
      </w:tr>
      <w:tr>
        <w:tblPrEx>
          <w:tblCellMar>
            <w:top w:w="0" w:type="dxa"/>
            <w:left w:w="108" w:type="dxa"/>
            <w:bottom w:w="0" w:type="dxa"/>
            <w:right w:w="108" w:type="dxa"/>
          </w:tblCellMar>
        </w:tblPrEx>
        <w:trPr>
          <w:trHeight w:val="1441"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bCs/>
                <w:szCs w:val="21"/>
              </w:rPr>
            </w:pPr>
            <w:r>
              <w:rPr>
                <w:rFonts w:ascii="宋体" w:hAnsi="宋体"/>
                <w:bCs/>
                <w:szCs w:val="21"/>
              </w:rPr>
              <w:t>4.</w:t>
            </w:r>
            <w:r>
              <w:rPr>
                <w:rFonts w:hint="eastAsia" w:ascii="宋体" w:hAnsi="宋体"/>
                <w:bCs/>
                <w:szCs w:val="21"/>
              </w:rPr>
              <w:t>技术要求</w:t>
            </w:r>
            <w:r>
              <w:rPr>
                <w:rFonts w:ascii="宋体" w:hAnsi="宋体"/>
                <w:bCs/>
                <w:szCs w:val="21"/>
              </w:rPr>
              <w:t>“</w:t>
            </w:r>
            <w:r>
              <w:rPr>
                <w:rFonts w:hint="eastAsia" w:ascii="宋体" w:hAnsi="宋体"/>
                <w:bCs/>
                <w:szCs w:val="21"/>
              </w:rPr>
              <w:t>★</w:t>
            </w:r>
            <w:r>
              <w:rPr>
                <w:rFonts w:ascii="宋体" w:hAnsi="宋体"/>
                <w:bCs/>
                <w:szCs w:val="21"/>
              </w:rPr>
              <w:t>”号</w:t>
            </w:r>
            <w:r>
              <w:rPr>
                <w:rFonts w:hint="eastAsia" w:ascii="宋体" w:hAnsi="宋体"/>
                <w:bCs/>
                <w:szCs w:val="21"/>
              </w:rPr>
              <w:t>技术</w:t>
            </w:r>
            <w:r>
              <w:rPr>
                <w:rFonts w:ascii="宋体" w:hAnsi="宋体"/>
                <w:bCs/>
                <w:szCs w:val="21"/>
              </w:rPr>
              <w:t>条款</w:t>
            </w:r>
            <w:r>
              <w:rPr>
                <w:rFonts w:hint="eastAsia" w:ascii="宋体" w:hAnsi="宋体"/>
                <w:bCs/>
                <w:szCs w:val="21"/>
              </w:rPr>
              <w:t>满足招标文件要求</w:t>
            </w: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bCs/>
                <w:szCs w:val="21"/>
              </w:rPr>
            </w:pP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r>
              <w:rPr>
                <w:rFonts w:hint="eastAsia" w:ascii="宋体" w:hAnsi="宋体" w:cs="宋体"/>
                <w:bCs/>
                <w:szCs w:val="21"/>
              </w:rPr>
              <w:t>技术专家对招标文件第五章“采购项目技术和商务要求”中“★”号条款响应情况做出判定</w:t>
            </w:r>
          </w:p>
        </w:tc>
      </w:tr>
      <w:tr>
        <w:tblPrEx>
          <w:tblCellMar>
            <w:top w:w="0" w:type="dxa"/>
            <w:left w:w="108" w:type="dxa"/>
            <w:bottom w:w="0" w:type="dxa"/>
            <w:right w:w="108" w:type="dxa"/>
          </w:tblCellMar>
        </w:tblPrEx>
        <w:trPr>
          <w:trHeight w:val="1078" w:hRule="exact"/>
          <w:jc w:val="center"/>
        </w:trPr>
        <w:tc>
          <w:tcPr>
            <w:tcW w:w="384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Cs/>
                <w:szCs w:val="21"/>
              </w:rPr>
            </w:pPr>
            <w:r>
              <w:rPr>
                <w:rFonts w:ascii="宋体" w:hAnsi="宋体"/>
                <w:bCs/>
                <w:szCs w:val="21"/>
              </w:rPr>
              <w:t>5.其他实质性内容（招标文件中明确的其他无效投标情形）</w:t>
            </w: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bCs/>
                <w:szCs w:val="21"/>
              </w:rPr>
            </w:pP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r>
      <w:tr>
        <w:tblPrEx>
          <w:tblCellMar>
            <w:top w:w="0" w:type="dxa"/>
            <w:left w:w="108" w:type="dxa"/>
            <w:bottom w:w="0" w:type="dxa"/>
            <w:right w:w="108" w:type="dxa"/>
          </w:tblCellMar>
        </w:tblPrEx>
        <w:trPr>
          <w:trHeight w:val="728" w:hRule="exact"/>
          <w:jc w:val="center"/>
        </w:trPr>
        <w:tc>
          <w:tcPr>
            <w:tcW w:w="384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Cs/>
                <w:szCs w:val="21"/>
              </w:rPr>
            </w:pPr>
            <w:r>
              <w:rPr>
                <w:rFonts w:hint="eastAsia" w:ascii="宋体" w:hAnsi="宋体" w:cs="宋体"/>
                <w:bCs/>
                <w:szCs w:val="21"/>
              </w:rPr>
              <w:t>综合评定</w:t>
            </w: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bCs/>
                <w:szCs w:val="21"/>
              </w:rPr>
            </w:pP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r>
      <w:tr>
        <w:tblPrEx>
          <w:tblCellMar>
            <w:top w:w="0" w:type="dxa"/>
            <w:left w:w="108" w:type="dxa"/>
            <w:bottom w:w="0" w:type="dxa"/>
            <w:right w:w="108" w:type="dxa"/>
          </w:tblCellMar>
        </w:tblPrEx>
        <w:trPr>
          <w:trHeight w:val="535" w:hRule="atLeast"/>
          <w:jc w:val="center"/>
        </w:trPr>
        <w:tc>
          <w:tcPr>
            <w:tcW w:w="9435" w:type="dxa"/>
            <w:gridSpan w:val="4"/>
            <w:tcBorders>
              <w:top w:val="single" w:color="auto" w:sz="4" w:space="0"/>
              <w:left w:val="single" w:color="auto" w:sz="4" w:space="0"/>
              <w:bottom w:val="single" w:color="auto" w:sz="4" w:space="0"/>
              <w:right w:val="single" w:color="000000" w:sz="4" w:space="0"/>
            </w:tcBorders>
            <w:vAlign w:val="center"/>
          </w:tcPr>
          <w:p>
            <w:pPr>
              <w:widowControl/>
              <w:spacing w:line="240" w:lineRule="exact"/>
              <w:jc w:val="left"/>
              <w:rPr>
                <w:rFonts w:ascii="宋体" w:hAnsi="宋体" w:cs="宋体"/>
                <w:bCs/>
                <w:szCs w:val="21"/>
              </w:rPr>
            </w:pPr>
            <w:r>
              <w:rPr>
                <w:rFonts w:hint="eastAsia" w:ascii="宋体" w:hAnsi="宋体" w:cs="宋体"/>
                <w:bCs/>
                <w:szCs w:val="21"/>
              </w:rPr>
              <w:t>说明：</w:t>
            </w:r>
            <w:r>
              <w:rPr>
                <w:rFonts w:ascii="宋体" w:hAnsi="宋体" w:cs="宋体"/>
                <w:bCs/>
                <w:szCs w:val="21"/>
              </w:rPr>
              <w:t xml:space="preserve">1.合格打“√”, </w:t>
            </w:r>
            <w:r>
              <w:rPr>
                <w:rFonts w:hint="eastAsia" w:ascii="宋体" w:hAnsi="宋体" w:cs="宋体"/>
                <w:bCs/>
                <w:szCs w:val="21"/>
              </w:rPr>
              <w:t>不合格打“×”。</w:t>
            </w:r>
            <w:r>
              <w:rPr>
                <w:rFonts w:ascii="宋体" w:hAnsi="宋体" w:cs="宋体"/>
                <w:bCs/>
                <w:szCs w:val="21"/>
              </w:rPr>
              <w:t>2.有一项内容不合格，综合评定为不合格。</w:t>
            </w:r>
          </w:p>
        </w:tc>
      </w:tr>
    </w:tbl>
    <w:p>
      <w:pPr>
        <w:spacing w:line="560" w:lineRule="exact"/>
        <w:ind w:left="420" w:hanging="420" w:hangingChars="200"/>
        <w:rPr>
          <w:bCs/>
          <w:szCs w:val="21"/>
        </w:rPr>
      </w:pPr>
      <w:r>
        <w:rPr>
          <w:rFonts w:hint="eastAsia"/>
          <w:bCs/>
          <w:szCs w:val="21"/>
        </w:rPr>
        <w:t>评审委员会成员签名：</w:t>
      </w:r>
      <w:r>
        <w:rPr>
          <w:bCs/>
          <w:szCs w:val="21"/>
        </w:rPr>
        <w:t xml:space="preserve">                                                 </w:t>
      </w:r>
      <w:r>
        <w:rPr>
          <w:rFonts w:hint="eastAsia"/>
          <w:bCs/>
          <w:szCs w:val="21"/>
        </w:rPr>
        <w:t>年　　月　　日</w:t>
      </w:r>
    </w:p>
    <w:p>
      <w:pPr>
        <w:rPr>
          <w:rFonts w:ascii="黑体" w:hAnsi="黑体" w:eastAsia="黑体"/>
          <w:bCs/>
          <w:sz w:val="28"/>
          <w:szCs w:val="28"/>
        </w:rPr>
      </w:pPr>
    </w:p>
    <w:p>
      <w:pPr>
        <w:rPr>
          <w:rFonts w:ascii="黑体" w:hAnsi="黑体" w:eastAsia="黑体"/>
          <w:bCs/>
          <w:sz w:val="28"/>
          <w:szCs w:val="28"/>
        </w:rPr>
      </w:pPr>
      <w:r>
        <w:rPr>
          <w:rFonts w:ascii="黑体" w:hAnsi="黑体" w:eastAsia="黑体"/>
          <w:bCs/>
          <w:sz w:val="28"/>
          <w:szCs w:val="28"/>
        </w:rPr>
        <w:br w:type="page"/>
      </w:r>
    </w:p>
    <w:p>
      <w:pPr>
        <w:pStyle w:val="4"/>
        <w:spacing w:before="120" w:beforeLines="50" w:after="120" w:afterLines="50" w:line="560" w:lineRule="exact"/>
        <w:rPr>
          <w:rFonts w:ascii="黑体" w:hAnsi="黑体"/>
          <w:b w:val="0"/>
          <w:sz w:val="28"/>
          <w:szCs w:val="28"/>
        </w:rPr>
      </w:pPr>
      <w:bookmarkStart w:id="479" w:name="_Toc16091"/>
      <w:bookmarkStart w:id="480" w:name="_Toc8196"/>
      <w:bookmarkStart w:id="481" w:name="_Toc27221"/>
      <w:r>
        <w:rPr>
          <w:rFonts w:hint="eastAsia" w:ascii="黑体" w:hAnsi="黑体"/>
          <w:b w:val="0"/>
          <w:sz w:val="28"/>
          <w:szCs w:val="28"/>
        </w:rPr>
        <w:t>附表</w:t>
      </w:r>
      <w:r>
        <w:rPr>
          <w:rFonts w:ascii="黑体" w:hAnsi="黑体"/>
          <w:b w:val="0"/>
          <w:sz w:val="28"/>
          <w:szCs w:val="28"/>
        </w:rPr>
        <w:t xml:space="preserve">3 </w:t>
      </w:r>
      <w:r>
        <w:rPr>
          <w:rFonts w:hint="eastAsia" w:ascii="黑体" w:hAnsi="黑体"/>
          <w:b w:val="0"/>
          <w:sz w:val="28"/>
          <w:szCs w:val="28"/>
        </w:rPr>
        <w:t>商务评审标准表</w:t>
      </w:r>
      <w:bookmarkEnd w:id="479"/>
      <w:bookmarkEnd w:id="480"/>
      <w:bookmarkEnd w:id="481"/>
    </w:p>
    <w:p>
      <w:pPr>
        <w:jc w:val="center"/>
        <w:outlineLvl w:val="9"/>
        <w:rPr>
          <w:rFonts w:hint="eastAsia" w:ascii="Times New Roman" w:hAnsi="Times New Roman" w:eastAsia="宋体" w:cs="Times New Roman"/>
          <w:b/>
          <w:bCs/>
          <w:color w:val="000000"/>
          <w:sz w:val="28"/>
          <w:szCs w:val="36"/>
        </w:rPr>
      </w:pPr>
      <w:bookmarkStart w:id="482" w:name="_Toc23219"/>
      <w:r>
        <w:rPr>
          <w:rFonts w:hint="eastAsia" w:ascii="Times New Roman" w:hAnsi="Times New Roman" w:eastAsia="宋体" w:cs="Times New Roman"/>
          <w:b/>
          <w:bCs/>
          <w:color w:val="000000"/>
          <w:sz w:val="28"/>
          <w:szCs w:val="36"/>
        </w:rPr>
        <w:t>商务评审标准表</w:t>
      </w:r>
      <w:bookmarkEnd w:id="482"/>
    </w:p>
    <w:p>
      <w:pPr>
        <w:rPr>
          <w:rFonts w:hint="eastAsia" w:ascii="方正小标宋简体" w:eastAsia="方正小标宋简体"/>
          <w:color w:val="000000"/>
          <w:sz w:val="36"/>
          <w:szCs w:val="36"/>
        </w:rPr>
      </w:pPr>
      <w:r>
        <w:rPr>
          <w:b/>
          <w:bCs/>
          <w:color w:val="000000"/>
        </w:rPr>
        <w:t>项目名称：</w:t>
      </w:r>
      <w:r>
        <w:rPr>
          <w:b/>
          <w:bCs/>
          <w:color w:val="000000"/>
          <w:u w:val="single"/>
        </w:rPr>
        <w:t xml:space="preserve">          </w:t>
      </w:r>
      <w:r>
        <w:rPr>
          <w:rFonts w:hint="eastAsia"/>
          <w:b/>
          <w:bCs/>
          <w:color w:val="000000"/>
          <w:u w:val="single"/>
        </w:rPr>
        <w:t xml:space="preserve">     </w:t>
      </w:r>
      <w:r>
        <w:rPr>
          <w:b/>
          <w:bCs/>
          <w:color w:val="000000"/>
        </w:rPr>
        <w:t xml:space="preserve">  项目编号：</w:t>
      </w:r>
      <w:r>
        <w:rPr>
          <w:b/>
          <w:bCs/>
          <w:color w:val="000000"/>
          <w:u w:val="single"/>
        </w:rPr>
        <w:t xml:space="preserve">            </w:t>
      </w:r>
      <w:r>
        <w:rPr>
          <w:b/>
          <w:bCs/>
          <w:color w:val="000000"/>
        </w:rPr>
        <w:t xml:space="preserve">       包号：</w:t>
      </w:r>
      <w:r>
        <w:rPr>
          <w:rFonts w:hint="eastAsia"/>
          <w:b/>
          <w:bCs/>
          <w:color w:val="000000"/>
          <w:u w:val="single"/>
        </w:rPr>
        <w:t xml:space="preserve">          </w:t>
      </w:r>
    </w:p>
    <w:tbl>
      <w:tblPr>
        <w:tblStyle w:val="42"/>
        <w:tblW w:w="0" w:type="auto"/>
        <w:jc w:val="center"/>
        <w:tblLayout w:type="fixed"/>
        <w:tblCellMar>
          <w:top w:w="0" w:type="dxa"/>
          <w:left w:w="108" w:type="dxa"/>
          <w:bottom w:w="0" w:type="dxa"/>
          <w:right w:w="108" w:type="dxa"/>
        </w:tblCellMar>
      </w:tblPr>
      <w:tblGrid>
        <w:gridCol w:w="646"/>
        <w:gridCol w:w="1060"/>
        <w:gridCol w:w="6260"/>
        <w:gridCol w:w="1077"/>
      </w:tblGrid>
      <w:tr>
        <w:tblPrEx>
          <w:tblCellMar>
            <w:top w:w="0" w:type="dxa"/>
            <w:left w:w="108" w:type="dxa"/>
            <w:bottom w:w="0" w:type="dxa"/>
            <w:right w:w="108" w:type="dxa"/>
          </w:tblCellMar>
        </w:tblPrEx>
        <w:trPr>
          <w:trHeight w:val="455" w:hRule="atLeast"/>
          <w:jc w:val="center"/>
        </w:trPr>
        <w:tc>
          <w:tcPr>
            <w:tcW w:w="646" w:type="dxa"/>
            <w:tcBorders>
              <w:top w:val="single" w:color="auto" w:sz="4" w:space="0"/>
              <w:left w:val="single" w:color="auto" w:sz="4" w:space="0"/>
              <w:bottom w:val="single" w:color="auto" w:sz="4" w:space="0"/>
              <w:right w:val="single" w:color="auto" w:sz="4" w:space="0"/>
            </w:tcBorders>
            <w:noWrap/>
            <w:vAlign w:val="center"/>
          </w:tcPr>
          <w:p>
            <w:pPr>
              <w:pStyle w:val="159"/>
              <w:spacing w:line="360" w:lineRule="exact"/>
              <w:jc w:val="center"/>
              <w:rPr>
                <w:b/>
                <w:bCs/>
                <w:color w:val="000000"/>
              </w:rPr>
            </w:pPr>
            <w:r>
              <w:rPr>
                <w:rFonts w:hint="eastAsia"/>
                <w:b/>
                <w:bCs/>
                <w:color w:val="000000"/>
              </w:rPr>
              <w:t>序号</w:t>
            </w:r>
          </w:p>
        </w:tc>
        <w:tc>
          <w:tcPr>
            <w:tcW w:w="1060" w:type="dxa"/>
            <w:tcBorders>
              <w:top w:val="single" w:color="auto" w:sz="4" w:space="0"/>
              <w:left w:val="nil"/>
              <w:bottom w:val="single" w:color="auto" w:sz="4" w:space="0"/>
              <w:right w:val="single" w:color="auto" w:sz="4" w:space="0"/>
            </w:tcBorders>
            <w:noWrap/>
            <w:vAlign w:val="center"/>
          </w:tcPr>
          <w:p>
            <w:pPr>
              <w:pStyle w:val="159"/>
              <w:spacing w:line="360" w:lineRule="exact"/>
              <w:jc w:val="center"/>
              <w:rPr>
                <w:b/>
                <w:bCs/>
                <w:color w:val="000000"/>
              </w:rPr>
            </w:pPr>
            <w:r>
              <w:rPr>
                <w:rFonts w:hint="eastAsia"/>
                <w:b/>
                <w:bCs/>
                <w:color w:val="000000"/>
              </w:rPr>
              <w:t>评审项目</w:t>
            </w:r>
          </w:p>
        </w:tc>
        <w:tc>
          <w:tcPr>
            <w:tcW w:w="6260" w:type="dxa"/>
            <w:tcBorders>
              <w:top w:val="single" w:color="auto" w:sz="4" w:space="0"/>
              <w:left w:val="nil"/>
              <w:bottom w:val="single" w:color="auto" w:sz="4" w:space="0"/>
              <w:right w:val="single" w:color="auto" w:sz="4" w:space="0"/>
            </w:tcBorders>
            <w:noWrap/>
            <w:vAlign w:val="center"/>
          </w:tcPr>
          <w:p>
            <w:pPr>
              <w:pStyle w:val="159"/>
              <w:spacing w:line="360" w:lineRule="exact"/>
              <w:jc w:val="center"/>
              <w:rPr>
                <w:b/>
                <w:bCs/>
                <w:color w:val="000000"/>
              </w:rPr>
            </w:pPr>
            <w:r>
              <w:rPr>
                <w:rFonts w:hint="eastAsia"/>
                <w:b/>
                <w:bCs/>
                <w:color w:val="000000"/>
              </w:rPr>
              <w:t>评审内容及规则</w:t>
            </w:r>
          </w:p>
        </w:tc>
        <w:tc>
          <w:tcPr>
            <w:tcW w:w="1077" w:type="dxa"/>
            <w:tcBorders>
              <w:top w:val="single" w:color="auto" w:sz="4" w:space="0"/>
              <w:left w:val="nil"/>
              <w:bottom w:val="single" w:color="auto" w:sz="4" w:space="0"/>
              <w:right w:val="single" w:color="auto" w:sz="4" w:space="0"/>
            </w:tcBorders>
            <w:noWrap/>
            <w:vAlign w:val="center"/>
          </w:tcPr>
          <w:p>
            <w:pPr>
              <w:pStyle w:val="159"/>
              <w:spacing w:line="360" w:lineRule="exact"/>
              <w:jc w:val="center"/>
              <w:rPr>
                <w:b/>
                <w:bCs/>
                <w:color w:val="000000"/>
              </w:rPr>
            </w:pPr>
            <w:r>
              <w:rPr>
                <w:rFonts w:hint="eastAsia"/>
                <w:b/>
                <w:bCs/>
                <w:color w:val="000000"/>
              </w:rPr>
              <w:t>标准分值</w:t>
            </w:r>
          </w:p>
        </w:tc>
      </w:tr>
      <w:tr>
        <w:tblPrEx>
          <w:tblCellMar>
            <w:top w:w="0" w:type="dxa"/>
            <w:left w:w="108" w:type="dxa"/>
            <w:bottom w:w="0" w:type="dxa"/>
            <w:right w:w="108" w:type="dxa"/>
          </w:tblCellMar>
        </w:tblPrEx>
        <w:trPr>
          <w:trHeight w:val="340" w:hRule="atLeast"/>
          <w:jc w:val="center"/>
        </w:trPr>
        <w:tc>
          <w:tcPr>
            <w:tcW w:w="646" w:type="dxa"/>
            <w:tcBorders>
              <w:top w:val="single" w:color="auto" w:sz="4" w:space="0"/>
              <w:left w:val="single" w:color="auto" w:sz="4" w:space="0"/>
              <w:bottom w:val="single" w:color="auto" w:sz="4" w:space="0"/>
              <w:right w:val="single" w:color="auto" w:sz="4" w:space="0"/>
            </w:tcBorders>
            <w:noWrap/>
            <w:vAlign w:val="center"/>
          </w:tcPr>
          <w:p>
            <w:pPr>
              <w:pStyle w:val="159"/>
              <w:spacing w:line="360" w:lineRule="exact"/>
              <w:jc w:val="center"/>
              <w:rPr>
                <w:rFonts w:hint="eastAsia" w:eastAsia="宋体"/>
                <w:color w:val="000000"/>
                <w:lang w:eastAsia="zh-CN"/>
              </w:rPr>
            </w:pPr>
            <w:r>
              <w:rPr>
                <w:rFonts w:hint="eastAsia"/>
                <w:color w:val="000000"/>
                <w:lang w:eastAsia="zh-CN"/>
              </w:rPr>
              <w:t>一</w:t>
            </w:r>
          </w:p>
        </w:tc>
        <w:tc>
          <w:tcPr>
            <w:tcW w:w="1060" w:type="dxa"/>
            <w:tcBorders>
              <w:top w:val="single" w:color="auto" w:sz="4" w:space="0"/>
              <w:left w:val="single" w:color="auto" w:sz="4" w:space="0"/>
              <w:bottom w:val="single" w:color="auto" w:sz="4" w:space="0"/>
              <w:right w:val="single" w:color="auto" w:sz="4" w:space="0"/>
            </w:tcBorders>
            <w:noWrap/>
            <w:vAlign w:val="center"/>
          </w:tcPr>
          <w:p>
            <w:pPr>
              <w:pStyle w:val="159"/>
              <w:spacing w:line="360" w:lineRule="exact"/>
              <w:jc w:val="center"/>
              <w:rPr>
                <w:rFonts w:hint="eastAsia" w:ascii="宋体" w:hAnsi="宋体" w:eastAsia="宋体" w:cs="宋体"/>
                <w:color w:val="000000"/>
                <w:sz w:val="21"/>
                <w:szCs w:val="21"/>
                <w:lang w:eastAsia="zh-CN"/>
              </w:rPr>
            </w:pPr>
            <w:r>
              <w:rPr>
                <w:rFonts w:hint="eastAsia" w:ascii="宋体" w:hAnsi="宋体" w:cs="宋体"/>
                <w:color w:val="000000"/>
                <w:sz w:val="21"/>
                <w:szCs w:val="21"/>
                <w:lang w:eastAsia="zh-CN"/>
              </w:rPr>
              <w:t>价格</w:t>
            </w:r>
          </w:p>
        </w:tc>
        <w:tc>
          <w:tcPr>
            <w:tcW w:w="6260" w:type="dxa"/>
            <w:tcBorders>
              <w:top w:val="single" w:color="auto" w:sz="4" w:space="0"/>
              <w:left w:val="single" w:color="auto" w:sz="4" w:space="0"/>
              <w:bottom w:val="single" w:color="auto" w:sz="4" w:space="0"/>
              <w:right w:val="single" w:color="auto" w:sz="4" w:space="0"/>
            </w:tcBorders>
            <w:noWrap w:val="0"/>
            <w:vAlign w:val="center"/>
          </w:tcPr>
          <w:p>
            <w:pPr>
              <w:pStyle w:val="159"/>
              <w:spacing w:line="44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以所有通过资格性和符合性审查的投标人中的最低报价为评审基准价。价格得分=评审基准价÷报价×标准分值</w:t>
            </w:r>
          </w:p>
          <w:p>
            <w:pPr>
              <w:spacing w:line="360" w:lineRule="exact"/>
              <w:ind w:firstLine="420" w:firstLineChars="200"/>
              <w:rPr>
                <w:rFonts w:hint="eastAsia"/>
              </w:rPr>
            </w:pPr>
            <w:r>
              <w:rPr>
                <w:rFonts w:hint="eastAsia" w:ascii="宋体" w:hAnsi="宋体" w:eastAsia="宋体" w:cs="宋体"/>
                <w:color w:val="000000"/>
                <w:sz w:val="21"/>
                <w:szCs w:val="21"/>
              </w:rPr>
              <w:t>计算过程中，有小数点的保留两位小数，小数点后第三位“四舍五入”。</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pStyle w:val="159"/>
              <w:spacing w:line="360" w:lineRule="exact"/>
              <w:jc w:val="center"/>
              <w:rPr>
                <w:rFonts w:hint="eastAsia" w:ascii="宋体" w:hAnsi="宋体" w:cs="宋体"/>
                <w:color w:val="000000"/>
                <w:sz w:val="21"/>
                <w:szCs w:val="21"/>
              </w:rPr>
            </w:pPr>
            <w:r>
              <w:rPr>
                <w:rFonts w:hint="eastAsia" w:ascii="宋体" w:hAnsi="宋体" w:cs="宋体"/>
                <w:color w:val="000000"/>
                <w:sz w:val="21"/>
                <w:szCs w:val="21"/>
              </w:rPr>
              <w:t>30分</w:t>
            </w:r>
          </w:p>
        </w:tc>
      </w:tr>
      <w:tr>
        <w:tblPrEx>
          <w:tblCellMar>
            <w:top w:w="0" w:type="dxa"/>
            <w:left w:w="108" w:type="dxa"/>
            <w:bottom w:w="0" w:type="dxa"/>
            <w:right w:w="108" w:type="dxa"/>
          </w:tblCellMar>
        </w:tblPrEx>
        <w:trPr>
          <w:trHeight w:val="3960" w:hRule="atLeast"/>
          <w:jc w:val="center"/>
        </w:trPr>
        <w:tc>
          <w:tcPr>
            <w:tcW w:w="646" w:type="dxa"/>
            <w:tcBorders>
              <w:top w:val="single" w:color="auto" w:sz="4" w:space="0"/>
              <w:left w:val="single" w:color="auto" w:sz="4" w:space="0"/>
              <w:bottom w:val="single" w:color="auto" w:sz="4" w:space="0"/>
              <w:right w:val="single" w:color="auto" w:sz="4" w:space="0"/>
            </w:tcBorders>
            <w:noWrap/>
            <w:vAlign w:val="center"/>
          </w:tcPr>
          <w:p>
            <w:pPr>
              <w:pStyle w:val="159"/>
              <w:spacing w:line="360" w:lineRule="exact"/>
              <w:jc w:val="center"/>
              <w:rPr>
                <w:rFonts w:hint="eastAsia"/>
                <w:color w:val="000000"/>
              </w:rPr>
            </w:pPr>
            <w:r>
              <w:rPr>
                <w:rFonts w:hint="eastAsia"/>
                <w:color w:val="000000"/>
              </w:rPr>
              <w:t>二</w:t>
            </w:r>
          </w:p>
        </w:tc>
        <w:tc>
          <w:tcPr>
            <w:tcW w:w="1060" w:type="dxa"/>
            <w:tcBorders>
              <w:top w:val="single" w:color="auto" w:sz="4" w:space="0"/>
              <w:left w:val="single" w:color="auto" w:sz="4" w:space="0"/>
              <w:bottom w:val="single" w:color="auto" w:sz="4" w:space="0"/>
              <w:right w:val="single" w:color="auto" w:sz="4" w:space="0"/>
            </w:tcBorders>
            <w:noWrap/>
            <w:vAlign w:val="center"/>
          </w:tcPr>
          <w:p>
            <w:pPr>
              <w:pStyle w:val="159"/>
              <w:spacing w:line="360" w:lineRule="exact"/>
              <w:jc w:val="center"/>
              <w:rPr>
                <w:rFonts w:hint="eastAsia" w:ascii="宋体" w:hAnsi="宋体" w:cs="宋体"/>
                <w:color w:val="000000"/>
                <w:sz w:val="21"/>
                <w:szCs w:val="21"/>
              </w:rPr>
            </w:pPr>
            <w:r>
              <w:rPr>
                <w:rFonts w:hint="eastAsia" w:ascii="宋体" w:hAnsi="宋体" w:cs="宋体"/>
                <w:color w:val="000000"/>
                <w:sz w:val="21"/>
                <w:szCs w:val="21"/>
              </w:rPr>
              <w:t>产品业绩</w:t>
            </w:r>
          </w:p>
        </w:tc>
        <w:tc>
          <w:tcPr>
            <w:tcW w:w="62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s="宋体"/>
                <w:color w:val="000000"/>
                <w:sz w:val="21"/>
                <w:szCs w:val="21"/>
              </w:rPr>
            </w:pPr>
            <w:r>
              <w:rPr>
                <w:rFonts w:hint="eastAsia" w:ascii="宋体" w:hAnsi="宋体" w:cs="宋体"/>
                <w:sz w:val="21"/>
                <w:szCs w:val="21"/>
              </w:rPr>
              <w:t>比较近三年（截止开标时间）所投产品在三甲医院或高等科研院所的销售业绩。</w:t>
            </w:r>
            <w:r>
              <w:rPr>
                <w:rFonts w:hint="eastAsia" w:ascii="宋体" w:hAnsi="宋体" w:cs="宋体"/>
                <w:color w:val="000000"/>
                <w:sz w:val="21"/>
                <w:szCs w:val="21"/>
              </w:rPr>
              <w:t>以提供的销售合同复印件为准，</w:t>
            </w:r>
            <w:r>
              <w:rPr>
                <w:rFonts w:hint="eastAsia" w:ascii="宋体" w:hAnsi="宋体" w:cs="宋体"/>
                <w:color w:val="000000"/>
                <w:sz w:val="21"/>
                <w:szCs w:val="21"/>
                <w:lang w:val="en-US" w:eastAsia="zh-CN"/>
              </w:rPr>
              <w:t>最多</w:t>
            </w:r>
            <w:r>
              <w:rPr>
                <w:rFonts w:hint="eastAsia" w:ascii="宋体" w:hAnsi="宋体" w:cs="宋体"/>
                <w:color w:val="000000"/>
                <w:sz w:val="21"/>
                <w:szCs w:val="21"/>
              </w:rPr>
              <w:t>提供10份销售合同并附对应的银行存款进账凭证或往来货款结算证明为准。报价方为生产企业时，提供报价方销售合同。报价方为代理商时，可以提供报价方代理销售合同，或提供生产企业销售合同；提供生产企业销售合同时，报价方代理销售合同无效。未盖章或盖章不清晰、总金额或数量不清晰的合同无效。</w:t>
            </w:r>
          </w:p>
          <w:p>
            <w:pPr>
              <w:spacing w:line="360" w:lineRule="exact"/>
              <w:rPr>
                <w:rFonts w:hint="eastAsia" w:ascii="宋体" w:hAnsi="宋体" w:cs="宋体"/>
                <w:color w:val="000000"/>
                <w:sz w:val="21"/>
                <w:szCs w:val="21"/>
              </w:rPr>
            </w:pPr>
            <w:r>
              <w:rPr>
                <w:rFonts w:hint="eastAsia" w:ascii="宋体" w:hAnsi="宋体" w:cs="宋体"/>
                <w:color w:val="000000"/>
                <w:sz w:val="21"/>
                <w:szCs w:val="21"/>
              </w:rPr>
              <w:t>业绩得分=（所投产品业绩/基准业绩）×标准分值</w:t>
            </w:r>
          </w:p>
          <w:p>
            <w:pPr>
              <w:spacing w:line="360" w:lineRule="exact"/>
              <w:rPr>
                <w:rFonts w:hint="eastAsia" w:ascii="宋体" w:hAnsi="宋体" w:eastAsia="宋体" w:cs="宋体"/>
                <w:color w:val="000000"/>
                <w:sz w:val="21"/>
                <w:szCs w:val="21"/>
                <w:highlight w:val="yellow"/>
                <w:lang w:eastAsia="zh-CN"/>
              </w:rPr>
            </w:pPr>
            <w:r>
              <w:rPr>
                <w:rFonts w:hint="eastAsia" w:ascii="宋体" w:hAnsi="宋体" w:cs="宋体"/>
                <w:color w:val="000000"/>
                <w:sz w:val="21"/>
                <w:szCs w:val="21"/>
              </w:rPr>
              <w:t>基准业绩=近三年（截止开标时间）有效合同</w:t>
            </w:r>
            <w:r>
              <w:rPr>
                <w:rFonts w:hint="eastAsia" w:ascii="宋体" w:hAnsi="宋体" w:cs="宋体"/>
                <w:color w:val="000000"/>
                <w:sz w:val="21"/>
                <w:szCs w:val="21"/>
                <w:lang w:eastAsia="zh-CN"/>
              </w:rPr>
              <w:t>中</w:t>
            </w:r>
            <w:r>
              <w:rPr>
                <w:rFonts w:hint="eastAsia" w:ascii="宋体" w:hAnsi="宋体" w:cs="宋体"/>
                <w:color w:val="000000"/>
                <w:sz w:val="21"/>
                <w:szCs w:val="21"/>
              </w:rPr>
              <w:t>所投产品累计销售</w:t>
            </w:r>
            <w:r>
              <w:rPr>
                <w:rFonts w:hint="eastAsia" w:ascii="宋体" w:hAnsi="宋体" w:cs="宋体"/>
                <w:color w:val="000000"/>
                <w:sz w:val="21"/>
                <w:szCs w:val="21"/>
                <w:highlight w:val="none"/>
                <w:lang w:eastAsia="zh-CN"/>
              </w:rPr>
              <w:t>总数量（累计销售总数量是指单个投标人所投产品最高数量）</w:t>
            </w:r>
            <w:r>
              <w:rPr>
                <w:rFonts w:hint="eastAsia" w:ascii="宋体" w:hAnsi="宋体" w:cs="宋体"/>
                <w:color w:val="000000"/>
                <w:sz w:val="21"/>
                <w:szCs w:val="21"/>
                <w:lang w:eastAsia="zh-CN"/>
              </w:rPr>
              <w:t>。</w:t>
            </w:r>
          </w:p>
          <w:p>
            <w:pPr>
              <w:spacing w:line="360" w:lineRule="exact"/>
              <w:rPr>
                <w:rFonts w:hint="eastAsia" w:ascii="宋体" w:hAnsi="宋体" w:cs="宋体"/>
                <w:color w:val="000000"/>
                <w:sz w:val="21"/>
                <w:szCs w:val="21"/>
              </w:rPr>
            </w:pPr>
            <w:r>
              <w:rPr>
                <w:rFonts w:hint="eastAsia" w:ascii="宋体" w:hAnsi="宋体" w:cs="宋体"/>
                <w:color w:val="000000"/>
                <w:sz w:val="21"/>
                <w:szCs w:val="21"/>
              </w:rPr>
              <w:t>计算过程有小数点的保留两位小数，小数点后第三位“四舍五入”</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pStyle w:val="159"/>
              <w:spacing w:line="360" w:lineRule="exact"/>
              <w:jc w:val="center"/>
              <w:rPr>
                <w:rFonts w:hint="eastAsia" w:ascii="宋体" w:hAnsi="宋体" w:cs="宋体"/>
                <w:color w:val="000000"/>
                <w:sz w:val="21"/>
                <w:szCs w:val="21"/>
              </w:rPr>
            </w:pPr>
            <w:r>
              <w:rPr>
                <w:rFonts w:hint="eastAsia" w:ascii="宋体" w:hAnsi="宋体" w:cs="宋体"/>
                <w:color w:val="000000"/>
                <w:sz w:val="21"/>
                <w:szCs w:val="21"/>
              </w:rPr>
              <w:t>4分</w:t>
            </w:r>
          </w:p>
        </w:tc>
      </w:tr>
      <w:tr>
        <w:tblPrEx>
          <w:tblCellMar>
            <w:top w:w="0" w:type="dxa"/>
            <w:left w:w="108" w:type="dxa"/>
            <w:bottom w:w="0" w:type="dxa"/>
            <w:right w:w="108" w:type="dxa"/>
          </w:tblCellMar>
        </w:tblPrEx>
        <w:trPr>
          <w:trHeight w:val="340" w:hRule="atLeast"/>
          <w:jc w:val="center"/>
        </w:trPr>
        <w:tc>
          <w:tcPr>
            <w:tcW w:w="646" w:type="dxa"/>
            <w:vMerge w:val="restart"/>
            <w:tcBorders>
              <w:top w:val="single" w:color="auto" w:sz="4" w:space="0"/>
              <w:left w:val="single" w:color="auto" w:sz="4" w:space="0"/>
              <w:bottom w:val="single" w:color="auto" w:sz="4" w:space="0"/>
              <w:right w:val="single" w:color="auto" w:sz="4" w:space="0"/>
            </w:tcBorders>
            <w:noWrap/>
            <w:vAlign w:val="center"/>
          </w:tcPr>
          <w:p>
            <w:pPr>
              <w:pStyle w:val="159"/>
              <w:spacing w:line="360" w:lineRule="exact"/>
              <w:jc w:val="center"/>
              <w:rPr>
                <w:rFonts w:hint="eastAsia"/>
                <w:color w:val="000000"/>
              </w:rPr>
            </w:pPr>
            <w:r>
              <w:rPr>
                <w:rFonts w:hint="eastAsia"/>
                <w:color w:val="000000"/>
              </w:rPr>
              <w:t>三</w:t>
            </w:r>
          </w:p>
        </w:tc>
        <w:tc>
          <w:tcPr>
            <w:tcW w:w="1060" w:type="dxa"/>
            <w:vMerge w:val="restart"/>
            <w:tcBorders>
              <w:top w:val="single" w:color="auto" w:sz="4" w:space="0"/>
              <w:left w:val="single" w:color="auto" w:sz="4" w:space="0"/>
              <w:bottom w:val="single" w:color="auto" w:sz="4" w:space="0"/>
              <w:right w:val="single" w:color="auto" w:sz="4" w:space="0"/>
            </w:tcBorders>
            <w:noWrap/>
            <w:vAlign w:val="center"/>
          </w:tcPr>
          <w:p>
            <w:pPr>
              <w:pStyle w:val="159"/>
              <w:spacing w:line="360" w:lineRule="exact"/>
              <w:jc w:val="center"/>
              <w:rPr>
                <w:rFonts w:hint="eastAsia" w:ascii="宋体" w:hAnsi="宋体" w:cs="宋体"/>
                <w:color w:val="000000"/>
                <w:sz w:val="21"/>
                <w:szCs w:val="21"/>
              </w:rPr>
            </w:pPr>
            <w:r>
              <w:rPr>
                <w:rFonts w:hint="eastAsia" w:ascii="宋体" w:hAnsi="宋体" w:cs="宋体"/>
                <w:color w:val="000000"/>
                <w:sz w:val="21"/>
                <w:szCs w:val="21"/>
              </w:rPr>
              <w:t>企业规模</w:t>
            </w:r>
          </w:p>
        </w:tc>
        <w:tc>
          <w:tcPr>
            <w:tcW w:w="6260" w:type="dxa"/>
            <w:tcBorders>
              <w:top w:val="single" w:color="auto" w:sz="4" w:space="0"/>
              <w:left w:val="single" w:color="auto" w:sz="4" w:space="0"/>
              <w:bottom w:val="single" w:color="auto" w:sz="4" w:space="0"/>
              <w:right w:val="single" w:color="auto" w:sz="4" w:space="0"/>
            </w:tcBorders>
            <w:noWrap w:val="0"/>
            <w:vAlign w:val="center"/>
          </w:tcPr>
          <w:p>
            <w:pPr>
              <w:pStyle w:val="159"/>
              <w:spacing w:line="360" w:lineRule="exact"/>
              <w:rPr>
                <w:rFonts w:hint="eastAsia" w:ascii="宋体" w:hAnsi="宋体" w:cs="宋体"/>
                <w:color w:val="000000"/>
                <w:sz w:val="21"/>
                <w:szCs w:val="21"/>
              </w:rPr>
            </w:pPr>
            <w:r>
              <w:rPr>
                <w:rFonts w:hint="eastAsia" w:ascii="宋体" w:hAnsi="宋体" w:cs="宋体"/>
                <w:color w:val="000000"/>
                <w:sz w:val="21"/>
                <w:szCs w:val="21"/>
              </w:rPr>
              <w:t>1.根据投标人近</w:t>
            </w:r>
            <w:r>
              <w:rPr>
                <w:rFonts w:hint="eastAsia" w:ascii="宋体" w:hAnsi="宋体" w:cs="宋体"/>
                <w:color w:val="000000"/>
                <w:sz w:val="21"/>
                <w:szCs w:val="21"/>
                <w:lang w:eastAsia="zh-CN"/>
              </w:rPr>
              <w:t>三年</w:t>
            </w:r>
            <w:r>
              <w:rPr>
                <w:rFonts w:hint="eastAsia" w:ascii="宋体" w:hAnsi="宋体" w:cs="宋体"/>
                <w:sz w:val="21"/>
                <w:szCs w:val="21"/>
              </w:rPr>
              <w:t>（</w:t>
            </w:r>
            <w:r>
              <w:rPr>
                <w:rFonts w:hint="eastAsia" w:ascii="宋体" w:hAnsi="宋体" w:cs="宋体"/>
                <w:sz w:val="21"/>
                <w:szCs w:val="21"/>
                <w:lang w:val="en-US" w:eastAsia="zh-CN"/>
              </w:rPr>
              <w:t>2020-2022年</w:t>
            </w:r>
            <w:r>
              <w:rPr>
                <w:rFonts w:hint="eastAsia" w:ascii="宋体" w:hAnsi="宋体" w:cs="宋体"/>
                <w:sz w:val="21"/>
                <w:szCs w:val="21"/>
              </w:rPr>
              <w:t>）</w:t>
            </w:r>
            <w:r>
              <w:rPr>
                <w:rFonts w:hint="eastAsia" w:ascii="宋体" w:hAnsi="宋体" w:cs="宋体"/>
                <w:color w:val="000000"/>
                <w:sz w:val="21"/>
                <w:szCs w:val="21"/>
                <w:lang w:eastAsia="zh-CN"/>
              </w:rPr>
              <w:t>平均</w:t>
            </w:r>
            <w:r>
              <w:rPr>
                <w:rFonts w:hint="eastAsia" w:ascii="宋体" w:hAnsi="宋体" w:cs="宋体"/>
                <w:color w:val="000000"/>
                <w:sz w:val="21"/>
                <w:szCs w:val="21"/>
              </w:rPr>
              <w:t>资产总额进行评分，第一名得1分，依次递减0.2分。</w:t>
            </w:r>
          </w:p>
          <w:p>
            <w:pPr>
              <w:pStyle w:val="159"/>
              <w:spacing w:line="360" w:lineRule="exact"/>
              <w:rPr>
                <w:rFonts w:hint="eastAsia" w:ascii="宋体" w:hAnsi="宋体" w:cs="宋体"/>
                <w:color w:val="000000"/>
                <w:sz w:val="21"/>
                <w:szCs w:val="21"/>
              </w:rPr>
            </w:pPr>
            <w:r>
              <w:rPr>
                <w:rFonts w:hint="eastAsia" w:ascii="宋体" w:hAnsi="宋体" w:cs="宋体"/>
                <w:color w:val="000000"/>
                <w:sz w:val="21"/>
                <w:szCs w:val="21"/>
              </w:rPr>
              <w:t>【以第三方会计事务所或审计机构出具的财务审计报告中显示的数据为准，未提供的得0分】</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59"/>
              <w:spacing w:line="360" w:lineRule="exac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CellMar>
            <w:top w:w="0" w:type="dxa"/>
            <w:left w:w="108" w:type="dxa"/>
            <w:bottom w:w="0" w:type="dxa"/>
            <w:right w:w="108" w:type="dxa"/>
          </w:tblCellMar>
        </w:tblPrEx>
        <w:trPr>
          <w:trHeight w:val="340" w:hRule="atLeast"/>
          <w:jc w:val="center"/>
        </w:trPr>
        <w:tc>
          <w:tcPr>
            <w:tcW w:w="646" w:type="dxa"/>
            <w:vMerge w:val="continue"/>
            <w:tcBorders>
              <w:top w:val="single" w:color="auto" w:sz="4" w:space="0"/>
              <w:left w:val="single" w:color="auto" w:sz="4" w:space="0"/>
              <w:bottom w:val="single" w:color="auto" w:sz="4" w:space="0"/>
              <w:right w:val="single" w:color="auto" w:sz="4" w:space="0"/>
            </w:tcBorders>
            <w:noWrap/>
            <w:vAlign w:val="center"/>
          </w:tcPr>
          <w:p>
            <w:pPr>
              <w:pStyle w:val="159"/>
              <w:spacing w:line="360" w:lineRule="exact"/>
              <w:jc w:val="center"/>
              <w:rPr>
                <w:color w:val="000000"/>
              </w:rPr>
            </w:pPr>
          </w:p>
        </w:tc>
        <w:tc>
          <w:tcPr>
            <w:tcW w:w="1060" w:type="dxa"/>
            <w:vMerge w:val="continue"/>
            <w:tcBorders>
              <w:top w:val="single" w:color="auto" w:sz="4" w:space="0"/>
              <w:left w:val="single" w:color="auto" w:sz="4" w:space="0"/>
              <w:bottom w:val="single" w:color="auto" w:sz="4" w:space="0"/>
              <w:right w:val="single" w:color="auto" w:sz="4" w:space="0"/>
            </w:tcBorders>
            <w:noWrap/>
            <w:vAlign w:val="center"/>
          </w:tcPr>
          <w:p>
            <w:pPr>
              <w:pStyle w:val="159"/>
              <w:spacing w:line="360" w:lineRule="exact"/>
              <w:jc w:val="center"/>
              <w:rPr>
                <w:rFonts w:hint="eastAsia" w:ascii="宋体" w:hAnsi="宋体" w:cs="宋体"/>
                <w:color w:val="000000"/>
                <w:sz w:val="21"/>
                <w:szCs w:val="21"/>
              </w:rPr>
            </w:pPr>
          </w:p>
        </w:tc>
        <w:tc>
          <w:tcPr>
            <w:tcW w:w="6260" w:type="dxa"/>
            <w:tcBorders>
              <w:top w:val="single" w:color="auto" w:sz="4" w:space="0"/>
              <w:left w:val="single" w:color="auto" w:sz="4" w:space="0"/>
              <w:bottom w:val="single" w:color="auto" w:sz="4" w:space="0"/>
              <w:right w:val="single" w:color="auto" w:sz="4" w:space="0"/>
            </w:tcBorders>
            <w:noWrap w:val="0"/>
            <w:vAlign w:val="center"/>
          </w:tcPr>
          <w:p>
            <w:pPr>
              <w:pStyle w:val="159"/>
              <w:spacing w:line="360" w:lineRule="exact"/>
              <w:rPr>
                <w:rFonts w:hint="eastAsia" w:ascii="宋体" w:hAnsi="宋体" w:cs="宋体"/>
                <w:color w:val="000000"/>
                <w:sz w:val="21"/>
                <w:szCs w:val="21"/>
              </w:rPr>
            </w:pPr>
            <w:r>
              <w:rPr>
                <w:rFonts w:hint="eastAsia" w:ascii="宋体" w:hAnsi="宋体" w:cs="宋体"/>
                <w:color w:val="000000"/>
                <w:sz w:val="21"/>
                <w:szCs w:val="21"/>
              </w:rPr>
              <w:t>2.根据投标人缴纳社保人数由大至小排名，第一名得1分，依次递减0.2分。</w:t>
            </w:r>
          </w:p>
          <w:p>
            <w:pPr>
              <w:pStyle w:val="159"/>
              <w:spacing w:line="360" w:lineRule="exact"/>
              <w:rPr>
                <w:rFonts w:hint="eastAsia" w:ascii="宋体" w:hAnsi="宋体" w:cs="宋体"/>
                <w:color w:val="000000"/>
                <w:sz w:val="21"/>
                <w:szCs w:val="21"/>
              </w:rPr>
            </w:pPr>
            <w:r>
              <w:rPr>
                <w:rFonts w:hint="eastAsia" w:ascii="宋体" w:hAnsi="宋体" w:cs="宋体"/>
                <w:color w:val="000000"/>
                <w:sz w:val="21"/>
                <w:szCs w:val="21"/>
              </w:rPr>
              <w:t>【提供社保机构出具的缴纳证明材料（截止时间至少为开标前的2个月），以正常参保人数进行评审，证明材料不清晰或资料不全的不得计为有效人数，企业未缴纳社保或未提供的得0分】</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59"/>
              <w:spacing w:line="360" w:lineRule="exac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CellMar>
            <w:top w:w="0" w:type="dxa"/>
            <w:left w:w="108" w:type="dxa"/>
            <w:bottom w:w="0" w:type="dxa"/>
            <w:right w:w="108" w:type="dxa"/>
          </w:tblCellMar>
        </w:tblPrEx>
        <w:trPr>
          <w:trHeight w:val="340" w:hRule="atLeast"/>
          <w:jc w:val="center"/>
        </w:trPr>
        <w:tc>
          <w:tcPr>
            <w:tcW w:w="646" w:type="dxa"/>
            <w:vMerge w:val="restart"/>
            <w:tcBorders>
              <w:top w:val="single" w:color="auto" w:sz="4" w:space="0"/>
              <w:left w:val="single" w:color="auto" w:sz="4" w:space="0"/>
              <w:right w:val="single" w:color="auto" w:sz="4" w:space="0"/>
            </w:tcBorders>
            <w:noWrap/>
            <w:vAlign w:val="center"/>
          </w:tcPr>
          <w:p>
            <w:pPr>
              <w:pStyle w:val="159"/>
              <w:spacing w:line="360" w:lineRule="exact"/>
              <w:jc w:val="center"/>
              <w:rPr>
                <w:rFonts w:hint="eastAsia"/>
                <w:color w:val="000000"/>
              </w:rPr>
            </w:pPr>
            <w:r>
              <w:rPr>
                <w:rFonts w:hint="eastAsia"/>
                <w:color w:val="000000"/>
              </w:rPr>
              <w:t>四</w:t>
            </w:r>
          </w:p>
        </w:tc>
        <w:tc>
          <w:tcPr>
            <w:tcW w:w="1060" w:type="dxa"/>
            <w:vMerge w:val="restart"/>
            <w:tcBorders>
              <w:top w:val="single" w:color="auto" w:sz="4" w:space="0"/>
              <w:left w:val="single" w:color="auto" w:sz="4" w:space="0"/>
              <w:right w:val="single" w:color="auto" w:sz="4" w:space="0"/>
            </w:tcBorders>
            <w:noWrap/>
            <w:vAlign w:val="center"/>
          </w:tcPr>
          <w:p>
            <w:pPr>
              <w:pStyle w:val="159"/>
              <w:spacing w:line="360" w:lineRule="exact"/>
              <w:jc w:val="center"/>
              <w:rPr>
                <w:rFonts w:hint="eastAsia" w:ascii="宋体" w:hAnsi="宋体" w:cs="宋体"/>
                <w:color w:val="000000"/>
                <w:sz w:val="21"/>
                <w:szCs w:val="21"/>
              </w:rPr>
            </w:pPr>
            <w:r>
              <w:rPr>
                <w:rFonts w:hint="eastAsia" w:ascii="宋体" w:hAnsi="宋体" w:cs="宋体"/>
                <w:color w:val="000000"/>
                <w:sz w:val="21"/>
                <w:szCs w:val="21"/>
              </w:rPr>
              <w:t>信誉</w:t>
            </w:r>
          </w:p>
        </w:tc>
        <w:tc>
          <w:tcPr>
            <w:tcW w:w="62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cs="宋体"/>
                <w:color w:val="000000"/>
                <w:sz w:val="21"/>
                <w:szCs w:val="21"/>
              </w:rPr>
            </w:pPr>
            <w:r>
              <w:rPr>
                <w:rFonts w:hint="eastAsia" w:ascii="宋体" w:hAnsi="宋体" w:cs="宋体"/>
                <w:color w:val="000000"/>
                <w:sz w:val="21"/>
                <w:szCs w:val="21"/>
              </w:rPr>
              <w:t>1.投标人近</w:t>
            </w:r>
            <w:r>
              <w:rPr>
                <w:rFonts w:hint="eastAsia" w:ascii="宋体" w:hAnsi="宋体" w:cs="宋体"/>
                <w:color w:val="000000"/>
                <w:sz w:val="21"/>
                <w:szCs w:val="21"/>
                <w:lang w:eastAsia="zh-CN"/>
              </w:rPr>
              <w:t>两</w:t>
            </w:r>
            <w:r>
              <w:rPr>
                <w:rFonts w:hint="eastAsia" w:ascii="宋体" w:hAnsi="宋体" w:cs="宋体"/>
                <w:color w:val="000000"/>
                <w:sz w:val="21"/>
                <w:szCs w:val="21"/>
              </w:rPr>
              <w:t>年</w:t>
            </w:r>
            <w:r>
              <w:rPr>
                <w:rFonts w:hint="eastAsia" w:ascii="宋体" w:hAnsi="宋体" w:cs="宋体"/>
                <w:sz w:val="21"/>
                <w:szCs w:val="21"/>
              </w:rPr>
              <w:t>（</w:t>
            </w:r>
            <w:r>
              <w:rPr>
                <w:rFonts w:hint="eastAsia" w:ascii="宋体" w:hAnsi="宋体" w:cs="宋体"/>
                <w:sz w:val="21"/>
                <w:szCs w:val="21"/>
                <w:lang w:val="en-US" w:eastAsia="zh-CN"/>
              </w:rPr>
              <w:t>2021-2022年</w:t>
            </w:r>
            <w:r>
              <w:rPr>
                <w:rFonts w:hint="eastAsia" w:ascii="宋体" w:hAnsi="宋体" w:cs="宋体"/>
                <w:sz w:val="21"/>
                <w:szCs w:val="21"/>
              </w:rPr>
              <w:t>）</w:t>
            </w:r>
            <w:r>
              <w:rPr>
                <w:rFonts w:hint="eastAsia" w:ascii="宋体" w:hAnsi="宋体" w:cs="宋体"/>
                <w:color w:val="000000"/>
                <w:sz w:val="21"/>
                <w:szCs w:val="21"/>
              </w:rPr>
              <w:t>连续获得税务部门颁发的纳税信用A级证书的得0.5分，其他得0分。</w:t>
            </w:r>
          </w:p>
          <w:p>
            <w:pPr>
              <w:pStyle w:val="159"/>
              <w:spacing w:line="360" w:lineRule="exact"/>
              <w:jc w:val="left"/>
              <w:rPr>
                <w:rFonts w:hint="eastAsia" w:ascii="宋体" w:hAnsi="宋体" w:cs="宋体"/>
                <w:color w:val="000000"/>
                <w:sz w:val="21"/>
                <w:szCs w:val="21"/>
              </w:rPr>
            </w:pPr>
            <w:r>
              <w:rPr>
                <w:rFonts w:hint="eastAsia" w:ascii="宋体" w:hAnsi="宋体" w:cs="宋体"/>
                <w:color w:val="000000"/>
                <w:sz w:val="21"/>
                <w:szCs w:val="21"/>
              </w:rPr>
              <w:t>【提供证书复印件或网站截图或政府书面文件为依据】</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59"/>
              <w:spacing w:line="360" w:lineRule="exact"/>
              <w:jc w:val="center"/>
              <w:rPr>
                <w:rFonts w:hint="eastAsia" w:ascii="宋体" w:hAnsi="宋体" w:cs="宋体"/>
                <w:color w:val="000000"/>
                <w:sz w:val="21"/>
                <w:szCs w:val="21"/>
              </w:rPr>
            </w:pPr>
            <w:r>
              <w:rPr>
                <w:rFonts w:hint="eastAsia" w:ascii="宋体" w:hAnsi="宋体" w:cs="宋体"/>
                <w:color w:val="000000"/>
                <w:sz w:val="21"/>
                <w:szCs w:val="21"/>
              </w:rPr>
              <w:t>0.5</w:t>
            </w:r>
          </w:p>
        </w:tc>
      </w:tr>
      <w:tr>
        <w:tblPrEx>
          <w:tblCellMar>
            <w:top w:w="0" w:type="dxa"/>
            <w:left w:w="108" w:type="dxa"/>
            <w:bottom w:w="0" w:type="dxa"/>
            <w:right w:w="108" w:type="dxa"/>
          </w:tblCellMar>
        </w:tblPrEx>
        <w:trPr>
          <w:trHeight w:val="816" w:hRule="atLeast"/>
          <w:jc w:val="center"/>
        </w:trPr>
        <w:tc>
          <w:tcPr>
            <w:tcW w:w="646" w:type="dxa"/>
            <w:vMerge w:val="continue"/>
            <w:tcBorders>
              <w:left w:val="single" w:color="auto" w:sz="4" w:space="0"/>
              <w:right w:val="single" w:color="auto" w:sz="4" w:space="0"/>
            </w:tcBorders>
            <w:noWrap/>
            <w:vAlign w:val="center"/>
          </w:tcPr>
          <w:p>
            <w:pPr>
              <w:pStyle w:val="159"/>
              <w:spacing w:line="360" w:lineRule="exact"/>
              <w:jc w:val="center"/>
              <w:rPr>
                <w:color w:val="000000"/>
              </w:rPr>
            </w:pPr>
          </w:p>
        </w:tc>
        <w:tc>
          <w:tcPr>
            <w:tcW w:w="1060" w:type="dxa"/>
            <w:vMerge w:val="continue"/>
            <w:tcBorders>
              <w:left w:val="single" w:color="auto" w:sz="4" w:space="0"/>
              <w:right w:val="single" w:color="auto" w:sz="4" w:space="0"/>
            </w:tcBorders>
            <w:noWrap/>
            <w:vAlign w:val="center"/>
          </w:tcPr>
          <w:p>
            <w:pPr>
              <w:pStyle w:val="159"/>
              <w:spacing w:line="360" w:lineRule="exact"/>
              <w:jc w:val="center"/>
              <w:rPr>
                <w:rFonts w:hint="eastAsia" w:ascii="宋体" w:hAnsi="宋体" w:cs="宋体"/>
                <w:color w:val="000000"/>
                <w:sz w:val="21"/>
                <w:szCs w:val="21"/>
              </w:rPr>
            </w:pPr>
          </w:p>
        </w:tc>
        <w:tc>
          <w:tcPr>
            <w:tcW w:w="62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2.投标人近一年（截止开标时间）获得银行颁发的资信（信用）等级证明，级别最高的得0.5分，其他得0分。</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59"/>
              <w:spacing w:line="360" w:lineRule="exact"/>
              <w:jc w:val="center"/>
              <w:rPr>
                <w:rFonts w:hint="eastAsia" w:ascii="宋体" w:hAnsi="宋体" w:cs="宋体"/>
                <w:color w:val="000000"/>
                <w:sz w:val="21"/>
                <w:szCs w:val="21"/>
              </w:rPr>
            </w:pPr>
            <w:r>
              <w:rPr>
                <w:rFonts w:hint="eastAsia" w:ascii="宋体" w:hAnsi="宋体" w:cs="宋体"/>
                <w:color w:val="000000"/>
                <w:sz w:val="21"/>
                <w:szCs w:val="21"/>
              </w:rPr>
              <w:t>0.5</w:t>
            </w:r>
          </w:p>
        </w:tc>
      </w:tr>
      <w:tr>
        <w:tblPrEx>
          <w:tblCellMar>
            <w:top w:w="0" w:type="dxa"/>
            <w:left w:w="108" w:type="dxa"/>
            <w:bottom w:w="0" w:type="dxa"/>
            <w:right w:w="108" w:type="dxa"/>
          </w:tblCellMar>
        </w:tblPrEx>
        <w:trPr>
          <w:trHeight w:val="340" w:hRule="atLeast"/>
          <w:jc w:val="center"/>
        </w:trPr>
        <w:tc>
          <w:tcPr>
            <w:tcW w:w="646" w:type="dxa"/>
            <w:vMerge w:val="continue"/>
            <w:tcBorders>
              <w:left w:val="single" w:color="auto" w:sz="4" w:space="0"/>
              <w:right w:val="single" w:color="auto" w:sz="4" w:space="0"/>
            </w:tcBorders>
            <w:noWrap/>
            <w:vAlign w:val="center"/>
          </w:tcPr>
          <w:p>
            <w:pPr>
              <w:pStyle w:val="159"/>
              <w:spacing w:line="360" w:lineRule="exact"/>
              <w:jc w:val="center"/>
              <w:rPr>
                <w:color w:val="000000"/>
              </w:rPr>
            </w:pPr>
          </w:p>
        </w:tc>
        <w:tc>
          <w:tcPr>
            <w:tcW w:w="1060" w:type="dxa"/>
            <w:vMerge w:val="continue"/>
            <w:tcBorders>
              <w:left w:val="single" w:color="auto" w:sz="4" w:space="0"/>
              <w:right w:val="single" w:color="auto" w:sz="4" w:space="0"/>
            </w:tcBorders>
            <w:noWrap/>
            <w:vAlign w:val="center"/>
          </w:tcPr>
          <w:p>
            <w:pPr>
              <w:pStyle w:val="159"/>
              <w:spacing w:line="360" w:lineRule="exact"/>
              <w:jc w:val="center"/>
              <w:rPr>
                <w:rFonts w:hint="eastAsia" w:ascii="宋体" w:hAnsi="宋体" w:cs="宋体"/>
                <w:color w:val="000000"/>
                <w:sz w:val="21"/>
                <w:szCs w:val="21"/>
              </w:rPr>
            </w:pPr>
          </w:p>
        </w:tc>
        <w:tc>
          <w:tcPr>
            <w:tcW w:w="62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3.近三年（截止开标时间）参加军队采购未通过首检的，每次得-1分。</w:t>
            </w:r>
          </w:p>
          <w:p>
            <w:pPr>
              <w:spacing w:line="3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（需求部门向采购管理部门提供违规供应商名单）</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59"/>
              <w:spacing w:line="360" w:lineRule="exact"/>
              <w:jc w:val="center"/>
              <w:rPr>
                <w:rFonts w:hint="eastAsia" w:ascii="宋体" w:hAnsi="宋体" w:cs="宋体"/>
                <w:color w:val="000000"/>
                <w:sz w:val="21"/>
                <w:szCs w:val="21"/>
              </w:rPr>
            </w:pPr>
            <w:r>
              <w:rPr>
                <w:rFonts w:hint="eastAsia" w:ascii="宋体" w:hAnsi="宋体" w:cs="宋体"/>
                <w:color w:val="000000"/>
                <w:sz w:val="21"/>
                <w:szCs w:val="21"/>
              </w:rPr>
              <w:t>可累计扣分</w:t>
            </w:r>
          </w:p>
        </w:tc>
      </w:tr>
      <w:tr>
        <w:tblPrEx>
          <w:tblCellMar>
            <w:top w:w="0" w:type="dxa"/>
            <w:left w:w="108" w:type="dxa"/>
            <w:bottom w:w="0" w:type="dxa"/>
            <w:right w:w="108" w:type="dxa"/>
          </w:tblCellMar>
        </w:tblPrEx>
        <w:trPr>
          <w:trHeight w:val="340" w:hRule="atLeast"/>
          <w:jc w:val="center"/>
        </w:trPr>
        <w:tc>
          <w:tcPr>
            <w:tcW w:w="646" w:type="dxa"/>
            <w:vMerge w:val="continue"/>
            <w:tcBorders>
              <w:left w:val="single" w:color="auto" w:sz="4" w:space="0"/>
              <w:right w:val="single" w:color="auto" w:sz="4" w:space="0"/>
            </w:tcBorders>
            <w:noWrap/>
            <w:vAlign w:val="center"/>
          </w:tcPr>
          <w:p>
            <w:pPr>
              <w:pStyle w:val="159"/>
              <w:spacing w:line="360" w:lineRule="exact"/>
              <w:jc w:val="center"/>
              <w:rPr>
                <w:color w:val="000000"/>
              </w:rPr>
            </w:pPr>
          </w:p>
        </w:tc>
        <w:tc>
          <w:tcPr>
            <w:tcW w:w="1060" w:type="dxa"/>
            <w:vMerge w:val="continue"/>
            <w:tcBorders>
              <w:left w:val="single" w:color="auto" w:sz="4" w:space="0"/>
              <w:right w:val="single" w:color="auto" w:sz="4" w:space="0"/>
            </w:tcBorders>
            <w:noWrap/>
            <w:vAlign w:val="center"/>
          </w:tcPr>
          <w:p>
            <w:pPr>
              <w:pStyle w:val="159"/>
              <w:spacing w:line="360" w:lineRule="exact"/>
              <w:jc w:val="center"/>
              <w:rPr>
                <w:rFonts w:hint="eastAsia" w:ascii="宋体" w:hAnsi="宋体" w:cs="宋体"/>
                <w:color w:val="000000"/>
                <w:sz w:val="21"/>
                <w:szCs w:val="21"/>
              </w:rPr>
            </w:pPr>
          </w:p>
        </w:tc>
        <w:tc>
          <w:tcPr>
            <w:tcW w:w="62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4.近三年（</w:t>
            </w:r>
            <w:r>
              <w:rPr>
                <w:rFonts w:hint="eastAsia" w:ascii="宋体" w:hAnsi="宋体" w:eastAsia="宋体" w:cs="宋体"/>
                <w:color w:val="000000"/>
                <w:sz w:val="21"/>
                <w:szCs w:val="21"/>
                <w:lang w:val="en-US" w:eastAsia="zh-CN"/>
              </w:rPr>
              <w:t>2020-2022年</w:t>
            </w:r>
            <w:r>
              <w:rPr>
                <w:rFonts w:hint="eastAsia" w:ascii="宋体" w:hAnsi="宋体" w:eastAsia="宋体" w:cs="宋体"/>
                <w:color w:val="000000"/>
                <w:sz w:val="21"/>
                <w:szCs w:val="21"/>
              </w:rPr>
              <w:t>）参加军队采购产品出现重要质量问题的，每次得-2分。</w:t>
            </w:r>
          </w:p>
          <w:p>
            <w:pPr>
              <w:spacing w:line="3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（需求部门向采购管理部门提供违规供应商名单）</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59"/>
              <w:spacing w:line="360" w:lineRule="exact"/>
              <w:jc w:val="center"/>
              <w:rPr>
                <w:rFonts w:hint="eastAsia" w:ascii="宋体" w:hAnsi="宋体" w:cs="宋体"/>
                <w:color w:val="000000"/>
                <w:sz w:val="21"/>
                <w:szCs w:val="21"/>
              </w:rPr>
            </w:pPr>
            <w:r>
              <w:rPr>
                <w:rFonts w:hint="eastAsia" w:ascii="宋体" w:hAnsi="宋体" w:cs="宋体"/>
                <w:color w:val="000000"/>
                <w:sz w:val="21"/>
                <w:szCs w:val="21"/>
              </w:rPr>
              <w:t>可累计扣分</w:t>
            </w:r>
          </w:p>
        </w:tc>
      </w:tr>
      <w:tr>
        <w:tblPrEx>
          <w:tblCellMar>
            <w:top w:w="0" w:type="dxa"/>
            <w:left w:w="108" w:type="dxa"/>
            <w:bottom w:w="0" w:type="dxa"/>
            <w:right w:w="108" w:type="dxa"/>
          </w:tblCellMar>
        </w:tblPrEx>
        <w:trPr>
          <w:trHeight w:val="1215" w:hRule="atLeast"/>
          <w:jc w:val="center"/>
        </w:trPr>
        <w:tc>
          <w:tcPr>
            <w:tcW w:w="646" w:type="dxa"/>
            <w:vMerge w:val="continue"/>
            <w:tcBorders>
              <w:left w:val="single" w:color="auto" w:sz="4" w:space="0"/>
              <w:bottom w:val="single" w:color="auto" w:sz="4" w:space="0"/>
              <w:right w:val="single" w:color="auto" w:sz="4" w:space="0"/>
            </w:tcBorders>
            <w:noWrap/>
            <w:vAlign w:val="center"/>
          </w:tcPr>
          <w:p>
            <w:pPr>
              <w:pStyle w:val="159"/>
              <w:spacing w:line="360" w:lineRule="exact"/>
              <w:jc w:val="center"/>
              <w:rPr>
                <w:color w:val="000000"/>
              </w:rPr>
            </w:pPr>
          </w:p>
        </w:tc>
        <w:tc>
          <w:tcPr>
            <w:tcW w:w="1060" w:type="dxa"/>
            <w:vMerge w:val="continue"/>
            <w:tcBorders>
              <w:left w:val="single" w:color="auto" w:sz="4" w:space="0"/>
              <w:bottom w:val="single" w:color="auto" w:sz="4" w:space="0"/>
              <w:right w:val="single" w:color="auto" w:sz="4" w:space="0"/>
            </w:tcBorders>
            <w:noWrap/>
            <w:vAlign w:val="center"/>
          </w:tcPr>
          <w:p>
            <w:pPr>
              <w:pStyle w:val="159"/>
              <w:spacing w:line="360" w:lineRule="exact"/>
              <w:jc w:val="center"/>
              <w:rPr>
                <w:rFonts w:hint="eastAsia" w:ascii="宋体" w:hAnsi="宋体" w:cs="宋体"/>
                <w:color w:val="000000"/>
                <w:sz w:val="21"/>
                <w:szCs w:val="21"/>
              </w:rPr>
            </w:pPr>
          </w:p>
        </w:tc>
        <w:tc>
          <w:tcPr>
            <w:tcW w:w="62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5.近</w:t>
            </w:r>
            <w:r>
              <w:rPr>
                <w:rFonts w:hint="eastAsia" w:ascii="宋体" w:hAnsi="宋体" w:eastAsia="宋体" w:cs="宋体"/>
                <w:color w:val="000000"/>
                <w:sz w:val="21"/>
                <w:szCs w:val="21"/>
                <w:lang w:eastAsia="zh-CN"/>
              </w:rPr>
              <w:t>一</w:t>
            </w:r>
            <w:r>
              <w:rPr>
                <w:rFonts w:hint="eastAsia" w:ascii="宋体" w:hAnsi="宋体" w:eastAsia="宋体" w:cs="宋体"/>
                <w:color w:val="000000"/>
                <w:sz w:val="21"/>
                <w:szCs w:val="21"/>
              </w:rPr>
              <w:t>年（截止开标时间）内参与大学及上级采购活动中存在不良记录的，每次得-1分。（每次违规计-1分，当年累计扣满3分暂停参加大学采购活动1年）（由采购机构提供违规供应商名单）。</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59"/>
              <w:jc w:val="center"/>
              <w:rPr>
                <w:rFonts w:hint="eastAsia" w:ascii="宋体" w:hAnsi="宋体" w:cs="宋体"/>
                <w:color w:val="000000"/>
                <w:sz w:val="21"/>
                <w:szCs w:val="21"/>
              </w:rPr>
            </w:pPr>
            <w:r>
              <w:rPr>
                <w:rFonts w:hint="eastAsia" w:ascii="宋体" w:hAnsi="宋体" w:cs="宋体"/>
                <w:color w:val="000000"/>
                <w:sz w:val="21"/>
                <w:szCs w:val="21"/>
              </w:rPr>
              <w:t>可累计扣分</w:t>
            </w:r>
          </w:p>
        </w:tc>
      </w:tr>
      <w:tr>
        <w:tblPrEx>
          <w:tblCellMar>
            <w:top w:w="0" w:type="dxa"/>
            <w:left w:w="108" w:type="dxa"/>
            <w:bottom w:w="0" w:type="dxa"/>
            <w:right w:w="108" w:type="dxa"/>
          </w:tblCellMar>
        </w:tblPrEx>
        <w:trPr>
          <w:trHeight w:val="1665" w:hRule="atLeast"/>
          <w:jc w:val="center"/>
        </w:trPr>
        <w:tc>
          <w:tcPr>
            <w:tcW w:w="646" w:type="dxa"/>
            <w:tcBorders>
              <w:top w:val="single" w:color="auto" w:sz="4" w:space="0"/>
              <w:left w:val="single" w:color="auto" w:sz="4" w:space="0"/>
              <w:bottom w:val="single" w:color="auto" w:sz="4" w:space="0"/>
              <w:right w:val="single" w:color="auto" w:sz="4" w:space="0"/>
            </w:tcBorders>
            <w:noWrap/>
            <w:vAlign w:val="center"/>
          </w:tcPr>
          <w:p>
            <w:pPr>
              <w:pStyle w:val="159"/>
              <w:spacing w:line="360" w:lineRule="exact"/>
              <w:jc w:val="center"/>
              <w:rPr>
                <w:rFonts w:hint="eastAsia"/>
                <w:color w:val="000000"/>
              </w:rPr>
            </w:pPr>
            <w:r>
              <w:rPr>
                <w:rFonts w:hint="eastAsia"/>
                <w:color w:val="000000"/>
              </w:rPr>
              <w:t>五</w:t>
            </w:r>
          </w:p>
        </w:tc>
        <w:tc>
          <w:tcPr>
            <w:tcW w:w="1060" w:type="dxa"/>
            <w:tcBorders>
              <w:top w:val="single" w:color="auto" w:sz="4" w:space="0"/>
              <w:left w:val="nil"/>
              <w:bottom w:val="single" w:color="auto" w:sz="4" w:space="0"/>
              <w:right w:val="single" w:color="auto" w:sz="4" w:space="0"/>
            </w:tcBorders>
            <w:noWrap/>
            <w:vAlign w:val="center"/>
          </w:tcPr>
          <w:p>
            <w:pPr>
              <w:widowControl/>
              <w:snapToGrid w:val="0"/>
              <w:spacing w:line="360" w:lineRule="exact"/>
              <w:rPr>
                <w:rFonts w:hint="eastAsia" w:ascii="宋体" w:hAnsi="宋体" w:cs="宋体"/>
                <w:color w:val="000000"/>
                <w:sz w:val="21"/>
                <w:szCs w:val="21"/>
              </w:rPr>
            </w:pPr>
            <w:r>
              <w:rPr>
                <w:rFonts w:hint="eastAsia" w:ascii="宋体" w:hAnsi="宋体" w:cs="宋体"/>
                <w:color w:val="000000"/>
                <w:sz w:val="21"/>
                <w:szCs w:val="21"/>
              </w:rPr>
              <w:t>财务状况</w:t>
            </w:r>
          </w:p>
        </w:tc>
        <w:tc>
          <w:tcPr>
            <w:tcW w:w="6260" w:type="dxa"/>
            <w:tcBorders>
              <w:top w:val="single" w:color="auto" w:sz="4" w:space="0"/>
              <w:left w:val="nil"/>
              <w:bottom w:val="single" w:color="auto" w:sz="4" w:space="0"/>
              <w:right w:val="single" w:color="auto" w:sz="4" w:space="0"/>
            </w:tcBorders>
            <w:noWrap w:val="0"/>
            <w:vAlign w:val="center"/>
          </w:tcPr>
          <w:p>
            <w:pPr>
              <w:spacing w:line="360" w:lineRule="exact"/>
              <w:rPr>
                <w:rFonts w:hint="eastAsia" w:ascii="宋体" w:hAnsi="宋体" w:cs="宋体"/>
                <w:color w:val="000000"/>
                <w:sz w:val="21"/>
                <w:szCs w:val="21"/>
              </w:rPr>
            </w:pPr>
            <w:r>
              <w:rPr>
                <w:rFonts w:hint="eastAsia" w:ascii="宋体" w:hAnsi="宋体" w:cs="宋体"/>
                <w:color w:val="000000"/>
                <w:sz w:val="21"/>
                <w:szCs w:val="21"/>
              </w:rPr>
              <w:t>根据投标人</w:t>
            </w:r>
            <w:r>
              <w:rPr>
                <w:rFonts w:hint="eastAsia" w:ascii="宋体" w:hAnsi="宋体" w:cs="宋体"/>
                <w:color w:val="000000"/>
                <w:sz w:val="21"/>
                <w:szCs w:val="21"/>
                <w:lang w:eastAsia="zh-CN"/>
              </w:rPr>
              <w:t>近三年</w:t>
            </w:r>
            <w:r>
              <w:rPr>
                <w:rFonts w:hint="eastAsia" w:ascii="宋体" w:hAnsi="宋体" w:cs="宋体"/>
                <w:sz w:val="21"/>
                <w:szCs w:val="21"/>
              </w:rPr>
              <w:t>（</w:t>
            </w:r>
            <w:r>
              <w:rPr>
                <w:rFonts w:hint="eastAsia" w:ascii="宋体" w:hAnsi="宋体" w:cs="宋体"/>
                <w:sz w:val="21"/>
                <w:szCs w:val="21"/>
                <w:lang w:val="en-US" w:eastAsia="zh-CN"/>
              </w:rPr>
              <w:t>2020-2022年</w:t>
            </w:r>
            <w:r>
              <w:rPr>
                <w:rFonts w:hint="eastAsia" w:ascii="宋体" w:hAnsi="宋体" w:cs="宋体"/>
                <w:sz w:val="21"/>
                <w:szCs w:val="21"/>
              </w:rPr>
              <w:t>）</w:t>
            </w:r>
            <w:r>
              <w:rPr>
                <w:rFonts w:hint="eastAsia" w:ascii="宋体" w:hAnsi="宋体" w:cs="宋体"/>
                <w:color w:val="000000"/>
                <w:sz w:val="21"/>
                <w:szCs w:val="21"/>
                <w:lang w:eastAsia="zh-CN"/>
              </w:rPr>
              <w:t>平均</w:t>
            </w:r>
            <w:r>
              <w:rPr>
                <w:rFonts w:hint="eastAsia" w:ascii="宋体" w:hAnsi="宋体" w:cs="宋体"/>
                <w:color w:val="000000"/>
                <w:sz w:val="21"/>
                <w:szCs w:val="21"/>
              </w:rPr>
              <w:t>净利润金额排名进行评审：第一名得1分，依次递减0.2分，净利润为负值的得0分。</w:t>
            </w:r>
          </w:p>
          <w:p>
            <w:pPr>
              <w:spacing w:line="360" w:lineRule="exact"/>
              <w:rPr>
                <w:rFonts w:hint="eastAsia" w:ascii="宋体" w:hAnsi="宋体" w:cs="宋体"/>
                <w:color w:val="000000"/>
                <w:sz w:val="21"/>
                <w:szCs w:val="21"/>
              </w:rPr>
            </w:pPr>
            <w:r>
              <w:rPr>
                <w:rFonts w:hint="eastAsia" w:ascii="宋体" w:hAnsi="宋体" w:cs="宋体"/>
                <w:color w:val="000000"/>
                <w:sz w:val="21"/>
                <w:szCs w:val="21"/>
              </w:rPr>
              <w:t>【以第三方会计事务所或审计机构出具的财务审计报告中显示的数据为准，未提供的得0分】</w:t>
            </w:r>
          </w:p>
        </w:tc>
        <w:tc>
          <w:tcPr>
            <w:tcW w:w="1077" w:type="dxa"/>
            <w:tcBorders>
              <w:top w:val="single" w:color="auto" w:sz="4" w:space="0"/>
              <w:left w:val="nil"/>
              <w:bottom w:val="single" w:color="auto" w:sz="4" w:space="0"/>
              <w:right w:val="single" w:color="auto" w:sz="4" w:space="0"/>
            </w:tcBorders>
            <w:noWrap/>
            <w:vAlign w:val="center"/>
          </w:tcPr>
          <w:p>
            <w:pPr>
              <w:widowControl/>
              <w:snapToGrid w:val="0"/>
              <w:spacing w:line="360" w:lineRule="exac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CellMar>
            <w:top w:w="0" w:type="dxa"/>
            <w:left w:w="108" w:type="dxa"/>
            <w:bottom w:w="0" w:type="dxa"/>
            <w:right w:w="108" w:type="dxa"/>
          </w:tblCellMar>
        </w:tblPrEx>
        <w:trPr>
          <w:trHeight w:val="340" w:hRule="atLeast"/>
          <w:jc w:val="center"/>
        </w:trPr>
        <w:tc>
          <w:tcPr>
            <w:tcW w:w="646" w:type="dxa"/>
            <w:tcBorders>
              <w:top w:val="single" w:color="auto" w:sz="4" w:space="0"/>
              <w:left w:val="single" w:color="auto" w:sz="4" w:space="0"/>
              <w:bottom w:val="single" w:color="auto" w:sz="4" w:space="0"/>
              <w:right w:val="single" w:color="auto" w:sz="4" w:space="0"/>
            </w:tcBorders>
            <w:noWrap/>
            <w:vAlign w:val="center"/>
          </w:tcPr>
          <w:p>
            <w:pPr>
              <w:pStyle w:val="159"/>
              <w:spacing w:line="360" w:lineRule="exact"/>
              <w:jc w:val="center"/>
              <w:rPr>
                <w:rFonts w:hint="eastAsia"/>
                <w:color w:val="000000"/>
              </w:rPr>
            </w:pPr>
            <w:r>
              <w:rPr>
                <w:rFonts w:hint="eastAsia"/>
                <w:color w:val="000000"/>
              </w:rPr>
              <w:t>六</w:t>
            </w:r>
          </w:p>
        </w:tc>
        <w:tc>
          <w:tcPr>
            <w:tcW w:w="1060" w:type="dxa"/>
            <w:tcBorders>
              <w:top w:val="single" w:color="auto" w:sz="4" w:space="0"/>
              <w:left w:val="nil"/>
              <w:bottom w:val="single" w:color="auto" w:sz="4" w:space="0"/>
              <w:right w:val="single" w:color="auto" w:sz="4" w:space="0"/>
            </w:tcBorders>
            <w:noWrap/>
            <w:vAlign w:val="center"/>
          </w:tcPr>
          <w:p>
            <w:pPr>
              <w:widowControl/>
              <w:snapToGrid w:val="0"/>
              <w:spacing w:line="360" w:lineRule="exact"/>
              <w:jc w:val="center"/>
              <w:rPr>
                <w:rFonts w:hint="eastAsia" w:ascii="宋体" w:hAnsi="宋体" w:cs="宋体"/>
                <w:color w:val="000000"/>
                <w:sz w:val="21"/>
                <w:szCs w:val="21"/>
              </w:rPr>
            </w:pPr>
            <w:r>
              <w:rPr>
                <w:rFonts w:hint="eastAsia" w:ascii="宋体" w:hAnsi="宋体" w:cs="宋体"/>
                <w:color w:val="000000"/>
                <w:sz w:val="21"/>
                <w:szCs w:val="21"/>
              </w:rPr>
              <w:t>投标人性质</w:t>
            </w:r>
          </w:p>
        </w:tc>
        <w:tc>
          <w:tcPr>
            <w:tcW w:w="6260" w:type="dxa"/>
            <w:tcBorders>
              <w:top w:val="single" w:color="auto" w:sz="4" w:space="0"/>
              <w:left w:val="nil"/>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投标人是本项目所投产品的生产企业或进口产品全国（大区）代理的得2分，否则得0分。</w:t>
            </w:r>
          </w:p>
          <w:p>
            <w:pPr>
              <w:spacing w:line="3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【投标人提供的“生产厂家出具的授权文件”，其中全国（大区）代理至少为“西南地区”等同类别的大区代理授权】</w:t>
            </w:r>
          </w:p>
        </w:tc>
        <w:tc>
          <w:tcPr>
            <w:tcW w:w="1077" w:type="dxa"/>
            <w:tcBorders>
              <w:top w:val="single" w:color="auto" w:sz="4" w:space="0"/>
              <w:left w:val="nil"/>
              <w:bottom w:val="single" w:color="auto" w:sz="4" w:space="0"/>
              <w:right w:val="single" w:color="auto" w:sz="4" w:space="0"/>
            </w:tcBorders>
            <w:noWrap/>
            <w:vAlign w:val="center"/>
          </w:tcPr>
          <w:p>
            <w:pPr>
              <w:widowControl/>
              <w:snapToGrid w:val="0"/>
              <w:spacing w:line="360" w:lineRule="exact"/>
              <w:jc w:val="center"/>
              <w:rPr>
                <w:rFonts w:hint="eastAsia" w:ascii="宋体" w:hAnsi="宋体" w:cs="宋体"/>
                <w:color w:val="000000"/>
                <w:sz w:val="21"/>
                <w:szCs w:val="21"/>
              </w:rPr>
            </w:pPr>
            <w:r>
              <w:rPr>
                <w:rFonts w:hint="eastAsia" w:ascii="宋体" w:hAnsi="宋体" w:cs="宋体"/>
                <w:color w:val="000000"/>
                <w:sz w:val="21"/>
                <w:szCs w:val="21"/>
              </w:rPr>
              <w:t>2分</w:t>
            </w:r>
          </w:p>
        </w:tc>
      </w:tr>
      <w:tr>
        <w:tblPrEx>
          <w:tblCellMar>
            <w:top w:w="0" w:type="dxa"/>
            <w:left w:w="108" w:type="dxa"/>
            <w:bottom w:w="0" w:type="dxa"/>
            <w:right w:w="108" w:type="dxa"/>
          </w:tblCellMar>
        </w:tblPrEx>
        <w:trPr>
          <w:trHeight w:val="340" w:hRule="atLeast"/>
          <w:jc w:val="center"/>
        </w:trPr>
        <w:tc>
          <w:tcPr>
            <w:tcW w:w="7966" w:type="dxa"/>
            <w:gridSpan w:val="3"/>
            <w:tcBorders>
              <w:top w:val="single" w:color="auto" w:sz="4" w:space="0"/>
              <w:left w:val="single" w:color="auto" w:sz="4" w:space="0"/>
              <w:bottom w:val="single" w:color="auto" w:sz="4" w:space="0"/>
              <w:right w:val="single" w:color="auto" w:sz="4" w:space="0"/>
            </w:tcBorders>
            <w:noWrap/>
            <w:vAlign w:val="center"/>
          </w:tcPr>
          <w:p>
            <w:pPr>
              <w:pStyle w:val="159"/>
              <w:spacing w:line="360" w:lineRule="exact"/>
              <w:jc w:val="center"/>
              <w:rPr>
                <w:color w:val="000000"/>
              </w:rPr>
            </w:pPr>
            <w:r>
              <w:rPr>
                <w:rFonts w:hint="eastAsia"/>
                <w:b/>
                <w:bCs/>
                <w:color w:val="000000"/>
              </w:rPr>
              <w:t>合    计</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59"/>
              <w:spacing w:line="360" w:lineRule="exact"/>
              <w:jc w:val="center"/>
              <w:rPr>
                <w:color w:val="000000"/>
              </w:rPr>
            </w:pPr>
            <w:r>
              <w:rPr>
                <w:rFonts w:hint="eastAsia"/>
                <w:color w:val="000000"/>
              </w:rPr>
              <w:t>40分</w:t>
            </w:r>
          </w:p>
        </w:tc>
      </w:tr>
    </w:tbl>
    <w:p>
      <w:pPr>
        <w:spacing w:line="360" w:lineRule="auto"/>
        <w:rPr>
          <w:rFonts w:ascii="黑体" w:hAnsi="黑体" w:eastAsia="黑体"/>
          <w:bCs/>
          <w:sz w:val="28"/>
          <w:szCs w:val="28"/>
        </w:rPr>
      </w:pPr>
      <w:r>
        <w:rPr>
          <w:rFonts w:hint="eastAsia" w:ascii="黑体" w:hAnsi="黑体" w:eastAsia="黑体"/>
          <w:bCs/>
          <w:sz w:val="28"/>
          <w:szCs w:val="28"/>
        </w:rPr>
        <w:br w:type="page"/>
      </w:r>
    </w:p>
    <w:p>
      <w:pPr>
        <w:pStyle w:val="4"/>
        <w:spacing w:before="120" w:beforeLines="50" w:after="120" w:afterLines="50" w:line="560" w:lineRule="exact"/>
        <w:rPr>
          <w:rFonts w:ascii="黑体" w:hAnsi="黑体"/>
          <w:b w:val="0"/>
          <w:sz w:val="28"/>
          <w:szCs w:val="28"/>
        </w:rPr>
      </w:pPr>
      <w:bookmarkStart w:id="483" w:name="_Toc5718"/>
      <w:bookmarkStart w:id="484" w:name="_Toc24586"/>
      <w:bookmarkStart w:id="485" w:name="_Toc20008"/>
      <w:r>
        <w:rPr>
          <w:rFonts w:hint="eastAsia" w:ascii="黑体" w:hAnsi="黑体"/>
          <w:b w:val="0"/>
          <w:sz w:val="28"/>
          <w:szCs w:val="28"/>
        </w:rPr>
        <w:t>附表</w:t>
      </w:r>
      <w:r>
        <w:rPr>
          <w:rFonts w:ascii="黑体" w:hAnsi="黑体"/>
          <w:b w:val="0"/>
          <w:sz w:val="28"/>
          <w:szCs w:val="28"/>
        </w:rPr>
        <w:t xml:space="preserve">4 </w:t>
      </w:r>
      <w:r>
        <w:rPr>
          <w:rFonts w:hint="eastAsia" w:ascii="黑体" w:hAnsi="黑体"/>
          <w:b w:val="0"/>
          <w:sz w:val="28"/>
          <w:szCs w:val="28"/>
        </w:rPr>
        <w:t>技术评审标准表（综合评分法</w:t>
      </w:r>
      <w:r>
        <w:rPr>
          <w:rFonts w:ascii="黑体" w:hAnsi="黑体"/>
          <w:b w:val="0"/>
          <w:sz w:val="28"/>
          <w:szCs w:val="28"/>
        </w:rPr>
        <w:t>）</w:t>
      </w:r>
      <w:bookmarkEnd w:id="483"/>
      <w:bookmarkEnd w:id="484"/>
      <w:bookmarkEnd w:id="485"/>
    </w:p>
    <w:p>
      <w:pPr>
        <w:jc w:val="center"/>
        <w:outlineLvl w:val="9"/>
        <w:rPr>
          <w:rFonts w:hint="eastAsia"/>
          <w:b/>
          <w:bCs/>
          <w:color w:val="000000"/>
          <w:sz w:val="28"/>
          <w:szCs w:val="36"/>
        </w:rPr>
      </w:pPr>
      <w:bookmarkStart w:id="486" w:name="_Toc13706"/>
      <w:bookmarkStart w:id="487" w:name="_Toc13892"/>
      <w:r>
        <w:rPr>
          <w:rFonts w:hint="eastAsia"/>
          <w:b/>
          <w:bCs/>
          <w:color w:val="000000"/>
          <w:sz w:val="28"/>
          <w:szCs w:val="36"/>
        </w:rPr>
        <w:t>技术评审标准表</w:t>
      </w:r>
    </w:p>
    <w:p>
      <w:pPr>
        <w:pStyle w:val="160"/>
        <w:jc w:val="both"/>
        <w:rPr>
          <w:rFonts w:hint="eastAsia"/>
          <w:color w:val="000000"/>
        </w:rPr>
      </w:pPr>
      <w:r>
        <w:rPr>
          <w:bCs/>
          <w:color w:val="000000"/>
        </w:rPr>
        <w:t>项目名称：</w:t>
      </w:r>
      <w:r>
        <w:rPr>
          <w:bCs/>
          <w:color w:val="000000"/>
          <w:u w:val="single"/>
        </w:rPr>
        <w:t xml:space="preserve">          </w:t>
      </w:r>
      <w:r>
        <w:rPr>
          <w:rFonts w:hint="eastAsia"/>
          <w:bCs/>
          <w:color w:val="000000"/>
          <w:u w:val="single"/>
        </w:rPr>
        <w:t xml:space="preserve">           </w:t>
      </w:r>
      <w:r>
        <w:rPr>
          <w:bCs/>
          <w:color w:val="000000"/>
          <w:u w:val="single"/>
        </w:rPr>
        <w:t xml:space="preserve">    </w:t>
      </w:r>
      <w:r>
        <w:rPr>
          <w:bCs/>
          <w:color w:val="000000"/>
        </w:rPr>
        <w:t xml:space="preserve">     项目编号：</w:t>
      </w:r>
      <w:r>
        <w:rPr>
          <w:bCs/>
          <w:color w:val="000000"/>
          <w:u w:val="single"/>
        </w:rPr>
        <w:t xml:space="preserve">            </w:t>
      </w:r>
      <w:r>
        <w:rPr>
          <w:bCs/>
          <w:color w:val="000000"/>
        </w:rPr>
        <w:t xml:space="preserve">       包号：</w:t>
      </w:r>
      <w:r>
        <w:rPr>
          <w:rFonts w:hint="eastAsia"/>
          <w:bCs/>
          <w:color w:val="000000"/>
          <w:u w:val="single"/>
        </w:rPr>
        <w:t xml:space="preserve">          </w:t>
      </w:r>
    </w:p>
    <w:tbl>
      <w:tblPr>
        <w:tblStyle w:val="42"/>
        <w:tblW w:w="9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1149"/>
        <w:gridCol w:w="4033"/>
        <w:gridCol w:w="1965"/>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noWrap/>
            <w:vAlign w:val="center"/>
          </w:tcPr>
          <w:p>
            <w:pPr>
              <w:pStyle w:val="159"/>
              <w:spacing w:line="360" w:lineRule="atLeast"/>
              <w:jc w:val="center"/>
              <w:rPr>
                <w:b/>
                <w:bCs/>
                <w:color w:val="000000"/>
              </w:rPr>
            </w:pPr>
            <w:r>
              <w:rPr>
                <w:rFonts w:hint="eastAsia"/>
                <w:b/>
                <w:bCs/>
                <w:color w:val="000000"/>
              </w:rPr>
              <w:t>序号</w:t>
            </w:r>
          </w:p>
        </w:tc>
        <w:tc>
          <w:tcPr>
            <w:tcW w:w="1149" w:type="dxa"/>
            <w:noWrap/>
            <w:vAlign w:val="center"/>
          </w:tcPr>
          <w:p>
            <w:pPr>
              <w:pStyle w:val="159"/>
              <w:spacing w:line="360" w:lineRule="atLeast"/>
              <w:jc w:val="center"/>
              <w:rPr>
                <w:b/>
                <w:bCs/>
                <w:color w:val="000000"/>
              </w:rPr>
            </w:pPr>
            <w:r>
              <w:rPr>
                <w:rFonts w:hint="eastAsia"/>
                <w:b/>
                <w:bCs/>
                <w:color w:val="000000"/>
              </w:rPr>
              <w:t>评审项目</w:t>
            </w:r>
          </w:p>
        </w:tc>
        <w:tc>
          <w:tcPr>
            <w:tcW w:w="5998" w:type="dxa"/>
            <w:gridSpan w:val="2"/>
            <w:noWrap/>
            <w:vAlign w:val="center"/>
          </w:tcPr>
          <w:p>
            <w:pPr>
              <w:pStyle w:val="159"/>
              <w:spacing w:line="360" w:lineRule="atLeast"/>
              <w:jc w:val="center"/>
              <w:rPr>
                <w:b/>
                <w:bCs/>
                <w:color w:val="000000"/>
              </w:rPr>
            </w:pPr>
            <w:r>
              <w:rPr>
                <w:rFonts w:hint="eastAsia"/>
                <w:b/>
                <w:bCs/>
                <w:color w:val="000000"/>
              </w:rPr>
              <w:t>评审内容及规则</w:t>
            </w:r>
          </w:p>
        </w:tc>
        <w:tc>
          <w:tcPr>
            <w:tcW w:w="1389" w:type="dxa"/>
            <w:noWrap/>
            <w:vAlign w:val="center"/>
          </w:tcPr>
          <w:p>
            <w:pPr>
              <w:pStyle w:val="159"/>
              <w:spacing w:line="360" w:lineRule="atLeast"/>
              <w:jc w:val="center"/>
              <w:rPr>
                <w:b/>
                <w:bCs/>
                <w:color w:val="000000"/>
              </w:rPr>
            </w:pPr>
            <w:r>
              <w:rPr>
                <w:rFonts w:hint="eastAsia"/>
                <w:b/>
                <w:bCs/>
                <w:color w:val="000000"/>
              </w:rPr>
              <w:t>标准分值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restart"/>
            <w:noWrap/>
            <w:vAlign w:val="center"/>
          </w:tcPr>
          <w:p>
            <w:pPr>
              <w:pStyle w:val="159"/>
              <w:spacing w:line="360" w:lineRule="atLeast"/>
              <w:jc w:val="center"/>
              <w:rPr>
                <w:rFonts w:hint="eastAsia"/>
                <w:color w:val="000000"/>
              </w:rPr>
            </w:pPr>
            <w:r>
              <w:rPr>
                <w:rFonts w:hint="eastAsia"/>
                <w:color w:val="000000"/>
              </w:rPr>
              <w:t>一</w:t>
            </w:r>
          </w:p>
        </w:tc>
        <w:tc>
          <w:tcPr>
            <w:tcW w:w="1149" w:type="dxa"/>
            <w:vMerge w:val="restart"/>
            <w:noWrap w:val="0"/>
            <w:vAlign w:val="center"/>
          </w:tcPr>
          <w:p>
            <w:pPr>
              <w:pStyle w:val="159"/>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技术力量</w:t>
            </w:r>
          </w:p>
        </w:tc>
        <w:tc>
          <w:tcPr>
            <w:tcW w:w="5998" w:type="dxa"/>
            <w:gridSpan w:val="2"/>
            <w:noWrap w:val="0"/>
            <w:vAlign w:val="center"/>
          </w:tcPr>
          <w:p>
            <w:pPr>
              <w:widowControl/>
              <w:jc w:val="left"/>
              <w:rPr>
                <w:rFonts w:hint="eastAsia" w:ascii="宋体" w:hAnsi="宋体" w:cs="宋体"/>
                <w:color w:val="000000"/>
                <w:sz w:val="21"/>
                <w:szCs w:val="21"/>
              </w:rPr>
            </w:pPr>
            <w:r>
              <w:rPr>
                <w:rFonts w:hint="eastAsia" w:ascii="宋体" w:hAnsi="宋体" w:cs="宋体"/>
                <w:szCs w:val="21"/>
              </w:rPr>
              <w:t xml:space="preserve">1.根据所投产品相关的发明专利证书数量由多至少排序，排名第一的得标准分，其余依次按标准分值25%递减，最低分为0分；（非所投产品专利无效） </w:t>
            </w:r>
          </w:p>
        </w:tc>
        <w:tc>
          <w:tcPr>
            <w:tcW w:w="1389" w:type="dxa"/>
            <w:noWrap/>
            <w:vAlign w:val="center"/>
          </w:tcPr>
          <w:p>
            <w:pPr>
              <w:spacing w:line="360" w:lineRule="atLeast"/>
              <w:jc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9"/>
              <w:spacing w:line="360" w:lineRule="atLeast"/>
              <w:jc w:val="center"/>
              <w:rPr>
                <w:color w:val="000000"/>
              </w:rPr>
            </w:pPr>
          </w:p>
        </w:tc>
        <w:tc>
          <w:tcPr>
            <w:tcW w:w="1149" w:type="dxa"/>
            <w:vMerge w:val="continue"/>
            <w:noWrap w:val="0"/>
            <w:vAlign w:val="center"/>
          </w:tcPr>
          <w:p>
            <w:pPr>
              <w:pStyle w:val="159"/>
              <w:spacing w:line="360" w:lineRule="atLeast"/>
              <w:jc w:val="center"/>
              <w:rPr>
                <w:rFonts w:hint="eastAsia" w:ascii="宋体" w:hAnsi="宋体" w:cs="宋体"/>
                <w:color w:val="000000"/>
                <w:sz w:val="21"/>
                <w:szCs w:val="21"/>
              </w:rPr>
            </w:pPr>
          </w:p>
        </w:tc>
        <w:tc>
          <w:tcPr>
            <w:tcW w:w="5998" w:type="dxa"/>
            <w:gridSpan w:val="2"/>
            <w:noWrap w:val="0"/>
            <w:vAlign w:val="center"/>
          </w:tcPr>
          <w:p>
            <w:pPr>
              <w:rPr>
                <w:rFonts w:hint="eastAsia" w:ascii="宋体" w:hAnsi="宋体" w:cs="宋体"/>
                <w:color w:val="000000"/>
                <w:sz w:val="21"/>
                <w:szCs w:val="21"/>
              </w:rPr>
            </w:pPr>
            <w:r>
              <w:rPr>
                <w:rFonts w:hint="eastAsia" w:ascii="宋体" w:hAnsi="宋体" w:cs="宋体"/>
                <w:szCs w:val="21"/>
              </w:rPr>
              <w:t>2.根据所投产品相关的实用新型专利证书数量由多至少排序，排名第一的得标准分，其余依次按标准分值25%递减，最低分为0分；（非所投产品专利无效）</w:t>
            </w:r>
          </w:p>
        </w:tc>
        <w:tc>
          <w:tcPr>
            <w:tcW w:w="1389" w:type="dxa"/>
            <w:noWrap/>
            <w:vAlign w:val="center"/>
          </w:tcPr>
          <w:p>
            <w:pPr>
              <w:spacing w:line="360" w:lineRule="atLeast"/>
              <w:jc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9"/>
              <w:spacing w:line="360" w:lineRule="atLeast"/>
              <w:jc w:val="center"/>
              <w:rPr>
                <w:color w:val="000000"/>
              </w:rPr>
            </w:pPr>
          </w:p>
        </w:tc>
        <w:tc>
          <w:tcPr>
            <w:tcW w:w="1149" w:type="dxa"/>
            <w:vMerge w:val="continue"/>
            <w:noWrap w:val="0"/>
            <w:vAlign w:val="center"/>
          </w:tcPr>
          <w:p>
            <w:pPr>
              <w:pStyle w:val="159"/>
              <w:spacing w:line="360" w:lineRule="atLeast"/>
              <w:jc w:val="center"/>
              <w:rPr>
                <w:rFonts w:hint="eastAsia" w:ascii="宋体" w:hAnsi="宋体" w:cs="宋体"/>
                <w:color w:val="000000"/>
                <w:sz w:val="21"/>
                <w:szCs w:val="21"/>
              </w:rPr>
            </w:pPr>
          </w:p>
        </w:tc>
        <w:tc>
          <w:tcPr>
            <w:tcW w:w="5998" w:type="dxa"/>
            <w:gridSpan w:val="2"/>
            <w:noWrap w:val="0"/>
            <w:vAlign w:val="center"/>
          </w:tcPr>
          <w:p>
            <w:pPr>
              <w:rPr>
                <w:rFonts w:hint="eastAsia" w:ascii="宋体" w:hAnsi="宋体" w:cs="宋体"/>
                <w:color w:val="000000"/>
                <w:sz w:val="21"/>
                <w:szCs w:val="21"/>
              </w:rPr>
            </w:pPr>
            <w:r>
              <w:rPr>
                <w:rFonts w:hint="eastAsia" w:ascii="宋体" w:hAnsi="宋体" w:cs="宋体"/>
                <w:szCs w:val="21"/>
              </w:rPr>
              <w:t>3.所投产品具有CE认证的得标准分，没有得0分；</w:t>
            </w:r>
          </w:p>
        </w:tc>
        <w:tc>
          <w:tcPr>
            <w:tcW w:w="1389" w:type="dxa"/>
            <w:noWrap/>
            <w:vAlign w:val="center"/>
          </w:tcPr>
          <w:p>
            <w:pPr>
              <w:spacing w:line="360" w:lineRule="atLeast"/>
              <w:jc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noWrap/>
            <w:vAlign w:val="center"/>
          </w:tcPr>
          <w:p>
            <w:pPr>
              <w:pStyle w:val="159"/>
              <w:spacing w:line="360" w:lineRule="atLeast"/>
              <w:jc w:val="center"/>
              <w:rPr>
                <w:rFonts w:hint="eastAsia"/>
                <w:color w:val="000000"/>
              </w:rPr>
            </w:pPr>
            <w:r>
              <w:rPr>
                <w:rFonts w:hint="eastAsia"/>
                <w:color w:val="000000"/>
              </w:rPr>
              <w:t>二</w:t>
            </w:r>
          </w:p>
        </w:tc>
        <w:tc>
          <w:tcPr>
            <w:tcW w:w="1149" w:type="dxa"/>
            <w:noWrap w:val="0"/>
            <w:vAlign w:val="center"/>
          </w:tcPr>
          <w:p>
            <w:pPr>
              <w:pStyle w:val="159"/>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技术指标评分规则</w:t>
            </w:r>
          </w:p>
        </w:tc>
        <w:tc>
          <w:tcPr>
            <w:tcW w:w="5998" w:type="dxa"/>
            <w:gridSpan w:val="2"/>
            <w:noWrap w:val="0"/>
            <w:vAlign w:val="center"/>
          </w:tcPr>
          <w:p>
            <w:pPr>
              <w:spacing w:line="360" w:lineRule="atLeast"/>
              <w:ind w:firstLine="422"/>
              <w:rPr>
                <w:rFonts w:hint="eastAsia" w:ascii="宋体" w:hAnsi="宋体" w:cs="宋体"/>
                <w:b/>
                <w:bCs/>
                <w:color w:val="000000"/>
                <w:sz w:val="21"/>
                <w:szCs w:val="21"/>
              </w:rPr>
            </w:pPr>
            <w:r>
              <w:rPr>
                <w:rFonts w:hint="eastAsia" w:ascii="宋体" w:hAnsi="宋体" w:cs="宋体"/>
                <w:b/>
                <w:bCs/>
                <w:color w:val="000000"/>
                <w:sz w:val="21"/>
                <w:szCs w:val="21"/>
              </w:rPr>
              <w:t>（1）可量化排名指标评分规则</w:t>
            </w:r>
          </w:p>
          <w:p>
            <w:pPr>
              <w:spacing w:line="360" w:lineRule="atLeast"/>
              <w:ind w:firstLine="422"/>
              <w:rPr>
                <w:rFonts w:hint="eastAsia" w:ascii="宋体" w:hAnsi="宋体" w:cs="宋体"/>
                <w:color w:val="000000"/>
                <w:sz w:val="21"/>
                <w:szCs w:val="21"/>
              </w:rPr>
            </w:pPr>
            <w:r>
              <w:rPr>
                <w:rFonts w:hint="eastAsia" w:ascii="宋体" w:hAnsi="宋体" w:cs="宋体"/>
                <w:b/>
                <w:bCs/>
                <w:color w:val="000000"/>
                <w:sz w:val="21"/>
                <w:szCs w:val="21"/>
              </w:rPr>
              <w:t>①可以量化排名的</w:t>
            </w:r>
            <w:r>
              <w:rPr>
                <w:rFonts w:hint="eastAsia" w:ascii="宋体" w:hAnsi="宋体" w:cs="宋体"/>
                <w:b/>
                <w:bCs/>
                <w:color w:val="000000"/>
                <w:sz w:val="21"/>
                <w:szCs w:val="21"/>
                <w:u w:val="single"/>
              </w:rPr>
              <w:t>“★”条款</w:t>
            </w:r>
            <w:r>
              <w:rPr>
                <w:rFonts w:hint="eastAsia" w:ascii="宋体" w:hAnsi="宋体" w:cs="宋体"/>
                <w:b/>
                <w:bCs/>
                <w:color w:val="000000"/>
                <w:sz w:val="21"/>
                <w:szCs w:val="21"/>
              </w:rPr>
              <w:t>、</w:t>
            </w:r>
            <w:r>
              <w:rPr>
                <w:rFonts w:hint="eastAsia" w:ascii="宋体" w:hAnsi="宋体" w:cs="宋体"/>
                <w:b/>
                <w:bCs/>
                <w:color w:val="000000"/>
                <w:sz w:val="21"/>
                <w:szCs w:val="21"/>
                <w:u w:val="single"/>
              </w:rPr>
              <w:t>“▲”条款</w:t>
            </w:r>
            <w:r>
              <w:rPr>
                <w:rFonts w:hint="eastAsia" w:ascii="宋体" w:hAnsi="宋体" w:cs="宋体"/>
                <w:b/>
                <w:bCs/>
                <w:color w:val="000000"/>
                <w:sz w:val="21"/>
                <w:szCs w:val="21"/>
              </w:rPr>
              <w:t>和</w:t>
            </w:r>
            <w:r>
              <w:rPr>
                <w:rFonts w:hint="eastAsia" w:ascii="宋体" w:hAnsi="宋体" w:cs="宋体"/>
                <w:b/>
                <w:bCs/>
                <w:color w:val="000000"/>
                <w:sz w:val="21"/>
                <w:szCs w:val="21"/>
                <w:u w:val="single"/>
              </w:rPr>
              <w:t>“</w:t>
            </w:r>
            <w:r>
              <w:rPr>
                <w:rFonts w:hint="eastAsia" w:ascii="宋体" w:hAnsi="宋体" w:cs="宋体"/>
                <w:b/>
                <w:bCs/>
                <w:color w:val="000000"/>
                <w:sz w:val="21"/>
                <w:szCs w:val="21"/>
                <w:u w:val="single"/>
                <w:lang w:val="zh-CN"/>
              </w:rPr>
              <w:t>一般技术指标参数</w:t>
            </w:r>
            <w:r>
              <w:rPr>
                <w:rFonts w:hint="eastAsia" w:ascii="宋体" w:hAnsi="宋体" w:cs="宋体"/>
                <w:b/>
                <w:bCs/>
                <w:color w:val="000000"/>
                <w:sz w:val="21"/>
                <w:szCs w:val="21"/>
                <w:u w:val="single"/>
              </w:rPr>
              <w:t>”</w:t>
            </w:r>
            <w:r>
              <w:rPr>
                <w:rFonts w:hint="eastAsia" w:ascii="宋体" w:hAnsi="宋体" w:cs="宋体"/>
                <w:b/>
                <w:bCs/>
                <w:color w:val="000000"/>
                <w:sz w:val="21"/>
                <w:szCs w:val="21"/>
              </w:rPr>
              <w:t>的正偏离评分规则：</w:t>
            </w:r>
            <w:r>
              <w:rPr>
                <w:rFonts w:hint="eastAsia" w:ascii="宋体" w:hAnsi="宋体" w:cs="宋体"/>
                <w:color w:val="000000"/>
                <w:sz w:val="21"/>
                <w:szCs w:val="21"/>
              </w:rPr>
              <w:t>按偏离程度由高到低排名，排名第一得标准分值，排名第二按标准分值的25%递减得分，依此类推，</w:t>
            </w:r>
            <w:r>
              <w:rPr>
                <w:rFonts w:hint="eastAsia" w:ascii="宋体" w:hAnsi="宋体" w:cs="宋体"/>
                <w:color w:val="000000"/>
                <w:sz w:val="21"/>
                <w:szCs w:val="21"/>
                <w:u w:val="single"/>
              </w:rPr>
              <w:t>无偏离和排名第四名之后的正偏离为0分。</w:t>
            </w:r>
          </w:p>
          <w:p>
            <w:pPr>
              <w:spacing w:line="360" w:lineRule="atLeast"/>
              <w:ind w:firstLine="422"/>
              <w:rPr>
                <w:rFonts w:hint="eastAsia" w:ascii="宋体" w:hAnsi="宋体" w:cs="宋体"/>
                <w:color w:val="000000"/>
                <w:sz w:val="21"/>
                <w:szCs w:val="21"/>
              </w:rPr>
            </w:pPr>
            <w:r>
              <w:rPr>
                <w:rFonts w:hint="eastAsia" w:ascii="宋体" w:hAnsi="宋体" w:cs="宋体"/>
                <w:b/>
                <w:bCs/>
                <w:color w:val="000000"/>
                <w:sz w:val="21"/>
                <w:szCs w:val="21"/>
              </w:rPr>
              <w:t>注：</w:t>
            </w:r>
            <w:r>
              <w:rPr>
                <w:rFonts w:hint="eastAsia" w:ascii="宋体" w:hAnsi="宋体" w:cs="宋体"/>
                <w:color w:val="000000"/>
                <w:sz w:val="21"/>
                <w:szCs w:val="21"/>
              </w:rPr>
              <w:t>三分之二及以上技术专家认定正偏离对产品性能没有实质意义的指标值，可以不列入排名，得分一致，但须备注：正偏离无实质意义。</w:t>
            </w:r>
          </w:p>
          <w:p>
            <w:pPr>
              <w:spacing w:line="360" w:lineRule="atLeast"/>
              <w:ind w:firstLine="422"/>
              <w:rPr>
                <w:rFonts w:hint="eastAsia" w:ascii="宋体" w:hAnsi="宋体" w:cs="宋体"/>
                <w:b/>
                <w:bCs/>
                <w:color w:val="000000"/>
                <w:sz w:val="21"/>
                <w:szCs w:val="21"/>
              </w:rPr>
            </w:pPr>
            <w:r>
              <w:rPr>
                <w:rFonts w:hint="eastAsia" w:ascii="宋体" w:hAnsi="宋体" w:cs="宋体"/>
                <w:b/>
                <w:bCs/>
                <w:color w:val="000000"/>
                <w:sz w:val="21"/>
                <w:szCs w:val="21"/>
              </w:rPr>
              <w:t>②可以量化排名的</w:t>
            </w:r>
            <w:r>
              <w:rPr>
                <w:rFonts w:hint="eastAsia" w:ascii="宋体" w:hAnsi="宋体" w:cs="宋体"/>
                <w:b/>
                <w:bCs/>
                <w:color w:val="000000"/>
                <w:sz w:val="21"/>
                <w:szCs w:val="21"/>
                <w:u w:val="single"/>
              </w:rPr>
              <w:t>“▲”条款</w:t>
            </w:r>
            <w:r>
              <w:rPr>
                <w:rFonts w:hint="eastAsia" w:ascii="宋体" w:hAnsi="宋体" w:cs="宋体"/>
                <w:b/>
                <w:bCs/>
                <w:color w:val="000000"/>
                <w:sz w:val="21"/>
                <w:szCs w:val="21"/>
              </w:rPr>
              <w:t>和</w:t>
            </w:r>
            <w:r>
              <w:rPr>
                <w:rFonts w:hint="eastAsia" w:ascii="宋体" w:hAnsi="宋体" w:cs="宋体"/>
                <w:b/>
                <w:bCs/>
                <w:color w:val="000000"/>
                <w:sz w:val="21"/>
                <w:szCs w:val="21"/>
                <w:u w:val="single"/>
              </w:rPr>
              <w:t>“</w:t>
            </w:r>
            <w:r>
              <w:rPr>
                <w:rFonts w:hint="eastAsia" w:ascii="宋体" w:hAnsi="宋体" w:cs="宋体"/>
                <w:b/>
                <w:bCs/>
                <w:color w:val="000000"/>
                <w:sz w:val="21"/>
                <w:szCs w:val="21"/>
                <w:u w:val="single"/>
                <w:lang w:val="zh-CN"/>
              </w:rPr>
              <w:t>一般技术指标参数</w:t>
            </w:r>
            <w:r>
              <w:rPr>
                <w:rFonts w:hint="eastAsia" w:ascii="宋体" w:hAnsi="宋体" w:cs="宋体"/>
                <w:b/>
                <w:bCs/>
                <w:color w:val="000000"/>
                <w:sz w:val="21"/>
                <w:szCs w:val="21"/>
                <w:u w:val="single"/>
              </w:rPr>
              <w:t>”</w:t>
            </w:r>
            <w:r>
              <w:rPr>
                <w:rFonts w:hint="eastAsia" w:ascii="宋体" w:hAnsi="宋体" w:cs="宋体"/>
                <w:b/>
                <w:bCs/>
                <w:color w:val="000000"/>
                <w:sz w:val="21"/>
                <w:szCs w:val="21"/>
              </w:rPr>
              <w:t>负偏离评分规则：</w:t>
            </w:r>
            <w:r>
              <w:rPr>
                <w:rFonts w:hint="eastAsia" w:ascii="宋体" w:hAnsi="宋体" w:cs="宋体"/>
                <w:color w:val="000000"/>
                <w:sz w:val="21"/>
                <w:szCs w:val="21"/>
              </w:rPr>
              <w:t>按偏离程度由低到高排名。只有1家负偏离的，得分为相应指标负标准分值；有2家负偏离的，负偏离程度最大的得负标准分值，负偏离程度第二的得标准分值的负50%分；有3家负偏离的，负偏离程度最大得负标准分值，负偏离程度第二的得标准分值的负66%分，负偏离程度第三的得标准分值的负33%分；有4家及以上负偏离的，负偏离程度最大得负标准分值，负偏离程度第二的得标准分值的负75%分，负偏离程度第三的得标准分值的负50%分；负偏离程度第四的得标准分值的负25%分；其余负偏离的得0分。</w:t>
            </w:r>
          </w:p>
          <w:p>
            <w:pPr>
              <w:spacing w:line="360" w:lineRule="atLeast"/>
              <w:ind w:firstLine="422"/>
              <w:rPr>
                <w:rFonts w:hint="eastAsia" w:ascii="宋体" w:hAnsi="宋体" w:cs="宋体"/>
                <w:color w:val="000000"/>
                <w:sz w:val="21"/>
                <w:szCs w:val="21"/>
              </w:rPr>
            </w:pPr>
            <w:r>
              <w:rPr>
                <w:rFonts w:hint="eastAsia" w:ascii="宋体" w:hAnsi="宋体" w:cs="宋体"/>
                <w:b/>
                <w:bCs/>
                <w:color w:val="000000"/>
                <w:sz w:val="21"/>
                <w:szCs w:val="21"/>
              </w:rPr>
              <w:t>（2）不可量化排名指标评分规则：</w:t>
            </w:r>
            <w:r>
              <w:rPr>
                <w:rFonts w:hint="eastAsia" w:ascii="宋体" w:hAnsi="宋体" w:cs="宋体"/>
                <w:color w:val="000000"/>
                <w:sz w:val="21"/>
                <w:szCs w:val="21"/>
              </w:rPr>
              <w:t>适用于</w:t>
            </w:r>
            <w:r>
              <w:rPr>
                <w:rFonts w:hint="eastAsia" w:ascii="宋体" w:hAnsi="宋体" w:cs="宋体"/>
                <w:color w:val="000000"/>
                <w:sz w:val="21"/>
                <w:szCs w:val="21"/>
                <w:u w:val="single"/>
              </w:rPr>
              <w:t>“▲”条款</w:t>
            </w:r>
            <w:r>
              <w:rPr>
                <w:rFonts w:hint="eastAsia" w:ascii="宋体" w:hAnsi="宋体" w:cs="宋体"/>
                <w:color w:val="000000"/>
                <w:sz w:val="21"/>
                <w:szCs w:val="21"/>
              </w:rPr>
              <w:t>和</w:t>
            </w:r>
            <w:r>
              <w:rPr>
                <w:rFonts w:hint="eastAsia" w:ascii="宋体" w:hAnsi="宋体" w:cs="宋体"/>
                <w:color w:val="000000"/>
                <w:sz w:val="21"/>
                <w:szCs w:val="21"/>
                <w:u w:val="single"/>
              </w:rPr>
              <w:t>“</w:t>
            </w:r>
            <w:r>
              <w:rPr>
                <w:rFonts w:hint="eastAsia" w:ascii="宋体" w:hAnsi="宋体" w:cs="宋体"/>
                <w:color w:val="000000"/>
                <w:sz w:val="21"/>
                <w:szCs w:val="21"/>
                <w:u w:val="single"/>
                <w:lang w:val="zh-CN"/>
              </w:rPr>
              <w:t>一般技术指标参数</w:t>
            </w:r>
            <w:r>
              <w:rPr>
                <w:rFonts w:hint="eastAsia" w:ascii="宋体" w:hAnsi="宋体" w:cs="宋体"/>
                <w:color w:val="000000"/>
                <w:sz w:val="21"/>
                <w:szCs w:val="21"/>
                <w:u w:val="single"/>
              </w:rPr>
              <w:t>”</w:t>
            </w:r>
            <w:r>
              <w:rPr>
                <w:rFonts w:hint="eastAsia" w:ascii="宋体" w:hAnsi="宋体" w:cs="宋体"/>
                <w:color w:val="000000"/>
                <w:sz w:val="21"/>
                <w:szCs w:val="21"/>
              </w:rPr>
              <w:t>中不便量化排名的，满足要求的得标准分值，不满足的得0分。</w:t>
            </w:r>
          </w:p>
          <w:p>
            <w:pPr>
              <w:spacing w:line="360" w:lineRule="atLeast"/>
              <w:rPr>
                <w:rFonts w:hint="eastAsia" w:ascii="宋体" w:hAnsi="宋体" w:cs="宋体"/>
                <w:color w:val="000000"/>
                <w:sz w:val="21"/>
                <w:szCs w:val="21"/>
              </w:rPr>
            </w:pPr>
            <w:r>
              <w:rPr>
                <w:rFonts w:hint="eastAsia" w:ascii="宋体" w:hAnsi="宋体" w:cs="宋体"/>
                <w:color w:val="000000"/>
                <w:sz w:val="21"/>
                <w:szCs w:val="21"/>
                <w:u w:val="single"/>
              </w:rPr>
              <w:t>“★”条款</w:t>
            </w:r>
            <w:r>
              <w:rPr>
                <w:rFonts w:hint="eastAsia" w:ascii="宋体" w:hAnsi="宋体" w:cs="宋体"/>
                <w:color w:val="000000"/>
                <w:sz w:val="21"/>
                <w:szCs w:val="21"/>
              </w:rPr>
              <w:t>标准分值应当大于</w:t>
            </w:r>
            <w:r>
              <w:rPr>
                <w:rFonts w:hint="eastAsia" w:ascii="宋体" w:hAnsi="宋体" w:cs="宋体"/>
                <w:color w:val="000000"/>
                <w:sz w:val="21"/>
                <w:szCs w:val="21"/>
                <w:u w:val="single"/>
              </w:rPr>
              <w:t>“▲”条款</w:t>
            </w:r>
            <w:r>
              <w:rPr>
                <w:rFonts w:hint="eastAsia" w:ascii="宋体" w:hAnsi="宋体" w:cs="宋体"/>
                <w:color w:val="000000"/>
                <w:sz w:val="21"/>
                <w:szCs w:val="21"/>
              </w:rPr>
              <w:t>标准分值，</w:t>
            </w:r>
            <w:r>
              <w:rPr>
                <w:rFonts w:hint="eastAsia" w:ascii="宋体" w:hAnsi="宋体" w:cs="宋体"/>
                <w:color w:val="000000"/>
                <w:sz w:val="21"/>
                <w:szCs w:val="21"/>
                <w:u w:val="single"/>
              </w:rPr>
              <w:t>“▲”条款</w:t>
            </w:r>
            <w:r>
              <w:rPr>
                <w:rFonts w:hint="eastAsia" w:ascii="宋体" w:hAnsi="宋体" w:cs="宋体"/>
                <w:color w:val="000000"/>
                <w:sz w:val="21"/>
                <w:szCs w:val="21"/>
              </w:rPr>
              <w:t>标准分值应当大于</w:t>
            </w:r>
            <w:r>
              <w:rPr>
                <w:rFonts w:hint="eastAsia" w:ascii="宋体" w:hAnsi="宋体" w:cs="宋体"/>
                <w:color w:val="000000"/>
                <w:sz w:val="21"/>
                <w:szCs w:val="21"/>
                <w:u w:val="single"/>
              </w:rPr>
              <w:t>“</w:t>
            </w:r>
            <w:r>
              <w:rPr>
                <w:rFonts w:hint="eastAsia" w:ascii="宋体" w:hAnsi="宋体" w:cs="宋体"/>
                <w:color w:val="000000"/>
                <w:sz w:val="21"/>
                <w:szCs w:val="21"/>
                <w:u w:val="single"/>
                <w:lang w:val="zh-CN"/>
              </w:rPr>
              <w:t>一般技术指标参数</w:t>
            </w:r>
            <w:r>
              <w:rPr>
                <w:rFonts w:hint="eastAsia" w:ascii="宋体" w:hAnsi="宋体" w:cs="宋体"/>
                <w:color w:val="000000"/>
                <w:sz w:val="21"/>
                <w:szCs w:val="21"/>
                <w:u w:val="single"/>
              </w:rPr>
              <w:t>”</w:t>
            </w:r>
            <w:r>
              <w:rPr>
                <w:rFonts w:hint="eastAsia" w:ascii="宋体" w:hAnsi="宋体" w:cs="宋体"/>
                <w:color w:val="000000"/>
                <w:sz w:val="21"/>
                <w:szCs w:val="21"/>
              </w:rPr>
              <w:t>标准分值。</w:t>
            </w:r>
          </w:p>
          <w:p>
            <w:pPr>
              <w:spacing w:line="360" w:lineRule="atLeast"/>
              <w:ind w:firstLine="422"/>
              <w:rPr>
                <w:rFonts w:hint="eastAsia" w:ascii="宋体" w:hAnsi="宋体" w:cs="宋体"/>
                <w:color w:val="000000"/>
                <w:sz w:val="21"/>
                <w:szCs w:val="21"/>
              </w:rPr>
            </w:pPr>
            <w:r>
              <w:rPr>
                <w:rFonts w:hint="eastAsia" w:ascii="宋体" w:hAnsi="宋体" w:cs="宋体"/>
                <w:color w:val="000000"/>
                <w:sz w:val="21"/>
                <w:szCs w:val="21"/>
              </w:rPr>
              <w:t>（3）负偏离合计超过4项（含），“产品技术性能指标参数满足偏离情况”总得分为0分。</w:t>
            </w:r>
          </w:p>
          <w:p>
            <w:pPr>
              <w:spacing w:line="360" w:lineRule="atLeast"/>
              <w:ind w:firstLine="422"/>
              <w:rPr>
                <w:rFonts w:hint="eastAsia" w:ascii="宋体" w:hAnsi="宋体" w:cs="宋体"/>
                <w:b/>
                <w:bCs/>
                <w:color w:val="000000"/>
                <w:sz w:val="21"/>
                <w:szCs w:val="21"/>
              </w:rPr>
            </w:pPr>
            <w:r>
              <w:rPr>
                <w:rFonts w:hint="eastAsia" w:ascii="宋体" w:hAnsi="宋体" w:cs="宋体"/>
                <w:b/>
                <w:bCs/>
                <w:color w:val="000000"/>
                <w:sz w:val="21"/>
                <w:szCs w:val="21"/>
              </w:rPr>
              <w:t>说明：若技术指标存在范围或数值，评审时应考虑投标人响应指标的优劣进行量化排名，按可量化排名指标进行评审。</w:t>
            </w:r>
            <w:r>
              <w:rPr>
                <w:rFonts w:hint="eastAsia" w:ascii="宋体" w:hAnsi="宋体" w:cs="宋体"/>
                <w:sz w:val="21"/>
                <w:szCs w:val="21"/>
              </w:rPr>
              <w:t>【本项评审正偏离认定时以投标人提供的完整的技术支持资料（包括制造商公开发布的印刷资料（含制造商出具的产品规格表等）或第三方检测机构出具的检测报告或医疗器械注册（备案凭证）证）为依据，没有依据的不得判定技术指标正偏离】</w:t>
            </w:r>
          </w:p>
        </w:tc>
        <w:tc>
          <w:tcPr>
            <w:tcW w:w="1389" w:type="dxa"/>
            <w:noWrap/>
            <w:vAlign w:val="center"/>
          </w:tcPr>
          <w:p>
            <w:pPr>
              <w:pStyle w:val="159"/>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本大项标准分值合计</w:t>
            </w:r>
            <w:r>
              <w:rPr>
                <w:rFonts w:hint="eastAsia" w:ascii="宋体" w:hAnsi="宋体" w:cs="宋体"/>
                <w:color w:val="000000"/>
                <w:sz w:val="21"/>
                <w:szCs w:val="21"/>
                <w:u w:val="single"/>
              </w:rPr>
              <w:t xml:space="preserve"> 4</w:t>
            </w:r>
            <w:r>
              <w:rPr>
                <w:rFonts w:hint="eastAsia" w:ascii="宋体" w:hAnsi="宋体" w:cs="宋体"/>
                <w:color w:val="000000"/>
                <w:sz w:val="21"/>
                <w:szCs w:val="21"/>
                <w:u w:val="single"/>
                <w:lang w:val="en-US" w:eastAsia="zh-CN"/>
              </w:rPr>
              <w:t>6</w:t>
            </w:r>
            <w:r>
              <w:rPr>
                <w:rFonts w:hint="eastAsia" w:ascii="宋体" w:hAnsi="宋体" w:cs="宋体"/>
                <w:color w:val="000000"/>
                <w:sz w:val="21"/>
                <w:szCs w:val="21"/>
                <w:u w:val="single"/>
              </w:rPr>
              <w:t xml:space="preserve"> </w:t>
            </w:r>
            <w:r>
              <w:rPr>
                <w:rFonts w:hint="eastAsia" w:ascii="宋体" w:hAnsi="宋体" w:cs="宋体"/>
                <w:color w:val="00000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restart"/>
            <w:noWrap/>
            <w:vAlign w:val="center"/>
          </w:tcPr>
          <w:p>
            <w:pPr>
              <w:pStyle w:val="159"/>
              <w:spacing w:line="360" w:lineRule="atLeast"/>
              <w:jc w:val="center"/>
              <w:rPr>
                <w:rFonts w:hint="eastAsia"/>
                <w:color w:val="000000"/>
              </w:rPr>
            </w:pPr>
          </w:p>
        </w:tc>
        <w:tc>
          <w:tcPr>
            <w:tcW w:w="1149" w:type="dxa"/>
            <w:vMerge w:val="restart"/>
            <w:noWrap w:val="0"/>
            <w:vAlign w:val="center"/>
          </w:tcPr>
          <w:p>
            <w:pPr>
              <w:pStyle w:val="159"/>
              <w:spacing w:line="360" w:lineRule="atLeast"/>
              <w:jc w:val="center"/>
              <w:rPr>
                <w:rFonts w:hint="eastAsia" w:ascii="宋体" w:hAnsi="宋体" w:cs="宋体"/>
                <w:color w:val="000000"/>
                <w:sz w:val="21"/>
                <w:szCs w:val="21"/>
              </w:rPr>
            </w:pPr>
            <w:r>
              <w:rPr>
                <w:rFonts w:hint="eastAsia" w:ascii="宋体" w:hAnsi="宋体" w:cs="宋体"/>
                <w:b/>
                <w:bCs/>
                <w:color w:val="000000"/>
                <w:sz w:val="21"/>
                <w:szCs w:val="21"/>
              </w:rPr>
              <w:t>产品技术性能指标参数满足偏离情况</w:t>
            </w:r>
          </w:p>
        </w:tc>
        <w:tc>
          <w:tcPr>
            <w:tcW w:w="4033" w:type="dxa"/>
            <w:noWrap w:val="0"/>
            <w:vAlign w:val="center"/>
          </w:tcPr>
          <w:p>
            <w:pPr>
              <w:spacing w:line="360" w:lineRule="atLeast"/>
              <w:jc w:val="center"/>
              <w:rPr>
                <w:rFonts w:hint="eastAsia" w:ascii="宋体" w:hAnsi="宋体" w:eastAsia="宋体" w:cs="华文中宋"/>
                <w:b/>
                <w:bCs/>
                <w:sz w:val="24"/>
                <w:szCs w:val="21"/>
                <w:lang w:val="zh-CN"/>
              </w:rPr>
            </w:pPr>
            <w:r>
              <w:rPr>
                <w:rFonts w:hint="eastAsia" w:ascii="宋体" w:hAnsi="宋体" w:eastAsia="宋体" w:cs="华文中宋"/>
                <w:b/>
                <w:bCs/>
                <w:sz w:val="24"/>
                <w:szCs w:val="21"/>
                <w:lang w:val="zh-CN"/>
              </w:rPr>
              <w:t>技术参数</w:t>
            </w:r>
          </w:p>
        </w:tc>
        <w:tc>
          <w:tcPr>
            <w:tcW w:w="1965" w:type="dxa"/>
            <w:noWrap w:val="0"/>
            <w:vAlign w:val="center"/>
          </w:tcPr>
          <w:p>
            <w:pPr>
              <w:spacing w:line="360" w:lineRule="atLeast"/>
              <w:jc w:val="center"/>
              <w:rPr>
                <w:rFonts w:hint="eastAsia" w:ascii="宋体" w:hAnsi="宋体" w:cs="宋体"/>
                <w:sz w:val="21"/>
                <w:szCs w:val="21"/>
              </w:rPr>
            </w:pPr>
            <w:r>
              <w:rPr>
                <w:rFonts w:hint="eastAsia" w:ascii="宋体" w:hAnsi="宋体" w:cs="华文中宋"/>
                <w:b/>
                <w:bCs/>
                <w:szCs w:val="21"/>
                <w:lang w:val="zh-CN"/>
              </w:rPr>
              <w:t>可量化指标正偏离认定情况</w:t>
            </w:r>
          </w:p>
        </w:tc>
        <w:tc>
          <w:tcPr>
            <w:tcW w:w="1389" w:type="dxa"/>
            <w:noWrap/>
            <w:vAlign w:val="center"/>
          </w:tcPr>
          <w:p>
            <w:pPr>
              <w:pStyle w:val="159"/>
              <w:spacing w:line="360" w:lineRule="atLeast"/>
              <w:jc w:val="center"/>
              <w:rPr>
                <w:rFonts w:hint="eastAsia" w:ascii="宋体" w:hAnsi="宋体" w:eastAsia="宋体" w:cs="宋体"/>
                <w:color w:val="000000"/>
                <w:sz w:val="21"/>
                <w:szCs w:val="21"/>
                <w:lang w:val="en-US" w:eastAsia="zh-CN"/>
              </w:rPr>
            </w:pPr>
            <w:r>
              <w:rPr>
                <w:rFonts w:hint="eastAsia" w:ascii="宋体" w:hAnsi="宋体" w:cs="宋体"/>
                <w:b/>
                <w:bCs/>
                <w:color w:val="000000"/>
                <w:sz w:val="21"/>
                <w:szCs w:val="21"/>
                <w:lang w:val="en-US" w:eastAsia="zh-CN"/>
              </w:rPr>
              <w:t>得分（分）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9"/>
              <w:spacing w:line="360" w:lineRule="atLeast"/>
              <w:jc w:val="center"/>
              <w:rPr>
                <w:rFonts w:hint="eastAsia"/>
                <w:color w:val="000000"/>
              </w:rPr>
            </w:pPr>
          </w:p>
        </w:tc>
        <w:tc>
          <w:tcPr>
            <w:tcW w:w="1149" w:type="dxa"/>
            <w:vMerge w:val="continue"/>
            <w:noWrap w:val="0"/>
            <w:vAlign w:val="center"/>
          </w:tcPr>
          <w:p>
            <w:pPr>
              <w:pStyle w:val="159"/>
              <w:spacing w:line="360" w:lineRule="atLeast"/>
              <w:jc w:val="center"/>
              <w:rPr>
                <w:rFonts w:hint="eastAsia" w:ascii="宋体" w:hAnsi="宋体" w:cs="宋体"/>
                <w:color w:val="000000"/>
                <w:sz w:val="21"/>
                <w:szCs w:val="21"/>
              </w:rPr>
            </w:pPr>
          </w:p>
        </w:tc>
        <w:tc>
          <w:tcPr>
            <w:tcW w:w="4033" w:type="dxa"/>
            <w:noWrap w:val="0"/>
            <w:vAlign w:val="center"/>
          </w:tcPr>
          <w:p>
            <w:pPr>
              <w:keepNext w:val="0"/>
              <w:keepLines w:val="0"/>
              <w:pageBreakBefore w:val="0"/>
              <w:widowControl w:val="0"/>
              <w:kinsoku/>
              <w:wordWrap/>
              <w:overflowPunct/>
              <w:topLinePunct w:val="0"/>
              <w:autoSpaceDE/>
              <w:autoSpaceDN/>
              <w:bidi w:val="0"/>
              <w:adjustRightInd/>
              <w:snapToGrid/>
              <w:spacing w:line="350" w:lineRule="atLeast"/>
              <w:jc w:val="left"/>
              <w:textAlignment w:val="auto"/>
              <w:rPr>
                <w:rFonts w:hint="eastAsia" w:ascii="宋体" w:hAnsi="宋体" w:eastAsia="宋体" w:cs="宋体"/>
                <w:kern w:val="2"/>
                <w:sz w:val="21"/>
                <w:szCs w:val="21"/>
                <w:lang w:val="zh-CN" w:eastAsia="zh-Hans" w:bidi="ar-SA"/>
              </w:rPr>
            </w:pPr>
            <w:r>
              <w:rPr>
                <w:rFonts w:hint="eastAsia" w:ascii="宋体" w:hAnsi="宋体" w:cs="宋体"/>
                <w:sz w:val="21"/>
                <w:szCs w:val="21"/>
              </w:rPr>
              <w:t>★1.LED背光，屏幕尺寸≥31英寸，分辨率≥3840×2160。输入接口：VGA、DVI×2、HDMI×2、DP×2可接收≥7</w:t>
            </w:r>
            <w:r>
              <w:rPr>
                <w:rFonts w:hint="eastAsia" w:ascii="宋体" w:hAnsi="宋体" w:cs="宋体"/>
                <w:sz w:val="21"/>
                <w:szCs w:val="21"/>
                <w:lang w:val="en-US"/>
              </w:rPr>
              <w:t>路</w:t>
            </w:r>
            <w:r>
              <w:rPr>
                <w:rFonts w:hint="eastAsia" w:ascii="宋体" w:hAnsi="宋体" w:cs="宋体"/>
                <w:sz w:val="21"/>
                <w:szCs w:val="21"/>
              </w:rPr>
              <w:t>独立信号并同时显示（整机主板自带接口，非信号转接头、和外接拓展设备）；</w:t>
            </w:r>
          </w:p>
        </w:tc>
        <w:tc>
          <w:tcPr>
            <w:tcW w:w="1965" w:type="dxa"/>
            <w:noWrap w:val="0"/>
            <w:vAlign w:val="center"/>
          </w:tcPr>
          <w:p>
            <w:pPr>
              <w:keepNext w:val="0"/>
              <w:keepLines w:val="0"/>
              <w:pageBreakBefore w:val="0"/>
              <w:widowControl w:val="0"/>
              <w:kinsoku/>
              <w:wordWrap/>
              <w:overflowPunct/>
              <w:topLinePunct w:val="0"/>
              <w:autoSpaceDE/>
              <w:autoSpaceDN/>
              <w:bidi w:val="0"/>
              <w:adjustRightInd/>
              <w:snapToGrid/>
              <w:spacing w:line="350" w:lineRule="atLeast"/>
              <w:jc w:val="left"/>
              <w:textAlignment w:val="auto"/>
              <w:rPr>
                <w:rFonts w:hint="eastAsia" w:ascii="宋体" w:hAnsi="宋体" w:eastAsia="宋体" w:cs="宋体"/>
                <w:kern w:val="2"/>
                <w:sz w:val="21"/>
                <w:szCs w:val="21"/>
                <w:lang w:val="en-US" w:eastAsia="zh-CN" w:bidi="ar-SA"/>
              </w:rPr>
            </w:pPr>
            <w:r>
              <w:rPr>
                <w:rFonts w:hint="eastAsia" w:ascii="宋体" w:hAnsi="宋体" w:cs="宋体"/>
                <w:sz w:val="21"/>
                <w:szCs w:val="21"/>
              </w:rPr>
              <w:t>信号接口越多，适用于多种工作模式加分，尺寸、分辨率高的加分</w:t>
            </w:r>
          </w:p>
        </w:tc>
        <w:tc>
          <w:tcPr>
            <w:tcW w:w="1389" w:type="dxa"/>
            <w:noWrap/>
            <w:vAlign w:val="center"/>
          </w:tcPr>
          <w:p>
            <w:pPr>
              <w:pStyle w:val="159"/>
              <w:spacing w:line="360" w:lineRule="atLeast"/>
              <w:ind w:firstLine="0" w:firstLineChars="0"/>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9"/>
              <w:spacing w:line="360" w:lineRule="atLeast"/>
              <w:jc w:val="center"/>
              <w:rPr>
                <w:rFonts w:hint="eastAsia"/>
                <w:color w:val="000000"/>
              </w:rPr>
            </w:pPr>
          </w:p>
        </w:tc>
        <w:tc>
          <w:tcPr>
            <w:tcW w:w="1149" w:type="dxa"/>
            <w:vMerge w:val="continue"/>
            <w:noWrap w:val="0"/>
            <w:vAlign w:val="center"/>
          </w:tcPr>
          <w:p>
            <w:pPr>
              <w:pStyle w:val="159"/>
              <w:spacing w:line="360" w:lineRule="atLeast"/>
              <w:jc w:val="center"/>
              <w:rPr>
                <w:rFonts w:hint="eastAsia" w:ascii="宋体" w:hAnsi="宋体" w:cs="宋体"/>
                <w:color w:val="000000"/>
                <w:sz w:val="21"/>
                <w:szCs w:val="21"/>
              </w:rPr>
            </w:pPr>
          </w:p>
        </w:tc>
        <w:tc>
          <w:tcPr>
            <w:tcW w:w="4033" w:type="dxa"/>
            <w:noWrap w:val="0"/>
            <w:vAlign w:val="center"/>
          </w:tcPr>
          <w:p>
            <w:pPr>
              <w:keepNext w:val="0"/>
              <w:keepLines w:val="0"/>
              <w:pageBreakBefore w:val="0"/>
              <w:widowControl w:val="0"/>
              <w:kinsoku/>
              <w:wordWrap/>
              <w:overflowPunct/>
              <w:topLinePunct w:val="0"/>
              <w:autoSpaceDE/>
              <w:autoSpaceDN/>
              <w:bidi w:val="0"/>
              <w:adjustRightInd/>
              <w:snapToGrid/>
              <w:spacing w:line="350" w:lineRule="atLeast"/>
              <w:jc w:val="left"/>
              <w:textAlignment w:val="auto"/>
              <w:rPr>
                <w:rFonts w:hint="eastAsia" w:ascii="宋体" w:hAnsi="宋体" w:eastAsia="宋体" w:cs="宋体"/>
                <w:kern w:val="2"/>
                <w:sz w:val="21"/>
                <w:szCs w:val="21"/>
                <w:lang w:val="zh-CN" w:eastAsia="zh-Hans" w:bidi="ar-SA"/>
              </w:rPr>
            </w:pPr>
            <w:r>
              <w:rPr>
                <w:rFonts w:hint="eastAsia" w:ascii="宋体" w:hAnsi="宋体" w:cs="宋体"/>
                <w:sz w:val="21"/>
                <w:szCs w:val="21"/>
              </w:rPr>
              <w:t>▲2.多功能应用：显示器前框≥15个机械按键（非外接拓展按键或软件虚拟按键），可一键快捷切换单屏/双屏/三屏/四屏/画中画等，并实时在屏幕上显示当前机内温度实际数值和亮度的实际数值；</w:t>
            </w:r>
          </w:p>
        </w:tc>
        <w:tc>
          <w:tcPr>
            <w:tcW w:w="1965" w:type="dxa"/>
            <w:noWrap w:val="0"/>
            <w:vAlign w:val="center"/>
          </w:tcPr>
          <w:p>
            <w:pPr>
              <w:keepNext w:val="0"/>
              <w:keepLines w:val="0"/>
              <w:pageBreakBefore w:val="0"/>
              <w:widowControl w:val="0"/>
              <w:kinsoku/>
              <w:wordWrap/>
              <w:overflowPunct/>
              <w:topLinePunct w:val="0"/>
              <w:autoSpaceDE/>
              <w:autoSpaceDN/>
              <w:bidi w:val="0"/>
              <w:adjustRightInd/>
              <w:snapToGrid/>
              <w:spacing w:line="350" w:lineRule="atLeast"/>
              <w:jc w:val="left"/>
              <w:textAlignment w:val="auto"/>
              <w:rPr>
                <w:rFonts w:hint="eastAsia" w:ascii="宋体" w:hAnsi="宋体" w:eastAsia="宋体" w:cs="宋体"/>
                <w:kern w:val="2"/>
                <w:sz w:val="21"/>
                <w:szCs w:val="21"/>
                <w:lang w:val="en-US" w:eastAsia="zh-CN" w:bidi="ar-SA"/>
              </w:rPr>
            </w:pPr>
            <w:r>
              <w:rPr>
                <w:rFonts w:hint="eastAsia" w:ascii="宋体" w:hAnsi="宋体" w:cs="宋体"/>
                <w:sz w:val="21"/>
                <w:szCs w:val="21"/>
              </w:rPr>
              <w:t>机械按键越多，功能越全加分</w:t>
            </w:r>
          </w:p>
        </w:tc>
        <w:tc>
          <w:tcPr>
            <w:tcW w:w="1389" w:type="dxa"/>
            <w:noWrap/>
            <w:vAlign w:val="center"/>
          </w:tcPr>
          <w:p>
            <w:pPr>
              <w:pStyle w:val="159"/>
              <w:spacing w:line="360" w:lineRule="atLeast"/>
              <w:ind w:firstLine="0" w:firstLineChars="0"/>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9"/>
              <w:spacing w:line="360" w:lineRule="atLeast"/>
              <w:jc w:val="center"/>
              <w:rPr>
                <w:rFonts w:hint="eastAsia"/>
                <w:color w:val="000000"/>
              </w:rPr>
            </w:pPr>
          </w:p>
        </w:tc>
        <w:tc>
          <w:tcPr>
            <w:tcW w:w="1149" w:type="dxa"/>
            <w:vMerge w:val="continue"/>
            <w:noWrap w:val="0"/>
            <w:vAlign w:val="center"/>
          </w:tcPr>
          <w:p>
            <w:pPr>
              <w:pStyle w:val="159"/>
              <w:spacing w:line="360" w:lineRule="atLeast"/>
              <w:jc w:val="center"/>
              <w:rPr>
                <w:rFonts w:hint="eastAsia" w:ascii="宋体" w:hAnsi="宋体" w:cs="宋体"/>
                <w:color w:val="000000"/>
                <w:sz w:val="21"/>
                <w:szCs w:val="21"/>
              </w:rPr>
            </w:pPr>
          </w:p>
        </w:tc>
        <w:tc>
          <w:tcPr>
            <w:tcW w:w="4033" w:type="dxa"/>
            <w:noWrap w:val="0"/>
            <w:vAlign w:val="center"/>
          </w:tcPr>
          <w:p>
            <w:pPr>
              <w:keepNext w:val="0"/>
              <w:keepLines w:val="0"/>
              <w:pageBreakBefore w:val="0"/>
              <w:widowControl w:val="0"/>
              <w:kinsoku/>
              <w:wordWrap/>
              <w:overflowPunct/>
              <w:topLinePunct w:val="0"/>
              <w:autoSpaceDE/>
              <w:autoSpaceDN/>
              <w:bidi w:val="0"/>
              <w:adjustRightInd/>
              <w:snapToGrid/>
              <w:spacing w:line="350" w:lineRule="atLeast"/>
              <w:jc w:val="left"/>
              <w:textAlignment w:val="auto"/>
              <w:rPr>
                <w:rFonts w:hint="eastAsia" w:ascii="宋体" w:hAnsi="宋体" w:eastAsia="宋体" w:cs="宋体"/>
                <w:kern w:val="2"/>
                <w:sz w:val="21"/>
                <w:szCs w:val="21"/>
                <w:lang w:val="zh-CN" w:eastAsia="zh-Hans" w:bidi="ar-SA"/>
              </w:rPr>
            </w:pPr>
            <w:r>
              <w:rPr>
                <w:rFonts w:hint="eastAsia" w:ascii="宋体" w:hAnsi="宋体" w:cs="宋体"/>
                <w:sz w:val="21"/>
                <w:szCs w:val="21"/>
              </w:rPr>
              <w:t>▲3.屏幕上显示≥8</w:t>
            </w:r>
            <w:r>
              <w:rPr>
                <w:rFonts w:hint="eastAsia" w:ascii="宋体" w:hAnsi="宋体" w:cs="宋体"/>
                <w:sz w:val="21"/>
                <w:szCs w:val="21"/>
                <w:lang w:val="en-US"/>
              </w:rPr>
              <w:t>路</w:t>
            </w:r>
            <w:r>
              <w:rPr>
                <w:rFonts w:hint="eastAsia" w:ascii="宋体" w:hAnsi="宋体" w:cs="宋体"/>
                <w:sz w:val="21"/>
                <w:szCs w:val="21"/>
              </w:rPr>
              <w:t>独立画面模式，可对每路信号进行独立的医学影像校正。（整机主板自带接口，非信号转接头、软件和外接拓展设备）；</w:t>
            </w:r>
          </w:p>
        </w:tc>
        <w:tc>
          <w:tcPr>
            <w:tcW w:w="1965" w:type="dxa"/>
            <w:noWrap w:val="0"/>
            <w:vAlign w:val="center"/>
          </w:tcPr>
          <w:p>
            <w:pPr>
              <w:keepNext w:val="0"/>
              <w:keepLines w:val="0"/>
              <w:pageBreakBefore w:val="0"/>
              <w:widowControl w:val="0"/>
              <w:kinsoku/>
              <w:wordWrap/>
              <w:overflowPunct/>
              <w:topLinePunct w:val="0"/>
              <w:autoSpaceDE/>
              <w:autoSpaceDN/>
              <w:bidi w:val="0"/>
              <w:adjustRightInd/>
              <w:snapToGrid/>
              <w:spacing w:line="350" w:lineRule="atLeast"/>
              <w:jc w:val="left"/>
              <w:textAlignment w:val="auto"/>
              <w:rPr>
                <w:rFonts w:hint="eastAsia" w:ascii="宋体" w:hAnsi="宋体" w:eastAsia="宋体" w:cs="宋体"/>
                <w:kern w:val="2"/>
                <w:sz w:val="21"/>
                <w:szCs w:val="21"/>
                <w:lang w:val="en-US" w:eastAsia="zh-CN" w:bidi="ar-SA"/>
              </w:rPr>
            </w:pPr>
            <w:r>
              <w:rPr>
                <w:rFonts w:hint="eastAsia" w:ascii="宋体" w:hAnsi="宋体" w:cs="宋体"/>
                <w:sz w:val="21"/>
                <w:szCs w:val="21"/>
              </w:rPr>
              <w:t>独立信号画面多的加分</w:t>
            </w:r>
          </w:p>
        </w:tc>
        <w:tc>
          <w:tcPr>
            <w:tcW w:w="1389" w:type="dxa"/>
            <w:noWrap/>
            <w:vAlign w:val="center"/>
          </w:tcPr>
          <w:p>
            <w:pPr>
              <w:pStyle w:val="159"/>
              <w:spacing w:line="360" w:lineRule="atLeast"/>
              <w:ind w:firstLine="0" w:firstLineChars="0"/>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9"/>
              <w:spacing w:line="360" w:lineRule="atLeast"/>
              <w:jc w:val="center"/>
              <w:rPr>
                <w:rFonts w:hint="eastAsia"/>
                <w:color w:val="000000"/>
              </w:rPr>
            </w:pPr>
          </w:p>
        </w:tc>
        <w:tc>
          <w:tcPr>
            <w:tcW w:w="1149" w:type="dxa"/>
            <w:vMerge w:val="continue"/>
            <w:noWrap w:val="0"/>
            <w:vAlign w:val="center"/>
          </w:tcPr>
          <w:p>
            <w:pPr>
              <w:pStyle w:val="159"/>
              <w:spacing w:line="360" w:lineRule="atLeast"/>
              <w:jc w:val="center"/>
              <w:rPr>
                <w:rFonts w:hint="eastAsia" w:ascii="宋体" w:hAnsi="宋体" w:cs="宋体"/>
                <w:color w:val="000000"/>
                <w:sz w:val="21"/>
                <w:szCs w:val="21"/>
              </w:rPr>
            </w:pPr>
          </w:p>
        </w:tc>
        <w:tc>
          <w:tcPr>
            <w:tcW w:w="4033" w:type="dxa"/>
            <w:noWrap w:val="0"/>
            <w:vAlign w:val="center"/>
          </w:tcPr>
          <w:p>
            <w:pPr>
              <w:keepNext w:val="0"/>
              <w:keepLines w:val="0"/>
              <w:pageBreakBefore w:val="0"/>
              <w:widowControl w:val="0"/>
              <w:kinsoku/>
              <w:wordWrap/>
              <w:overflowPunct/>
              <w:topLinePunct w:val="0"/>
              <w:autoSpaceDE/>
              <w:autoSpaceDN/>
              <w:bidi w:val="0"/>
              <w:adjustRightInd/>
              <w:snapToGrid/>
              <w:spacing w:line="350" w:lineRule="atLeast"/>
              <w:jc w:val="left"/>
              <w:textAlignment w:val="auto"/>
              <w:rPr>
                <w:rFonts w:hint="eastAsia" w:ascii="宋体" w:hAnsi="宋体" w:eastAsia="宋体" w:cs="宋体"/>
                <w:kern w:val="2"/>
                <w:sz w:val="21"/>
                <w:szCs w:val="21"/>
                <w:lang w:val="zh-CN" w:eastAsia="zh-Hans" w:bidi="ar-SA"/>
              </w:rPr>
            </w:pPr>
            <w:r>
              <w:rPr>
                <w:rFonts w:hint="eastAsia" w:ascii="宋体" w:hAnsi="宋体" w:cs="宋体"/>
                <w:sz w:val="21"/>
                <w:szCs w:val="21"/>
              </w:rPr>
              <w:t>4.视角≥178°，亮度≥850cd/㎡，支持色彩≥10.7亿（LUT:彩色≥48Bit）；</w:t>
            </w:r>
          </w:p>
        </w:tc>
        <w:tc>
          <w:tcPr>
            <w:tcW w:w="1965" w:type="dxa"/>
            <w:noWrap w:val="0"/>
            <w:vAlign w:val="center"/>
          </w:tcPr>
          <w:p>
            <w:pPr>
              <w:keepNext w:val="0"/>
              <w:keepLines w:val="0"/>
              <w:pageBreakBefore w:val="0"/>
              <w:widowControl w:val="0"/>
              <w:kinsoku/>
              <w:wordWrap/>
              <w:overflowPunct/>
              <w:topLinePunct w:val="0"/>
              <w:autoSpaceDE/>
              <w:autoSpaceDN/>
              <w:bidi w:val="0"/>
              <w:adjustRightInd/>
              <w:snapToGrid/>
              <w:spacing w:line="350" w:lineRule="atLeast"/>
              <w:jc w:val="center"/>
              <w:textAlignment w:val="auto"/>
              <w:rPr>
                <w:rFonts w:hint="eastAsia" w:ascii="宋体" w:hAnsi="宋体" w:eastAsia="宋体" w:cs="宋体"/>
                <w:kern w:val="2"/>
                <w:sz w:val="21"/>
                <w:szCs w:val="21"/>
                <w:lang w:val="en-US" w:eastAsia="zh-CN" w:bidi="ar-SA"/>
              </w:rPr>
            </w:pPr>
            <w:r>
              <w:rPr>
                <w:rFonts w:hint="eastAsia" w:ascii="宋体" w:hAnsi="宋体" w:cs="宋体"/>
                <w:b w:val="0"/>
                <w:bCs w:val="0"/>
                <w:color w:val="000000"/>
                <w:sz w:val="21"/>
                <w:szCs w:val="21"/>
                <w:lang w:val="en-US" w:eastAsia="zh-CN"/>
              </w:rPr>
              <w:t>/</w:t>
            </w:r>
          </w:p>
        </w:tc>
        <w:tc>
          <w:tcPr>
            <w:tcW w:w="1389" w:type="dxa"/>
            <w:noWrap/>
            <w:vAlign w:val="center"/>
          </w:tcPr>
          <w:p>
            <w:pPr>
              <w:spacing w:line="36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9"/>
              <w:spacing w:line="360" w:lineRule="atLeast"/>
              <w:jc w:val="center"/>
              <w:rPr>
                <w:rFonts w:hint="eastAsia"/>
                <w:color w:val="000000"/>
              </w:rPr>
            </w:pPr>
          </w:p>
        </w:tc>
        <w:tc>
          <w:tcPr>
            <w:tcW w:w="1149" w:type="dxa"/>
            <w:vMerge w:val="continue"/>
            <w:noWrap w:val="0"/>
            <w:vAlign w:val="center"/>
          </w:tcPr>
          <w:p>
            <w:pPr>
              <w:pStyle w:val="159"/>
              <w:spacing w:line="360" w:lineRule="atLeast"/>
              <w:jc w:val="center"/>
              <w:rPr>
                <w:rFonts w:hint="eastAsia" w:ascii="宋体" w:hAnsi="宋体" w:cs="宋体"/>
                <w:color w:val="000000"/>
                <w:sz w:val="21"/>
                <w:szCs w:val="21"/>
              </w:rPr>
            </w:pPr>
          </w:p>
        </w:tc>
        <w:tc>
          <w:tcPr>
            <w:tcW w:w="4033" w:type="dxa"/>
            <w:noWrap w:val="0"/>
            <w:vAlign w:val="center"/>
          </w:tcPr>
          <w:p>
            <w:pPr>
              <w:keepNext w:val="0"/>
              <w:keepLines w:val="0"/>
              <w:pageBreakBefore w:val="0"/>
              <w:widowControl w:val="0"/>
              <w:kinsoku/>
              <w:wordWrap/>
              <w:overflowPunct/>
              <w:topLinePunct w:val="0"/>
              <w:autoSpaceDE/>
              <w:autoSpaceDN/>
              <w:bidi w:val="0"/>
              <w:adjustRightInd/>
              <w:snapToGrid/>
              <w:spacing w:line="350" w:lineRule="atLeast"/>
              <w:jc w:val="left"/>
              <w:textAlignment w:val="auto"/>
              <w:rPr>
                <w:rFonts w:hint="eastAsia" w:ascii="宋体" w:hAnsi="宋体" w:eastAsia="宋体" w:cs="宋体"/>
                <w:kern w:val="2"/>
                <w:sz w:val="21"/>
                <w:szCs w:val="21"/>
                <w:lang w:val="en-US" w:eastAsia="zh-CN" w:bidi="ar-SA"/>
              </w:rPr>
            </w:pPr>
            <w:r>
              <w:rPr>
                <w:rFonts w:hint="eastAsia" w:ascii="宋体" w:hAnsi="宋体" w:cs="宋体"/>
                <w:sz w:val="21"/>
                <w:szCs w:val="21"/>
              </w:rPr>
              <w:t>5.分辨率自适应系统：多功能应用分屏后，显示器可自动识别最佳分辨率，无需手动调节；</w:t>
            </w:r>
          </w:p>
        </w:tc>
        <w:tc>
          <w:tcPr>
            <w:tcW w:w="1965" w:type="dxa"/>
            <w:noWrap w:val="0"/>
            <w:vAlign w:val="center"/>
          </w:tcPr>
          <w:p>
            <w:pPr>
              <w:keepNext w:val="0"/>
              <w:keepLines w:val="0"/>
              <w:pageBreakBefore w:val="0"/>
              <w:widowControl w:val="0"/>
              <w:kinsoku/>
              <w:wordWrap/>
              <w:overflowPunct/>
              <w:topLinePunct w:val="0"/>
              <w:autoSpaceDE/>
              <w:autoSpaceDN/>
              <w:bidi w:val="0"/>
              <w:adjustRightInd/>
              <w:snapToGrid/>
              <w:spacing w:line="350" w:lineRule="atLeast"/>
              <w:jc w:val="center"/>
              <w:textAlignment w:val="auto"/>
              <w:rPr>
                <w:rFonts w:hint="default" w:ascii="宋体" w:hAnsi="宋体" w:eastAsia="宋体" w:cs="宋体"/>
                <w:kern w:val="2"/>
                <w:sz w:val="21"/>
                <w:szCs w:val="21"/>
                <w:lang w:val="en-US" w:eastAsia="zh-CN" w:bidi="ar-SA"/>
              </w:rPr>
            </w:pPr>
            <w:r>
              <w:rPr>
                <w:rFonts w:hint="eastAsia" w:ascii="宋体" w:hAnsi="宋体" w:cs="宋体"/>
                <w:b w:val="0"/>
                <w:bCs w:val="0"/>
                <w:color w:val="000000"/>
                <w:sz w:val="21"/>
                <w:szCs w:val="21"/>
                <w:lang w:val="en-US" w:eastAsia="zh-CN"/>
              </w:rPr>
              <w:t>/</w:t>
            </w:r>
          </w:p>
        </w:tc>
        <w:tc>
          <w:tcPr>
            <w:tcW w:w="1389" w:type="dxa"/>
            <w:noWrap/>
            <w:vAlign w:val="center"/>
          </w:tcPr>
          <w:p>
            <w:pPr>
              <w:spacing w:line="36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9"/>
              <w:spacing w:line="360" w:lineRule="atLeast"/>
              <w:jc w:val="center"/>
              <w:rPr>
                <w:rFonts w:hint="eastAsia"/>
                <w:color w:val="000000"/>
              </w:rPr>
            </w:pPr>
          </w:p>
        </w:tc>
        <w:tc>
          <w:tcPr>
            <w:tcW w:w="1149" w:type="dxa"/>
            <w:vMerge w:val="continue"/>
            <w:noWrap w:val="0"/>
            <w:vAlign w:val="center"/>
          </w:tcPr>
          <w:p>
            <w:pPr>
              <w:pStyle w:val="159"/>
              <w:spacing w:line="360" w:lineRule="atLeast"/>
              <w:jc w:val="center"/>
              <w:rPr>
                <w:rFonts w:hint="eastAsia" w:ascii="宋体" w:hAnsi="宋体" w:cs="宋体"/>
                <w:color w:val="000000"/>
                <w:sz w:val="21"/>
                <w:szCs w:val="21"/>
              </w:rPr>
            </w:pPr>
          </w:p>
        </w:tc>
        <w:tc>
          <w:tcPr>
            <w:tcW w:w="4033" w:type="dxa"/>
            <w:noWrap w:val="0"/>
            <w:vAlign w:val="center"/>
          </w:tcPr>
          <w:p>
            <w:pPr>
              <w:keepNext w:val="0"/>
              <w:keepLines w:val="0"/>
              <w:pageBreakBefore w:val="0"/>
              <w:widowControl w:val="0"/>
              <w:kinsoku/>
              <w:wordWrap/>
              <w:overflowPunct/>
              <w:topLinePunct w:val="0"/>
              <w:autoSpaceDE/>
              <w:autoSpaceDN/>
              <w:bidi w:val="0"/>
              <w:adjustRightInd/>
              <w:snapToGrid/>
              <w:spacing w:line="350" w:lineRule="atLeast"/>
              <w:jc w:val="left"/>
              <w:textAlignment w:val="auto"/>
              <w:rPr>
                <w:rFonts w:hint="eastAsia" w:ascii="宋体" w:hAnsi="宋体" w:eastAsia="宋体" w:cs="宋体"/>
                <w:kern w:val="2"/>
                <w:sz w:val="21"/>
                <w:szCs w:val="21"/>
                <w:lang w:val="zh-CN" w:eastAsia="zh-Hans" w:bidi="ar-SA"/>
              </w:rPr>
            </w:pPr>
            <w:r>
              <w:rPr>
                <w:rFonts w:hint="eastAsia" w:ascii="宋体" w:hAnsi="宋体" w:cs="宋体"/>
                <w:sz w:val="21"/>
                <w:szCs w:val="21"/>
              </w:rPr>
              <w:t>6.显示器完全符合DICOM3.14标准，支持DICOM自动校准，内置≥16条医疗曲线；</w:t>
            </w:r>
          </w:p>
        </w:tc>
        <w:tc>
          <w:tcPr>
            <w:tcW w:w="1965" w:type="dxa"/>
            <w:noWrap w:val="0"/>
            <w:vAlign w:val="center"/>
          </w:tcPr>
          <w:p>
            <w:pPr>
              <w:keepNext w:val="0"/>
              <w:keepLines w:val="0"/>
              <w:pageBreakBefore w:val="0"/>
              <w:widowControl w:val="0"/>
              <w:kinsoku/>
              <w:wordWrap/>
              <w:overflowPunct/>
              <w:topLinePunct w:val="0"/>
              <w:autoSpaceDE/>
              <w:autoSpaceDN/>
              <w:bidi w:val="0"/>
              <w:adjustRightInd/>
              <w:snapToGrid/>
              <w:spacing w:line="350" w:lineRule="atLeast"/>
              <w:jc w:val="center"/>
              <w:textAlignment w:val="auto"/>
              <w:rPr>
                <w:rFonts w:hint="eastAsia" w:ascii="宋体" w:hAnsi="宋体" w:eastAsia="宋体" w:cs="宋体"/>
                <w:kern w:val="2"/>
                <w:sz w:val="21"/>
                <w:szCs w:val="21"/>
                <w:lang w:val="en-US" w:eastAsia="zh-CN" w:bidi="ar-SA"/>
              </w:rPr>
            </w:pPr>
            <w:r>
              <w:rPr>
                <w:rFonts w:hint="eastAsia" w:ascii="宋体" w:hAnsi="宋体" w:cs="宋体"/>
                <w:b w:val="0"/>
                <w:bCs w:val="0"/>
                <w:color w:val="000000"/>
                <w:sz w:val="21"/>
                <w:szCs w:val="21"/>
                <w:lang w:val="en-US" w:eastAsia="zh-CN"/>
              </w:rPr>
              <w:t>/</w:t>
            </w:r>
          </w:p>
        </w:tc>
        <w:tc>
          <w:tcPr>
            <w:tcW w:w="1389" w:type="dxa"/>
            <w:noWrap/>
            <w:vAlign w:val="center"/>
          </w:tcPr>
          <w:p>
            <w:pPr>
              <w:pStyle w:val="159"/>
              <w:spacing w:line="360" w:lineRule="atLeast"/>
              <w:ind w:firstLine="0" w:firstLineChars="0"/>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9"/>
              <w:spacing w:line="360" w:lineRule="atLeast"/>
              <w:jc w:val="center"/>
              <w:rPr>
                <w:rFonts w:hint="eastAsia"/>
                <w:color w:val="000000"/>
              </w:rPr>
            </w:pPr>
          </w:p>
        </w:tc>
        <w:tc>
          <w:tcPr>
            <w:tcW w:w="1149" w:type="dxa"/>
            <w:vMerge w:val="continue"/>
            <w:noWrap w:val="0"/>
            <w:vAlign w:val="center"/>
          </w:tcPr>
          <w:p>
            <w:pPr>
              <w:pStyle w:val="159"/>
              <w:spacing w:line="360" w:lineRule="atLeast"/>
              <w:jc w:val="center"/>
              <w:rPr>
                <w:rFonts w:hint="eastAsia" w:ascii="宋体" w:hAnsi="宋体" w:cs="宋体"/>
                <w:color w:val="000000"/>
                <w:sz w:val="21"/>
                <w:szCs w:val="21"/>
              </w:rPr>
            </w:pPr>
          </w:p>
        </w:tc>
        <w:tc>
          <w:tcPr>
            <w:tcW w:w="4033" w:type="dxa"/>
            <w:noWrap w:val="0"/>
            <w:vAlign w:val="center"/>
          </w:tcPr>
          <w:p>
            <w:pPr>
              <w:keepNext w:val="0"/>
              <w:keepLines w:val="0"/>
              <w:pageBreakBefore w:val="0"/>
              <w:widowControl w:val="0"/>
              <w:kinsoku/>
              <w:wordWrap/>
              <w:overflowPunct/>
              <w:topLinePunct w:val="0"/>
              <w:autoSpaceDE/>
              <w:autoSpaceDN/>
              <w:bidi w:val="0"/>
              <w:adjustRightInd/>
              <w:snapToGrid/>
              <w:spacing w:line="350" w:lineRule="atLeast"/>
              <w:jc w:val="left"/>
              <w:textAlignment w:val="auto"/>
              <w:rPr>
                <w:rFonts w:hint="eastAsia" w:ascii="宋体" w:hAnsi="宋体" w:eastAsia="宋体" w:cs="宋体"/>
                <w:kern w:val="2"/>
                <w:sz w:val="21"/>
                <w:szCs w:val="21"/>
                <w:lang w:val="zh-CN" w:eastAsia="zh-CN" w:bidi="ar-SA"/>
              </w:rPr>
            </w:pPr>
            <w:r>
              <w:rPr>
                <w:rFonts w:hint="eastAsia" w:ascii="宋体" w:hAnsi="宋体" w:cs="宋体"/>
                <w:sz w:val="21"/>
                <w:szCs w:val="21"/>
              </w:rPr>
              <w:t>7.具有一键切换灯箱模式，方便医生胶片诊断</w:t>
            </w:r>
            <w:r>
              <w:rPr>
                <w:rFonts w:hint="eastAsia" w:ascii="宋体" w:hAnsi="宋体" w:cs="宋体"/>
                <w:sz w:val="21"/>
                <w:szCs w:val="21"/>
                <w:lang w:eastAsia="zh-CN"/>
              </w:rPr>
              <w:t>；</w:t>
            </w:r>
          </w:p>
        </w:tc>
        <w:tc>
          <w:tcPr>
            <w:tcW w:w="1965" w:type="dxa"/>
            <w:noWrap w:val="0"/>
            <w:vAlign w:val="center"/>
          </w:tcPr>
          <w:p>
            <w:pPr>
              <w:keepNext w:val="0"/>
              <w:keepLines w:val="0"/>
              <w:pageBreakBefore w:val="0"/>
              <w:widowControl w:val="0"/>
              <w:kinsoku/>
              <w:wordWrap/>
              <w:overflowPunct/>
              <w:topLinePunct w:val="0"/>
              <w:autoSpaceDE/>
              <w:autoSpaceDN/>
              <w:bidi w:val="0"/>
              <w:adjustRightInd/>
              <w:snapToGrid/>
              <w:spacing w:line="350" w:lineRule="atLeast"/>
              <w:jc w:val="center"/>
              <w:textAlignment w:val="auto"/>
              <w:rPr>
                <w:rFonts w:hint="eastAsia" w:ascii="宋体" w:hAnsi="宋体" w:eastAsia="宋体" w:cs="宋体"/>
                <w:kern w:val="2"/>
                <w:sz w:val="21"/>
                <w:szCs w:val="21"/>
                <w:lang w:val="en-US" w:eastAsia="zh-CN" w:bidi="ar-SA"/>
              </w:rPr>
            </w:pPr>
            <w:r>
              <w:rPr>
                <w:rFonts w:hint="eastAsia" w:ascii="宋体" w:hAnsi="宋体" w:cs="宋体"/>
                <w:b w:val="0"/>
                <w:bCs w:val="0"/>
                <w:color w:val="000000"/>
                <w:sz w:val="21"/>
                <w:szCs w:val="21"/>
                <w:lang w:val="en-US" w:eastAsia="zh-CN"/>
              </w:rPr>
              <w:t>/</w:t>
            </w:r>
          </w:p>
        </w:tc>
        <w:tc>
          <w:tcPr>
            <w:tcW w:w="1389" w:type="dxa"/>
            <w:noWrap/>
            <w:vAlign w:val="center"/>
          </w:tcPr>
          <w:p>
            <w:pPr>
              <w:spacing w:line="36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9"/>
              <w:spacing w:line="360" w:lineRule="atLeast"/>
              <w:jc w:val="center"/>
              <w:rPr>
                <w:rFonts w:hint="eastAsia"/>
                <w:color w:val="000000"/>
              </w:rPr>
            </w:pPr>
          </w:p>
        </w:tc>
        <w:tc>
          <w:tcPr>
            <w:tcW w:w="1149" w:type="dxa"/>
            <w:vMerge w:val="continue"/>
            <w:noWrap w:val="0"/>
            <w:vAlign w:val="center"/>
          </w:tcPr>
          <w:p>
            <w:pPr>
              <w:pStyle w:val="159"/>
              <w:spacing w:line="360" w:lineRule="atLeast"/>
              <w:jc w:val="center"/>
              <w:rPr>
                <w:rFonts w:hint="eastAsia" w:ascii="宋体" w:hAnsi="宋体" w:cs="宋体"/>
                <w:color w:val="000000"/>
                <w:sz w:val="21"/>
                <w:szCs w:val="21"/>
              </w:rPr>
            </w:pPr>
          </w:p>
        </w:tc>
        <w:tc>
          <w:tcPr>
            <w:tcW w:w="4033" w:type="dxa"/>
            <w:noWrap w:val="0"/>
            <w:vAlign w:val="center"/>
          </w:tcPr>
          <w:p>
            <w:pPr>
              <w:keepNext w:val="0"/>
              <w:keepLines w:val="0"/>
              <w:pageBreakBefore w:val="0"/>
              <w:widowControl w:val="0"/>
              <w:kinsoku/>
              <w:wordWrap/>
              <w:overflowPunct/>
              <w:topLinePunct w:val="0"/>
              <w:autoSpaceDE/>
              <w:autoSpaceDN/>
              <w:bidi w:val="0"/>
              <w:adjustRightInd/>
              <w:snapToGrid/>
              <w:spacing w:line="350" w:lineRule="atLeast"/>
              <w:jc w:val="left"/>
              <w:textAlignment w:val="auto"/>
              <w:rPr>
                <w:rFonts w:hint="eastAsia" w:ascii="宋体" w:hAnsi="宋体" w:eastAsia="宋体" w:cs="宋体"/>
                <w:kern w:val="2"/>
                <w:sz w:val="21"/>
                <w:szCs w:val="21"/>
                <w:lang w:val="en-US" w:eastAsia="zh-CN" w:bidi="ar-SA"/>
              </w:rPr>
            </w:pPr>
            <w:r>
              <w:rPr>
                <w:rFonts w:hint="eastAsia" w:ascii="宋体" w:hAnsi="宋体" w:cs="宋体"/>
                <w:sz w:val="21"/>
                <w:szCs w:val="21"/>
              </w:rPr>
              <w:t>8.智能浮窗：可通过显示器独立信号输入在桌面上显示独立窗口，窗口位置可以调节，便于多功能会诊及远程诊断模式；</w:t>
            </w:r>
          </w:p>
        </w:tc>
        <w:tc>
          <w:tcPr>
            <w:tcW w:w="1965" w:type="dxa"/>
            <w:noWrap w:val="0"/>
            <w:vAlign w:val="center"/>
          </w:tcPr>
          <w:p>
            <w:pPr>
              <w:keepNext w:val="0"/>
              <w:keepLines w:val="0"/>
              <w:pageBreakBefore w:val="0"/>
              <w:widowControl w:val="0"/>
              <w:kinsoku/>
              <w:wordWrap/>
              <w:overflowPunct/>
              <w:topLinePunct w:val="0"/>
              <w:autoSpaceDE/>
              <w:autoSpaceDN/>
              <w:bidi w:val="0"/>
              <w:adjustRightInd/>
              <w:snapToGrid/>
              <w:spacing w:line="350" w:lineRule="atLeast"/>
              <w:jc w:val="center"/>
              <w:textAlignment w:val="auto"/>
              <w:rPr>
                <w:rFonts w:hint="eastAsia" w:ascii="宋体" w:hAnsi="宋体" w:eastAsia="宋体" w:cs="宋体"/>
                <w:kern w:val="2"/>
                <w:sz w:val="21"/>
                <w:szCs w:val="21"/>
                <w:lang w:val="en-US" w:eastAsia="zh-CN" w:bidi="ar-SA"/>
              </w:rPr>
            </w:pPr>
            <w:r>
              <w:rPr>
                <w:rFonts w:hint="eastAsia" w:ascii="宋体" w:hAnsi="宋体" w:cs="宋体"/>
                <w:b w:val="0"/>
                <w:bCs w:val="0"/>
                <w:color w:val="000000"/>
                <w:sz w:val="21"/>
                <w:szCs w:val="21"/>
                <w:lang w:val="en-US" w:eastAsia="zh-CN"/>
              </w:rPr>
              <w:t>/</w:t>
            </w:r>
          </w:p>
        </w:tc>
        <w:tc>
          <w:tcPr>
            <w:tcW w:w="1389" w:type="dxa"/>
            <w:noWrap/>
            <w:vAlign w:val="center"/>
          </w:tcPr>
          <w:p>
            <w:pPr>
              <w:spacing w:line="36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restart"/>
            <w:noWrap/>
            <w:vAlign w:val="center"/>
          </w:tcPr>
          <w:p>
            <w:pPr>
              <w:pStyle w:val="159"/>
              <w:spacing w:line="360" w:lineRule="atLeast"/>
              <w:jc w:val="center"/>
              <w:rPr>
                <w:rFonts w:hint="eastAsia"/>
                <w:color w:val="000000"/>
              </w:rPr>
            </w:pPr>
            <w:r>
              <w:rPr>
                <w:rFonts w:hint="eastAsia"/>
                <w:color w:val="000000"/>
              </w:rPr>
              <w:t>三</w:t>
            </w:r>
          </w:p>
        </w:tc>
        <w:tc>
          <w:tcPr>
            <w:tcW w:w="1149" w:type="dxa"/>
            <w:vMerge w:val="restart"/>
            <w:noWrap w:val="0"/>
            <w:vAlign w:val="center"/>
          </w:tcPr>
          <w:p>
            <w:pPr>
              <w:pStyle w:val="159"/>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售后服务</w:t>
            </w:r>
          </w:p>
        </w:tc>
        <w:tc>
          <w:tcPr>
            <w:tcW w:w="5998" w:type="dxa"/>
            <w:gridSpan w:val="2"/>
            <w:noWrap w:val="0"/>
            <w:vAlign w:val="center"/>
          </w:tcPr>
          <w:p>
            <w:pPr>
              <w:spacing w:line="360" w:lineRule="atLeast"/>
              <w:rPr>
                <w:rFonts w:hint="eastAsia" w:ascii="宋体" w:hAnsi="宋体" w:cs="宋体"/>
                <w:color w:val="000000"/>
                <w:sz w:val="21"/>
                <w:szCs w:val="21"/>
              </w:rPr>
            </w:pPr>
            <w:r>
              <w:rPr>
                <w:rFonts w:hint="eastAsia" w:ascii="宋体" w:hAnsi="宋体" w:cs="宋体"/>
                <w:color w:val="000000"/>
                <w:sz w:val="21"/>
                <w:szCs w:val="21"/>
              </w:rPr>
              <w:t>1.免费保修期：在满足招标文件要求的基础上，每增加6个月得0.5分，最多得3分，不符合招标文件要求按无效投标处理。（未履行保修承诺的，相关企业将列入黑名单。）</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9"/>
              <w:spacing w:line="360" w:lineRule="atLeast"/>
              <w:jc w:val="center"/>
              <w:rPr>
                <w:color w:val="000000"/>
              </w:rPr>
            </w:pPr>
          </w:p>
        </w:tc>
        <w:tc>
          <w:tcPr>
            <w:tcW w:w="1149" w:type="dxa"/>
            <w:vMerge w:val="continue"/>
            <w:noWrap w:val="0"/>
            <w:vAlign w:val="center"/>
          </w:tcPr>
          <w:p>
            <w:pPr>
              <w:pStyle w:val="159"/>
              <w:spacing w:line="360" w:lineRule="atLeast"/>
              <w:jc w:val="center"/>
              <w:rPr>
                <w:rFonts w:hint="eastAsia" w:ascii="宋体" w:hAnsi="宋体" w:cs="宋体"/>
                <w:color w:val="000000"/>
                <w:sz w:val="21"/>
                <w:szCs w:val="21"/>
              </w:rPr>
            </w:pPr>
          </w:p>
        </w:tc>
        <w:tc>
          <w:tcPr>
            <w:tcW w:w="5998" w:type="dxa"/>
            <w:gridSpan w:val="2"/>
            <w:noWrap w:val="0"/>
            <w:vAlign w:val="center"/>
          </w:tcPr>
          <w:p>
            <w:pPr>
              <w:spacing w:line="360" w:lineRule="atLeast"/>
              <w:rPr>
                <w:rFonts w:hint="eastAsia" w:ascii="宋体" w:hAnsi="宋体" w:cs="宋体"/>
                <w:color w:val="000000"/>
                <w:sz w:val="21"/>
                <w:szCs w:val="21"/>
              </w:rPr>
            </w:pPr>
            <w:r>
              <w:rPr>
                <w:rFonts w:hint="eastAsia" w:ascii="宋体" w:hAnsi="宋体" w:cs="宋体"/>
                <w:color w:val="000000"/>
                <w:sz w:val="21"/>
                <w:szCs w:val="21"/>
              </w:rPr>
              <w:t>2.零配件支持：提供零配件全国统一报价，采购单位更换配件价格不超过统一报价的70%。在满足此要求的基础上，根据主要零配件价格排名，报价最低的得2分，其余排名依次按25%递减，最低得0分。三分之二及以上技术专家认为报价不合理的得0分。</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9"/>
              <w:spacing w:line="360" w:lineRule="atLeast"/>
              <w:jc w:val="center"/>
              <w:rPr>
                <w:color w:val="000000"/>
              </w:rPr>
            </w:pPr>
          </w:p>
        </w:tc>
        <w:tc>
          <w:tcPr>
            <w:tcW w:w="1149" w:type="dxa"/>
            <w:vMerge w:val="continue"/>
            <w:noWrap w:val="0"/>
            <w:vAlign w:val="center"/>
          </w:tcPr>
          <w:p>
            <w:pPr>
              <w:pStyle w:val="159"/>
              <w:spacing w:line="360" w:lineRule="atLeast"/>
              <w:jc w:val="center"/>
              <w:rPr>
                <w:rFonts w:hint="eastAsia" w:ascii="宋体" w:hAnsi="宋体" w:cs="宋体"/>
                <w:color w:val="000000"/>
                <w:sz w:val="21"/>
                <w:szCs w:val="21"/>
              </w:rPr>
            </w:pPr>
          </w:p>
        </w:tc>
        <w:tc>
          <w:tcPr>
            <w:tcW w:w="5998" w:type="dxa"/>
            <w:gridSpan w:val="2"/>
            <w:noWrap w:val="0"/>
            <w:vAlign w:val="center"/>
          </w:tcPr>
          <w:p>
            <w:pPr>
              <w:spacing w:line="360" w:lineRule="atLeast"/>
              <w:rPr>
                <w:rFonts w:hint="eastAsia" w:ascii="宋体" w:hAnsi="宋体" w:cs="宋体"/>
                <w:color w:val="000000"/>
                <w:sz w:val="21"/>
                <w:szCs w:val="21"/>
              </w:rPr>
            </w:pPr>
            <w:r>
              <w:rPr>
                <w:rFonts w:hint="eastAsia" w:ascii="宋体" w:hAnsi="宋体" w:cs="宋体"/>
                <w:color w:val="000000"/>
                <w:sz w:val="21"/>
                <w:szCs w:val="21"/>
              </w:rPr>
              <w:t>3.零配件保证供应时间：按照投标产品制造商承诺的零配件保证供应时间长短排名，时间最长的得1分，依次递减0.2分，最低得0分。</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9"/>
              <w:spacing w:line="360" w:lineRule="atLeast"/>
              <w:jc w:val="center"/>
              <w:rPr>
                <w:color w:val="000000"/>
              </w:rPr>
            </w:pPr>
          </w:p>
        </w:tc>
        <w:tc>
          <w:tcPr>
            <w:tcW w:w="1149" w:type="dxa"/>
            <w:vMerge w:val="continue"/>
            <w:noWrap w:val="0"/>
            <w:vAlign w:val="center"/>
          </w:tcPr>
          <w:p>
            <w:pPr>
              <w:pStyle w:val="159"/>
              <w:spacing w:line="360" w:lineRule="atLeast"/>
              <w:jc w:val="center"/>
              <w:rPr>
                <w:rFonts w:hint="eastAsia" w:ascii="宋体" w:hAnsi="宋体" w:cs="宋体"/>
                <w:color w:val="000000"/>
                <w:sz w:val="21"/>
                <w:szCs w:val="21"/>
              </w:rPr>
            </w:pPr>
          </w:p>
        </w:tc>
        <w:tc>
          <w:tcPr>
            <w:tcW w:w="5998" w:type="dxa"/>
            <w:gridSpan w:val="2"/>
            <w:noWrap w:val="0"/>
            <w:vAlign w:val="center"/>
          </w:tcPr>
          <w:p>
            <w:pPr>
              <w:spacing w:line="360" w:lineRule="atLeast"/>
              <w:rPr>
                <w:rFonts w:hint="eastAsia" w:ascii="宋体" w:hAnsi="宋体" w:cs="宋体"/>
                <w:color w:val="000000"/>
                <w:sz w:val="21"/>
                <w:szCs w:val="21"/>
                <w:highlight w:val="none"/>
              </w:rPr>
            </w:pPr>
            <w:r>
              <w:rPr>
                <w:rFonts w:hint="eastAsia" w:ascii="宋体" w:hAnsi="宋体" w:cs="宋体"/>
                <w:color w:val="000000"/>
                <w:sz w:val="21"/>
                <w:szCs w:val="21"/>
                <w:highlight w:val="none"/>
              </w:rPr>
              <w:t>4.到位维修响应：满足招标文件“第</w:t>
            </w:r>
            <w:r>
              <w:rPr>
                <w:rFonts w:hint="eastAsia" w:ascii="宋体" w:hAnsi="宋体" w:cs="宋体"/>
                <w:color w:val="000000"/>
                <w:sz w:val="21"/>
                <w:szCs w:val="21"/>
                <w:highlight w:val="none"/>
                <w:lang w:eastAsia="zh-CN"/>
              </w:rPr>
              <w:t>五章</w:t>
            </w:r>
            <w:r>
              <w:rPr>
                <w:rFonts w:hint="eastAsia" w:ascii="宋体" w:hAnsi="宋体" w:cs="宋体"/>
                <w:color w:val="000000"/>
                <w:sz w:val="21"/>
                <w:szCs w:val="21"/>
                <w:highlight w:val="none"/>
              </w:rPr>
              <w:t>”——“</w:t>
            </w:r>
            <w:r>
              <w:rPr>
                <w:rFonts w:hint="eastAsia" w:ascii="宋体" w:hAnsi="宋体" w:cs="宋体"/>
                <w:color w:val="000000"/>
                <w:sz w:val="21"/>
                <w:szCs w:val="21"/>
                <w:highlight w:val="none"/>
                <w:lang w:eastAsia="zh-CN"/>
              </w:rPr>
              <w:t>三</w:t>
            </w:r>
            <w:r>
              <w:rPr>
                <w:rFonts w:hint="eastAsia" w:ascii="宋体" w:hAnsi="宋体" w:cs="宋体"/>
                <w:color w:val="000000"/>
                <w:sz w:val="21"/>
                <w:szCs w:val="21"/>
                <w:highlight w:val="none"/>
              </w:rPr>
              <w:t>、商务要求”——“</w:t>
            </w:r>
            <w:r>
              <w:rPr>
                <w:rFonts w:hint="eastAsia" w:ascii="宋体" w:hAnsi="宋体" w:cs="宋体"/>
                <w:color w:val="000000"/>
                <w:sz w:val="21"/>
                <w:szCs w:val="21"/>
                <w:highlight w:val="none"/>
                <w:lang w:eastAsia="zh-CN"/>
              </w:rPr>
              <w:t>（二）</w:t>
            </w:r>
            <w:r>
              <w:rPr>
                <w:rFonts w:hint="eastAsia" w:ascii="宋体" w:hAnsi="宋体" w:cs="宋体"/>
                <w:color w:val="000000"/>
                <w:sz w:val="21"/>
                <w:szCs w:val="21"/>
                <w:highlight w:val="none"/>
              </w:rPr>
              <w:t>、售后服务”的第2条要求的基础上，根据对维修所投产品的到位维修响应时间排名，三分之二及以上技术专家认为合理且最快的得1分，依次按25%比例递减，最低得0分。三分之二及以上技术专家认为不合理的得0分。</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9"/>
              <w:spacing w:line="360" w:lineRule="atLeast"/>
              <w:jc w:val="center"/>
              <w:rPr>
                <w:color w:val="000000"/>
              </w:rPr>
            </w:pPr>
          </w:p>
        </w:tc>
        <w:tc>
          <w:tcPr>
            <w:tcW w:w="1149" w:type="dxa"/>
            <w:vMerge w:val="continue"/>
            <w:noWrap w:val="0"/>
            <w:vAlign w:val="center"/>
          </w:tcPr>
          <w:p>
            <w:pPr>
              <w:pStyle w:val="159"/>
              <w:spacing w:line="360" w:lineRule="atLeast"/>
              <w:jc w:val="center"/>
              <w:rPr>
                <w:rFonts w:hint="eastAsia" w:ascii="宋体" w:hAnsi="宋体" w:cs="宋体"/>
                <w:color w:val="000000"/>
                <w:sz w:val="21"/>
                <w:szCs w:val="21"/>
              </w:rPr>
            </w:pPr>
          </w:p>
        </w:tc>
        <w:tc>
          <w:tcPr>
            <w:tcW w:w="5998" w:type="dxa"/>
            <w:gridSpan w:val="2"/>
            <w:noWrap/>
            <w:vAlign w:val="center"/>
          </w:tcPr>
          <w:p>
            <w:pPr>
              <w:spacing w:line="360" w:lineRule="atLeast"/>
              <w:rPr>
                <w:rFonts w:hint="eastAsia" w:ascii="宋体" w:hAnsi="宋体" w:cs="宋体"/>
                <w:color w:val="000000"/>
                <w:sz w:val="21"/>
                <w:szCs w:val="21"/>
                <w:highlight w:val="none"/>
              </w:rPr>
            </w:pPr>
            <w:r>
              <w:rPr>
                <w:rFonts w:hint="eastAsia" w:ascii="宋体" w:hAnsi="宋体" w:cs="宋体"/>
                <w:color w:val="000000"/>
                <w:sz w:val="21"/>
                <w:szCs w:val="21"/>
                <w:highlight w:val="none"/>
              </w:rPr>
              <w:t>5.保修期外维修费用：保修期外的包修费用及维修工时费计算方法及价格，按投标人自报折扣进行排名，费用最低的得1分，依次按25%递减，最低得0分。未提供得0分。</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3" w:hRule="atLeast"/>
          <w:jc w:val="center"/>
        </w:trPr>
        <w:tc>
          <w:tcPr>
            <w:tcW w:w="678" w:type="dxa"/>
            <w:vMerge w:val="continue"/>
            <w:noWrap/>
            <w:vAlign w:val="center"/>
          </w:tcPr>
          <w:p>
            <w:pPr>
              <w:pStyle w:val="159"/>
              <w:spacing w:line="360" w:lineRule="atLeast"/>
              <w:jc w:val="center"/>
              <w:rPr>
                <w:color w:val="000000"/>
              </w:rPr>
            </w:pPr>
          </w:p>
        </w:tc>
        <w:tc>
          <w:tcPr>
            <w:tcW w:w="1149" w:type="dxa"/>
            <w:vMerge w:val="continue"/>
            <w:noWrap w:val="0"/>
            <w:vAlign w:val="center"/>
          </w:tcPr>
          <w:p>
            <w:pPr>
              <w:pStyle w:val="159"/>
              <w:spacing w:line="360" w:lineRule="atLeast"/>
              <w:jc w:val="center"/>
              <w:rPr>
                <w:rFonts w:hint="eastAsia" w:ascii="宋体" w:hAnsi="宋体" w:cs="宋体"/>
                <w:color w:val="000000"/>
                <w:sz w:val="21"/>
                <w:szCs w:val="21"/>
              </w:rPr>
            </w:pPr>
          </w:p>
        </w:tc>
        <w:tc>
          <w:tcPr>
            <w:tcW w:w="5998" w:type="dxa"/>
            <w:gridSpan w:val="2"/>
            <w:noWrap/>
            <w:vAlign w:val="center"/>
          </w:tcPr>
          <w:p>
            <w:pPr>
              <w:spacing w:line="360" w:lineRule="atLeast"/>
              <w:rPr>
                <w:rFonts w:hint="eastAsia" w:ascii="宋体" w:hAnsi="宋体" w:cs="宋体"/>
                <w:color w:val="000000"/>
                <w:sz w:val="21"/>
                <w:szCs w:val="21"/>
              </w:rPr>
            </w:pPr>
            <w:r>
              <w:rPr>
                <w:rFonts w:hint="eastAsia" w:ascii="宋体" w:hAnsi="宋体" w:cs="宋体"/>
                <w:color w:val="000000"/>
                <w:sz w:val="21"/>
                <w:szCs w:val="21"/>
              </w:rPr>
              <w:t>6.技术支持和服务网点：</w:t>
            </w:r>
          </w:p>
          <w:p>
            <w:pPr>
              <w:spacing w:line="360" w:lineRule="atLeast"/>
              <w:rPr>
                <w:rFonts w:hint="eastAsia" w:ascii="宋体" w:hAnsi="宋体" w:cs="宋体"/>
                <w:color w:val="000000"/>
                <w:sz w:val="21"/>
                <w:szCs w:val="21"/>
              </w:rPr>
            </w:pPr>
            <w:r>
              <w:rPr>
                <w:rFonts w:hint="eastAsia" w:ascii="宋体" w:hAnsi="宋体" w:cs="宋体"/>
                <w:color w:val="000000"/>
                <w:sz w:val="21"/>
                <w:szCs w:val="21"/>
              </w:rPr>
              <w:t>（1）产品和品牌具有较高知名度及广泛普及度，提供指定地点的现场服务支持，具备全国各主要省份的售后服务网络和对应的24小时服务支持热线且技术力量能满足采购单位维修服务需求的得1分，不满足得0分；</w:t>
            </w:r>
          </w:p>
          <w:p>
            <w:pPr>
              <w:spacing w:line="360" w:lineRule="atLeast"/>
              <w:rPr>
                <w:rFonts w:hint="eastAsia" w:ascii="宋体" w:hAnsi="宋体" w:cs="宋体"/>
                <w:color w:val="000000"/>
                <w:sz w:val="21"/>
                <w:szCs w:val="21"/>
              </w:rPr>
            </w:pPr>
            <w:r>
              <w:rPr>
                <w:rFonts w:hint="eastAsia" w:ascii="宋体" w:hAnsi="宋体" w:cs="宋体"/>
                <w:color w:val="000000"/>
                <w:sz w:val="21"/>
                <w:szCs w:val="21"/>
              </w:rPr>
              <w:t>（2）根据服务网点数量排名，第一名得1分，依次按标准分值25%递减，最低得0分。</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678" w:type="dxa"/>
            <w:noWrap/>
            <w:vAlign w:val="center"/>
          </w:tcPr>
          <w:p>
            <w:pPr>
              <w:pStyle w:val="159"/>
              <w:spacing w:line="360" w:lineRule="atLeast"/>
              <w:jc w:val="center"/>
              <w:rPr>
                <w:color w:val="000000"/>
              </w:rPr>
            </w:pPr>
          </w:p>
        </w:tc>
        <w:tc>
          <w:tcPr>
            <w:tcW w:w="1149" w:type="dxa"/>
            <w:noWrap w:val="0"/>
            <w:vAlign w:val="center"/>
          </w:tcPr>
          <w:p>
            <w:pPr>
              <w:pStyle w:val="159"/>
              <w:spacing w:line="360" w:lineRule="atLeast"/>
              <w:jc w:val="center"/>
              <w:rPr>
                <w:rFonts w:hint="eastAsia" w:ascii="宋体" w:hAnsi="宋体" w:cs="宋体"/>
                <w:color w:val="000000"/>
                <w:sz w:val="21"/>
                <w:szCs w:val="21"/>
              </w:rPr>
            </w:pPr>
          </w:p>
        </w:tc>
        <w:tc>
          <w:tcPr>
            <w:tcW w:w="5998" w:type="dxa"/>
            <w:gridSpan w:val="2"/>
            <w:noWrap/>
            <w:vAlign w:val="center"/>
          </w:tcPr>
          <w:p>
            <w:pPr>
              <w:numPr>
                <w:ilvl w:val="0"/>
                <w:numId w:val="3"/>
              </w:numPr>
              <w:spacing w:line="360" w:lineRule="atLeast"/>
              <w:rPr>
                <w:rFonts w:hint="eastAsia" w:ascii="宋体" w:hAnsi="宋体" w:cs="宋体"/>
                <w:sz w:val="21"/>
                <w:szCs w:val="21"/>
              </w:rPr>
            </w:pPr>
            <w:r>
              <w:rPr>
                <w:rFonts w:hint="eastAsia" w:ascii="宋体" w:hAnsi="宋体" w:cs="宋体"/>
                <w:sz w:val="21"/>
                <w:szCs w:val="21"/>
              </w:rPr>
              <w:t>近三年（截止开标时间）企业售后服务未满足用户要求、未按承诺履行义务、被投诉的，每次得-1分。  需求部门或采购机构向采购管理部门提供违规供应商名单</w:t>
            </w:r>
          </w:p>
          <w:p>
            <w:pPr>
              <w:pStyle w:val="17"/>
              <w:spacing w:line="360" w:lineRule="atLeast"/>
              <w:ind w:firstLine="0"/>
              <w:rPr>
                <w:rFonts w:hint="eastAsia" w:ascii="宋体" w:hAnsi="宋体" w:cs="宋体"/>
                <w:sz w:val="21"/>
                <w:szCs w:val="21"/>
              </w:rPr>
            </w:pPr>
            <w:r>
              <w:rPr>
                <w:rFonts w:hint="eastAsia" w:ascii="宋体" w:hAnsi="宋体" w:cs="宋体"/>
                <w:sz w:val="21"/>
                <w:szCs w:val="21"/>
              </w:rPr>
              <w:t>（需求部门或采购机构向采购管理部门提供违规供应商名单）</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扣分条款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25" w:type="dxa"/>
            <w:gridSpan w:val="4"/>
            <w:noWrap/>
            <w:vAlign w:val="center"/>
          </w:tcPr>
          <w:p>
            <w:pPr>
              <w:pStyle w:val="159"/>
              <w:spacing w:line="360" w:lineRule="atLeast"/>
              <w:jc w:val="center"/>
              <w:rPr>
                <w:color w:val="000000"/>
              </w:rPr>
            </w:pPr>
            <w:r>
              <w:rPr>
                <w:rFonts w:hint="eastAsia"/>
                <w:b/>
                <w:bCs/>
                <w:color w:val="000000"/>
              </w:rPr>
              <w:t>合    计</w:t>
            </w:r>
          </w:p>
        </w:tc>
        <w:tc>
          <w:tcPr>
            <w:tcW w:w="1389" w:type="dxa"/>
            <w:noWrap/>
            <w:vAlign w:val="center"/>
          </w:tcPr>
          <w:p>
            <w:pPr>
              <w:pStyle w:val="159"/>
              <w:spacing w:line="360" w:lineRule="atLeast"/>
              <w:jc w:val="center"/>
              <w:rPr>
                <w:color w:val="000000"/>
              </w:rPr>
            </w:pPr>
            <w:r>
              <w:rPr>
                <w:rFonts w:hint="eastAsia"/>
                <w:color w:val="000000"/>
              </w:rPr>
              <w:t>60分</w:t>
            </w:r>
          </w:p>
        </w:tc>
      </w:tr>
      <w:bookmarkEnd w:id="486"/>
      <w:bookmarkEnd w:id="487"/>
    </w:tbl>
    <w:p/>
    <w:sectPr>
      <w:headerReference r:id="rId13" w:type="default"/>
      <w:pgSz w:w="11906" w:h="16838"/>
      <w:pgMar w:top="1418" w:right="1134" w:bottom="1418" w:left="1418" w:header="851" w:footer="851" w:gutter="0"/>
      <w:cols w:space="720" w:num="1"/>
      <w:docGrid w:linePitch="388" w:charSpace="-12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TimesNewRomanPSMT">
    <w:altName w:val="Times New Roman"/>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Microsoft YaHei UI">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8179669"/>
    </w:sdtPr>
    <w:sdtContent>
      <w:p>
        <w:pPr>
          <w:pStyle w:val="27"/>
          <w:jc w:val="center"/>
        </w:pPr>
        <w:r>
          <w:fldChar w:fldCharType="begin"/>
        </w:r>
        <w:r>
          <w:instrText xml:space="preserve">PAGE   \* MERGEFORMAT</w:instrText>
        </w:r>
        <w:r>
          <w:fldChar w:fldCharType="separate"/>
        </w:r>
        <w:r>
          <w:rPr>
            <w:lang w:val="zh-CN"/>
          </w:rPr>
          <w:t>1</w:t>
        </w:r>
        <w:r>
          <w:fldChar w:fldCharType="end"/>
        </w:r>
      </w:p>
    </w:sdtContent>
  </w:sdt>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jc w:val="right"/>
      <w:rPr>
        <w:rFonts w:ascii="楷体_GB2312" w:eastAsia="楷体_GB2312"/>
        <w:sz w:val="21"/>
        <w:szCs w:val="21"/>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hint="eastAsia" w:ascii="楷体" w:hAnsi="楷体" w:eastAsia="楷体" w:cs="楷体"/>
        <w:sz w:val="21"/>
        <w:szCs w:val="21"/>
        <w:lang w:eastAsia="zh-CN"/>
      </w:rPr>
    </w:pPr>
    <w:r>
      <w:rPr>
        <w:rFonts w:hint="eastAsia" w:ascii="楷体" w:hAnsi="楷体" w:eastAsia="楷体" w:cs="楷体"/>
        <w:sz w:val="21"/>
        <w:szCs w:val="21"/>
      </w:rPr>
      <w:t xml:space="preserve">第七章 </w:t>
    </w:r>
    <w:r>
      <w:rPr>
        <w:rFonts w:hint="eastAsia" w:ascii="楷体" w:hAnsi="楷体" w:eastAsia="楷体" w:cs="楷体"/>
        <w:sz w:val="21"/>
        <w:szCs w:val="21"/>
        <w:lang w:eastAsia="zh-CN"/>
      </w:rPr>
      <w:t>投标供应商须知前附表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ascii="楷体_GB2312" w:eastAsia="楷体_GB2312"/>
        <w:sz w:val="21"/>
        <w:szCs w:val="21"/>
      </w:rPr>
    </w:pPr>
    <w:r>
      <w:rPr>
        <w:rFonts w:hint="eastAsia" w:ascii="楷体_GB2312" w:hAnsi="华文中宋" w:eastAsia="楷体_GB2312"/>
        <w:sz w:val="21"/>
        <w:szCs w:val="21"/>
      </w:rPr>
      <w:t>第二章 合同通用条款</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ascii="楷体_GB2312" w:eastAsia="楷体_GB2312"/>
        <w:sz w:val="21"/>
        <w:szCs w:val="21"/>
      </w:rPr>
    </w:pPr>
    <w:r>
      <w:rPr>
        <w:rFonts w:hint="eastAsia" w:ascii="楷体_GB2312" w:hAnsi="华文中宋" w:eastAsia="楷体_GB2312"/>
        <w:sz w:val="21"/>
        <w:szCs w:val="21"/>
      </w:rPr>
      <w:t>第三章 投标文件内容及格式</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ascii="楷体_GB2312" w:eastAsia="楷体_GB2312"/>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ascii="楷体_GB2312" w:eastAsia="楷体_GB2312"/>
        <w:sz w:val="21"/>
        <w:szCs w:val="21"/>
      </w:rPr>
    </w:pPr>
    <w:r>
      <w:rPr>
        <w:rFonts w:hint="eastAsia" w:ascii="楷体_GB2312" w:hAnsi="华文中宋" w:eastAsia="楷体_GB2312"/>
        <w:sz w:val="21"/>
        <w:szCs w:val="21"/>
      </w:rPr>
      <w:t>第四章 招标公告</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ascii="楷体" w:hAnsi="楷体" w:eastAsia="楷体" w:cs="楷体"/>
        <w:sz w:val="21"/>
        <w:szCs w:val="21"/>
      </w:rPr>
    </w:pPr>
    <w:r>
      <w:rPr>
        <w:rFonts w:hint="eastAsia" w:ascii="楷体" w:hAnsi="楷体" w:eastAsia="楷体" w:cs="楷体"/>
        <w:sz w:val="21"/>
        <w:szCs w:val="21"/>
      </w:rPr>
      <w:t>第五章 采购项目技术和商务要求</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ascii="楷体" w:hAnsi="楷体" w:eastAsia="楷体" w:cs="楷体"/>
        <w:sz w:val="21"/>
        <w:szCs w:val="21"/>
      </w:rPr>
    </w:pPr>
    <w:r>
      <w:rPr>
        <w:rFonts w:hint="eastAsia" w:ascii="楷体" w:hAnsi="楷体" w:eastAsia="楷体" w:cs="楷体"/>
        <w:sz w:val="21"/>
        <w:szCs w:val="21"/>
      </w:rPr>
      <w:t>第六章 合同专用条款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290543"/>
    <w:multiLevelType w:val="singleLevel"/>
    <w:tmpl w:val="C3290543"/>
    <w:lvl w:ilvl="0" w:tentative="0">
      <w:start w:val="4"/>
      <w:numFmt w:val="chineseCounting"/>
      <w:suff w:val="nothing"/>
      <w:lvlText w:val="（%1）"/>
      <w:lvlJc w:val="left"/>
      <w:rPr>
        <w:rFonts w:hint="eastAsia"/>
      </w:rPr>
    </w:lvl>
  </w:abstractNum>
  <w:abstractNum w:abstractNumId="1">
    <w:nsid w:val="0D5C81B7"/>
    <w:multiLevelType w:val="singleLevel"/>
    <w:tmpl w:val="0D5C81B7"/>
    <w:lvl w:ilvl="0" w:tentative="0">
      <w:start w:val="7"/>
      <w:numFmt w:val="decimal"/>
      <w:lvlText w:val="%1."/>
      <w:lvlJc w:val="left"/>
      <w:pPr>
        <w:tabs>
          <w:tab w:val="left" w:pos="312"/>
        </w:tabs>
      </w:pPr>
    </w:lvl>
  </w:abstractNum>
  <w:abstractNum w:abstractNumId="2">
    <w:nsid w:val="18BD9900"/>
    <w:multiLevelType w:val="singleLevel"/>
    <w:tmpl w:val="18BD9900"/>
    <w:lvl w:ilvl="0" w:tentative="0">
      <w:start w:val="1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5ZTc3MzZhYzU3Zjc2OWFhMzRhMjJhZDA3NTE2YTQifQ=="/>
  </w:docVars>
  <w:rsids>
    <w:rsidRoot w:val="007434B4"/>
    <w:rsid w:val="00000A61"/>
    <w:rsid w:val="00000A83"/>
    <w:rsid w:val="000013FE"/>
    <w:rsid w:val="00001549"/>
    <w:rsid w:val="0000186F"/>
    <w:rsid w:val="00001A03"/>
    <w:rsid w:val="00002568"/>
    <w:rsid w:val="00002840"/>
    <w:rsid w:val="00002D66"/>
    <w:rsid w:val="000037DE"/>
    <w:rsid w:val="0000392F"/>
    <w:rsid w:val="00003D23"/>
    <w:rsid w:val="00003EB3"/>
    <w:rsid w:val="00004137"/>
    <w:rsid w:val="0000430D"/>
    <w:rsid w:val="000046E7"/>
    <w:rsid w:val="00004EAF"/>
    <w:rsid w:val="0000617C"/>
    <w:rsid w:val="00006552"/>
    <w:rsid w:val="000066AD"/>
    <w:rsid w:val="000066FF"/>
    <w:rsid w:val="00006DAC"/>
    <w:rsid w:val="00007067"/>
    <w:rsid w:val="0001024D"/>
    <w:rsid w:val="00010382"/>
    <w:rsid w:val="000106D9"/>
    <w:rsid w:val="000108AA"/>
    <w:rsid w:val="00010C6F"/>
    <w:rsid w:val="0001110D"/>
    <w:rsid w:val="00012880"/>
    <w:rsid w:val="00012DDA"/>
    <w:rsid w:val="00012ECE"/>
    <w:rsid w:val="0001306B"/>
    <w:rsid w:val="00013365"/>
    <w:rsid w:val="00013466"/>
    <w:rsid w:val="00013563"/>
    <w:rsid w:val="00013574"/>
    <w:rsid w:val="00013923"/>
    <w:rsid w:val="00013A9F"/>
    <w:rsid w:val="00013C3C"/>
    <w:rsid w:val="00014251"/>
    <w:rsid w:val="00014A82"/>
    <w:rsid w:val="00015858"/>
    <w:rsid w:val="00015A29"/>
    <w:rsid w:val="0001617A"/>
    <w:rsid w:val="00017581"/>
    <w:rsid w:val="000175E8"/>
    <w:rsid w:val="00017CF0"/>
    <w:rsid w:val="00017E19"/>
    <w:rsid w:val="00017F9C"/>
    <w:rsid w:val="00021906"/>
    <w:rsid w:val="000224EC"/>
    <w:rsid w:val="00022C7C"/>
    <w:rsid w:val="00023183"/>
    <w:rsid w:val="000247E5"/>
    <w:rsid w:val="00024C64"/>
    <w:rsid w:val="00024C6B"/>
    <w:rsid w:val="000252F0"/>
    <w:rsid w:val="0002532C"/>
    <w:rsid w:val="00025E40"/>
    <w:rsid w:val="00025EED"/>
    <w:rsid w:val="0002728C"/>
    <w:rsid w:val="00027558"/>
    <w:rsid w:val="00027A39"/>
    <w:rsid w:val="00027BFF"/>
    <w:rsid w:val="00027CBF"/>
    <w:rsid w:val="00027D0F"/>
    <w:rsid w:val="00030347"/>
    <w:rsid w:val="00030A53"/>
    <w:rsid w:val="00030C0F"/>
    <w:rsid w:val="00031267"/>
    <w:rsid w:val="00031705"/>
    <w:rsid w:val="00031BBE"/>
    <w:rsid w:val="00031C52"/>
    <w:rsid w:val="00032B26"/>
    <w:rsid w:val="00032D53"/>
    <w:rsid w:val="000333AE"/>
    <w:rsid w:val="00033EFF"/>
    <w:rsid w:val="00034A1D"/>
    <w:rsid w:val="00034D27"/>
    <w:rsid w:val="00034F97"/>
    <w:rsid w:val="00035016"/>
    <w:rsid w:val="00035663"/>
    <w:rsid w:val="000358FA"/>
    <w:rsid w:val="000359AC"/>
    <w:rsid w:val="000359D6"/>
    <w:rsid w:val="00035B2B"/>
    <w:rsid w:val="00036999"/>
    <w:rsid w:val="0003788C"/>
    <w:rsid w:val="00040247"/>
    <w:rsid w:val="00040313"/>
    <w:rsid w:val="000405F2"/>
    <w:rsid w:val="00040A03"/>
    <w:rsid w:val="00040E14"/>
    <w:rsid w:val="00041881"/>
    <w:rsid w:val="00041D11"/>
    <w:rsid w:val="00041F58"/>
    <w:rsid w:val="0004234C"/>
    <w:rsid w:val="00042EB5"/>
    <w:rsid w:val="0004381A"/>
    <w:rsid w:val="0004444E"/>
    <w:rsid w:val="00045146"/>
    <w:rsid w:val="0004518A"/>
    <w:rsid w:val="00045195"/>
    <w:rsid w:val="00045700"/>
    <w:rsid w:val="00045855"/>
    <w:rsid w:val="00045B4B"/>
    <w:rsid w:val="000460A8"/>
    <w:rsid w:val="000467EE"/>
    <w:rsid w:val="00046881"/>
    <w:rsid w:val="000470DE"/>
    <w:rsid w:val="00047210"/>
    <w:rsid w:val="00047440"/>
    <w:rsid w:val="000474B5"/>
    <w:rsid w:val="0004759C"/>
    <w:rsid w:val="000476BA"/>
    <w:rsid w:val="00047E45"/>
    <w:rsid w:val="00047F88"/>
    <w:rsid w:val="0005011A"/>
    <w:rsid w:val="0005013F"/>
    <w:rsid w:val="0005019F"/>
    <w:rsid w:val="000505B8"/>
    <w:rsid w:val="000508AD"/>
    <w:rsid w:val="00051201"/>
    <w:rsid w:val="0005168D"/>
    <w:rsid w:val="00051F7E"/>
    <w:rsid w:val="0005208E"/>
    <w:rsid w:val="000522F8"/>
    <w:rsid w:val="00052DBD"/>
    <w:rsid w:val="00053B32"/>
    <w:rsid w:val="00053BE1"/>
    <w:rsid w:val="00053C6E"/>
    <w:rsid w:val="00053C94"/>
    <w:rsid w:val="000546D1"/>
    <w:rsid w:val="00055505"/>
    <w:rsid w:val="000566BD"/>
    <w:rsid w:val="00056B9B"/>
    <w:rsid w:val="0005701C"/>
    <w:rsid w:val="0005709D"/>
    <w:rsid w:val="0005733F"/>
    <w:rsid w:val="00057DA2"/>
    <w:rsid w:val="000603D4"/>
    <w:rsid w:val="000606A2"/>
    <w:rsid w:val="00060C04"/>
    <w:rsid w:val="00060D3D"/>
    <w:rsid w:val="00060F66"/>
    <w:rsid w:val="0006124F"/>
    <w:rsid w:val="00061310"/>
    <w:rsid w:val="000613BA"/>
    <w:rsid w:val="00061590"/>
    <w:rsid w:val="000617C1"/>
    <w:rsid w:val="000618B2"/>
    <w:rsid w:val="00061914"/>
    <w:rsid w:val="000620A1"/>
    <w:rsid w:val="0006218B"/>
    <w:rsid w:val="000628F6"/>
    <w:rsid w:val="00062E6C"/>
    <w:rsid w:val="000631C4"/>
    <w:rsid w:val="000638C9"/>
    <w:rsid w:val="0006546E"/>
    <w:rsid w:val="00065B10"/>
    <w:rsid w:val="000662FC"/>
    <w:rsid w:val="0006657E"/>
    <w:rsid w:val="000666F2"/>
    <w:rsid w:val="00066BCE"/>
    <w:rsid w:val="00066F09"/>
    <w:rsid w:val="0006734E"/>
    <w:rsid w:val="000675E6"/>
    <w:rsid w:val="000677C7"/>
    <w:rsid w:val="00067803"/>
    <w:rsid w:val="00067948"/>
    <w:rsid w:val="00067D0B"/>
    <w:rsid w:val="000709FB"/>
    <w:rsid w:val="00070B21"/>
    <w:rsid w:val="00070F95"/>
    <w:rsid w:val="0007140C"/>
    <w:rsid w:val="00071555"/>
    <w:rsid w:val="00072067"/>
    <w:rsid w:val="00072274"/>
    <w:rsid w:val="00072573"/>
    <w:rsid w:val="00072724"/>
    <w:rsid w:val="00073182"/>
    <w:rsid w:val="0007343D"/>
    <w:rsid w:val="00073C81"/>
    <w:rsid w:val="00074523"/>
    <w:rsid w:val="000745C1"/>
    <w:rsid w:val="0007473A"/>
    <w:rsid w:val="00074CB8"/>
    <w:rsid w:val="00074F88"/>
    <w:rsid w:val="000751AF"/>
    <w:rsid w:val="00075737"/>
    <w:rsid w:val="00076502"/>
    <w:rsid w:val="000768C7"/>
    <w:rsid w:val="00076A38"/>
    <w:rsid w:val="00076D6C"/>
    <w:rsid w:val="000775DD"/>
    <w:rsid w:val="00077655"/>
    <w:rsid w:val="00077706"/>
    <w:rsid w:val="000777C0"/>
    <w:rsid w:val="00077C3A"/>
    <w:rsid w:val="00077E78"/>
    <w:rsid w:val="00080A92"/>
    <w:rsid w:val="000811B9"/>
    <w:rsid w:val="000815D8"/>
    <w:rsid w:val="00081D5E"/>
    <w:rsid w:val="00082346"/>
    <w:rsid w:val="000828E7"/>
    <w:rsid w:val="00082D95"/>
    <w:rsid w:val="0008306E"/>
    <w:rsid w:val="000831A6"/>
    <w:rsid w:val="000831F8"/>
    <w:rsid w:val="000841E5"/>
    <w:rsid w:val="00084314"/>
    <w:rsid w:val="000843C3"/>
    <w:rsid w:val="00085204"/>
    <w:rsid w:val="00085A87"/>
    <w:rsid w:val="00085B42"/>
    <w:rsid w:val="00086D13"/>
    <w:rsid w:val="00086D4B"/>
    <w:rsid w:val="00087CA6"/>
    <w:rsid w:val="0009006C"/>
    <w:rsid w:val="000902FC"/>
    <w:rsid w:val="0009045C"/>
    <w:rsid w:val="000904BC"/>
    <w:rsid w:val="00090578"/>
    <w:rsid w:val="00090726"/>
    <w:rsid w:val="000908C8"/>
    <w:rsid w:val="000909AB"/>
    <w:rsid w:val="00090D47"/>
    <w:rsid w:val="00090F05"/>
    <w:rsid w:val="000913D7"/>
    <w:rsid w:val="00091751"/>
    <w:rsid w:val="000917F5"/>
    <w:rsid w:val="00091918"/>
    <w:rsid w:val="00091D16"/>
    <w:rsid w:val="000921D2"/>
    <w:rsid w:val="00092365"/>
    <w:rsid w:val="00092E61"/>
    <w:rsid w:val="00093151"/>
    <w:rsid w:val="00093AAC"/>
    <w:rsid w:val="00093EDB"/>
    <w:rsid w:val="000942FA"/>
    <w:rsid w:val="00094343"/>
    <w:rsid w:val="0009483A"/>
    <w:rsid w:val="0009511E"/>
    <w:rsid w:val="0009530E"/>
    <w:rsid w:val="00095527"/>
    <w:rsid w:val="0009567C"/>
    <w:rsid w:val="00095A0E"/>
    <w:rsid w:val="00096239"/>
    <w:rsid w:val="00096A68"/>
    <w:rsid w:val="00097766"/>
    <w:rsid w:val="00097FB9"/>
    <w:rsid w:val="000A0680"/>
    <w:rsid w:val="000A08E1"/>
    <w:rsid w:val="000A0CD6"/>
    <w:rsid w:val="000A1036"/>
    <w:rsid w:val="000A19F9"/>
    <w:rsid w:val="000A2445"/>
    <w:rsid w:val="000A2575"/>
    <w:rsid w:val="000A25D2"/>
    <w:rsid w:val="000A2631"/>
    <w:rsid w:val="000A27CA"/>
    <w:rsid w:val="000A3313"/>
    <w:rsid w:val="000A3BB4"/>
    <w:rsid w:val="000A4283"/>
    <w:rsid w:val="000A4354"/>
    <w:rsid w:val="000A45EF"/>
    <w:rsid w:val="000A4BA6"/>
    <w:rsid w:val="000A5672"/>
    <w:rsid w:val="000A5772"/>
    <w:rsid w:val="000A57B9"/>
    <w:rsid w:val="000A5B0B"/>
    <w:rsid w:val="000A5F48"/>
    <w:rsid w:val="000A629D"/>
    <w:rsid w:val="000A6658"/>
    <w:rsid w:val="000A6939"/>
    <w:rsid w:val="000A6CDC"/>
    <w:rsid w:val="000A7A5A"/>
    <w:rsid w:val="000B0024"/>
    <w:rsid w:val="000B01CA"/>
    <w:rsid w:val="000B038F"/>
    <w:rsid w:val="000B0390"/>
    <w:rsid w:val="000B049C"/>
    <w:rsid w:val="000B0870"/>
    <w:rsid w:val="000B0C1A"/>
    <w:rsid w:val="000B0F6F"/>
    <w:rsid w:val="000B1637"/>
    <w:rsid w:val="000B1715"/>
    <w:rsid w:val="000B1D78"/>
    <w:rsid w:val="000B2648"/>
    <w:rsid w:val="000B2722"/>
    <w:rsid w:val="000B320F"/>
    <w:rsid w:val="000B33DF"/>
    <w:rsid w:val="000B34C9"/>
    <w:rsid w:val="000B354B"/>
    <w:rsid w:val="000B3A4F"/>
    <w:rsid w:val="000B3CBE"/>
    <w:rsid w:val="000B4369"/>
    <w:rsid w:val="000B447F"/>
    <w:rsid w:val="000B4504"/>
    <w:rsid w:val="000B47C4"/>
    <w:rsid w:val="000B48CB"/>
    <w:rsid w:val="000B51EA"/>
    <w:rsid w:val="000B5653"/>
    <w:rsid w:val="000B5D64"/>
    <w:rsid w:val="000B5D7D"/>
    <w:rsid w:val="000B67D9"/>
    <w:rsid w:val="000B6A6A"/>
    <w:rsid w:val="000B7755"/>
    <w:rsid w:val="000B7D44"/>
    <w:rsid w:val="000B7DE0"/>
    <w:rsid w:val="000B7DF1"/>
    <w:rsid w:val="000C0324"/>
    <w:rsid w:val="000C035B"/>
    <w:rsid w:val="000C0714"/>
    <w:rsid w:val="000C1702"/>
    <w:rsid w:val="000C17ED"/>
    <w:rsid w:val="000C188C"/>
    <w:rsid w:val="000C1BAE"/>
    <w:rsid w:val="000C245B"/>
    <w:rsid w:val="000C2AE6"/>
    <w:rsid w:val="000C354A"/>
    <w:rsid w:val="000C3DFB"/>
    <w:rsid w:val="000C3F62"/>
    <w:rsid w:val="000C4486"/>
    <w:rsid w:val="000C4737"/>
    <w:rsid w:val="000C4F92"/>
    <w:rsid w:val="000C4FD9"/>
    <w:rsid w:val="000C5075"/>
    <w:rsid w:val="000C52A0"/>
    <w:rsid w:val="000C5A7B"/>
    <w:rsid w:val="000C5E03"/>
    <w:rsid w:val="000C5E94"/>
    <w:rsid w:val="000C61EE"/>
    <w:rsid w:val="000C6616"/>
    <w:rsid w:val="000C6B2C"/>
    <w:rsid w:val="000C6D59"/>
    <w:rsid w:val="000C70C2"/>
    <w:rsid w:val="000C7812"/>
    <w:rsid w:val="000D0082"/>
    <w:rsid w:val="000D00A1"/>
    <w:rsid w:val="000D04C8"/>
    <w:rsid w:val="000D0769"/>
    <w:rsid w:val="000D0E5E"/>
    <w:rsid w:val="000D1018"/>
    <w:rsid w:val="000D13A0"/>
    <w:rsid w:val="000D1D37"/>
    <w:rsid w:val="000D211B"/>
    <w:rsid w:val="000D21CD"/>
    <w:rsid w:val="000D27D1"/>
    <w:rsid w:val="000D2A3F"/>
    <w:rsid w:val="000D2BC6"/>
    <w:rsid w:val="000D3091"/>
    <w:rsid w:val="000D344B"/>
    <w:rsid w:val="000D3A94"/>
    <w:rsid w:val="000D3B49"/>
    <w:rsid w:val="000D4A2B"/>
    <w:rsid w:val="000D4BFD"/>
    <w:rsid w:val="000D5249"/>
    <w:rsid w:val="000D6185"/>
    <w:rsid w:val="000D6514"/>
    <w:rsid w:val="000D6629"/>
    <w:rsid w:val="000D76A4"/>
    <w:rsid w:val="000D7EA9"/>
    <w:rsid w:val="000E069D"/>
    <w:rsid w:val="000E0761"/>
    <w:rsid w:val="000E0819"/>
    <w:rsid w:val="000E0BAE"/>
    <w:rsid w:val="000E15E0"/>
    <w:rsid w:val="000E166F"/>
    <w:rsid w:val="000E25BD"/>
    <w:rsid w:val="000E27EF"/>
    <w:rsid w:val="000E2A00"/>
    <w:rsid w:val="000E3122"/>
    <w:rsid w:val="000E3C87"/>
    <w:rsid w:val="000E3DCC"/>
    <w:rsid w:val="000E4082"/>
    <w:rsid w:val="000E4525"/>
    <w:rsid w:val="000E46D9"/>
    <w:rsid w:val="000E472D"/>
    <w:rsid w:val="000E4E95"/>
    <w:rsid w:val="000E50DD"/>
    <w:rsid w:val="000E51E1"/>
    <w:rsid w:val="000E5964"/>
    <w:rsid w:val="000E598D"/>
    <w:rsid w:val="000E640C"/>
    <w:rsid w:val="000E682F"/>
    <w:rsid w:val="000E703C"/>
    <w:rsid w:val="000E7308"/>
    <w:rsid w:val="000E7417"/>
    <w:rsid w:val="000E741F"/>
    <w:rsid w:val="000E7E0E"/>
    <w:rsid w:val="000F0042"/>
    <w:rsid w:val="000F0B9C"/>
    <w:rsid w:val="000F0FB5"/>
    <w:rsid w:val="000F1903"/>
    <w:rsid w:val="000F1A45"/>
    <w:rsid w:val="000F1AF9"/>
    <w:rsid w:val="000F21C8"/>
    <w:rsid w:val="000F3713"/>
    <w:rsid w:val="000F376A"/>
    <w:rsid w:val="000F37AB"/>
    <w:rsid w:val="000F3BA5"/>
    <w:rsid w:val="000F3C74"/>
    <w:rsid w:val="000F3F24"/>
    <w:rsid w:val="000F4155"/>
    <w:rsid w:val="000F4491"/>
    <w:rsid w:val="000F44CB"/>
    <w:rsid w:val="000F46A4"/>
    <w:rsid w:val="000F4F2F"/>
    <w:rsid w:val="000F5866"/>
    <w:rsid w:val="000F5CE6"/>
    <w:rsid w:val="000F620C"/>
    <w:rsid w:val="000F7588"/>
    <w:rsid w:val="000F7591"/>
    <w:rsid w:val="001000C3"/>
    <w:rsid w:val="0010071B"/>
    <w:rsid w:val="001009F8"/>
    <w:rsid w:val="00100CE4"/>
    <w:rsid w:val="00100F80"/>
    <w:rsid w:val="00102158"/>
    <w:rsid w:val="00102723"/>
    <w:rsid w:val="001027BD"/>
    <w:rsid w:val="001029A8"/>
    <w:rsid w:val="00104636"/>
    <w:rsid w:val="001047E3"/>
    <w:rsid w:val="00104908"/>
    <w:rsid w:val="00104D5D"/>
    <w:rsid w:val="00105A9C"/>
    <w:rsid w:val="00105C89"/>
    <w:rsid w:val="001061C9"/>
    <w:rsid w:val="00106446"/>
    <w:rsid w:val="001064E7"/>
    <w:rsid w:val="00106693"/>
    <w:rsid w:val="00106F32"/>
    <w:rsid w:val="00107077"/>
    <w:rsid w:val="0010798D"/>
    <w:rsid w:val="00107FD9"/>
    <w:rsid w:val="00110169"/>
    <w:rsid w:val="001104A9"/>
    <w:rsid w:val="001108C2"/>
    <w:rsid w:val="001108E9"/>
    <w:rsid w:val="00110B4B"/>
    <w:rsid w:val="00110D4A"/>
    <w:rsid w:val="001113FC"/>
    <w:rsid w:val="00111596"/>
    <w:rsid w:val="00111A26"/>
    <w:rsid w:val="00111BA9"/>
    <w:rsid w:val="00111CC9"/>
    <w:rsid w:val="00111DF1"/>
    <w:rsid w:val="00111E9C"/>
    <w:rsid w:val="00112139"/>
    <w:rsid w:val="0011245C"/>
    <w:rsid w:val="0011291B"/>
    <w:rsid w:val="00112A3D"/>
    <w:rsid w:val="00112A5A"/>
    <w:rsid w:val="00112F7F"/>
    <w:rsid w:val="001133AC"/>
    <w:rsid w:val="00113794"/>
    <w:rsid w:val="00113A79"/>
    <w:rsid w:val="00113C61"/>
    <w:rsid w:val="00113D45"/>
    <w:rsid w:val="00113E21"/>
    <w:rsid w:val="00113E55"/>
    <w:rsid w:val="00113EBD"/>
    <w:rsid w:val="00113F2F"/>
    <w:rsid w:val="001141D0"/>
    <w:rsid w:val="00114A5B"/>
    <w:rsid w:val="00114B15"/>
    <w:rsid w:val="00115301"/>
    <w:rsid w:val="001155CF"/>
    <w:rsid w:val="00115CAE"/>
    <w:rsid w:val="00116313"/>
    <w:rsid w:val="001164E3"/>
    <w:rsid w:val="00117058"/>
    <w:rsid w:val="00117143"/>
    <w:rsid w:val="00120369"/>
    <w:rsid w:val="00120A2E"/>
    <w:rsid w:val="0012115D"/>
    <w:rsid w:val="001217FB"/>
    <w:rsid w:val="0012193B"/>
    <w:rsid w:val="00121A30"/>
    <w:rsid w:val="00121C09"/>
    <w:rsid w:val="001228FD"/>
    <w:rsid w:val="00122A40"/>
    <w:rsid w:val="001232B6"/>
    <w:rsid w:val="00123C10"/>
    <w:rsid w:val="001240B1"/>
    <w:rsid w:val="00124345"/>
    <w:rsid w:val="001243CC"/>
    <w:rsid w:val="0012512A"/>
    <w:rsid w:val="00125769"/>
    <w:rsid w:val="0012585E"/>
    <w:rsid w:val="00125F48"/>
    <w:rsid w:val="001260C6"/>
    <w:rsid w:val="00126231"/>
    <w:rsid w:val="001264B5"/>
    <w:rsid w:val="001264DC"/>
    <w:rsid w:val="00127083"/>
    <w:rsid w:val="001270F3"/>
    <w:rsid w:val="0012721E"/>
    <w:rsid w:val="001302EB"/>
    <w:rsid w:val="001309E8"/>
    <w:rsid w:val="0013172D"/>
    <w:rsid w:val="00131A66"/>
    <w:rsid w:val="001322EF"/>
    <w:rsid w:val="001324B3"/>
    <w:rsid w:val="00132C5C"/>
    <w:rsid w:val="00133705"/>
    <w:rsid w:val="00134480"/>
    <w:rsid w:val="001344CD"/>
    <w:rsid w:val="001345E9"/>
    <w:rsid w:val="0013488F"/>
    <w:rsid w:val="00134894"/>
    <w:rsid w:val="001348D3"/>
    <w:rsid w:val="00135375"/>
    <w:rsid w:val="00136C17"/>
    <w:rsid w:val="001370E3"/>
    <w:rsid w:val="001373B5"/>
    <w:rsid w:val="00137DA0"/>
    <w:rsid w:val="00137DBD"/>
    <w:rsid w:val="00137DCD"/>
    <w:rsid w:val="00140395"/>
    <w:rsid w:val="00140DA3"/>
    <w:rsid w:val="001413DF"/>
    <w:rsid w:val="00141BEE"/>
    <w:rsid w:val="00142821"/>
    <w:rsid w:val="00142F2C"/>
    <w:rsid w:val="0014304D"/>
    <w:rsid w:val="00143121"/>
    <w:rsid w:val="00144141"/>
    <w:rsid w:val="0014429B"/>
    <w:rsid w:val="00144B01"/>
    <w:rsid w:val="00144EEE"/>
    <w:rsid w:val="00144F97"/>
    <w:rsid w:val="00145474"/>
    <w:rsid w:val="00145591"/>
    <w:rsid w:val="00145791"/>
    <w:rsid w:val="0014579A"/>
    <w:rsid w:val="00145878"/>
    <w:rsid w:val="00145AD9"/>
    <w:rsid w:val="0014699B"/>
    <w:rsid w:val="00146D14"/>
    <w:rsid w:val="00146D9D"/>
    <w:rsid w:val="00146FCF"/>
    <w:rsid w:val="001475E6"/>
    <w:rsid w:val="00151124"/>
    <w:rsid w:val="001511E6"/>
    <w:rsid w:val="001515BF"/>
    <w:rsid w:val="00151BA6"/>
    <w:rsid w:val="00152032"/>
    <w:rsid w:val="00152542"/>
    <w:rsid w:val="0015269F"/>
    <w:rsid w:val="00152739"/>
    <w:rsid w:val="00153432"/>
    <w:rsid w:val="00153AE6"/>
    <w:rsid w:val="00153C89"/>
    <w:rsid w:val="00154232"/>
    <w:rsid w:val="00154280"/>
    <w:rsid w:val="00154D61"/>
    <w:rsid w:val="00154FB7"/>
    <w:rsid w:val="00155144"/>
    <w:rsid w:val="00155FED"/>
    <w:rsid w:val="00156049"/>
    <w:rsid w:val="001564DB"/>
    <w:rsid w:val="001566D6"/>
    <w:rsid w:val="00156810"/>
    <w:rsid w:val="00156987"/>
    <w:rsid w:val="00156EBF"/>
    <w:rsid w:val="00156F75"/>
    <w:rsid w:val="001578C4"/>
    <w:rsid w:val="00157F3C"/>
    <w:rsid w:val="00160408"/>
    <w:rsid w:val="00160E3C"/>
    <w:rsid w:val="00160F6F"/>
    <w:rsid w:val="00160F7D"/>
    <w:rsid w:val="00161454"/>
    <w:rsid w:val="00161540"/>
    <w:rsid w:val="001617E9"/>
    <w:rsid w:val="00161FB6"/>
    <w:rsid w:val="00162169"/>
    <w:rsid w:val="00162175"/>
    <w:rsid w:val="00162403"/>
    <w:rsid w:val="0016254E"/>
    <w:rsid w:val="00162D1B"/>
    <w:rsid w:val="00162F23"/>
    <w:rsid w:val="0016305F"/>
    <w:rsid w:val="001637C1"/>
    <w:rsid w:val="00163D7E"/>
    <w:rsid w:val="00164274"/>
    <w:rsid w:val="0016436E"/>
    <w:rsid w:val="0016451E"/>
    <w:rsid w:val="00164AC0"/>
    <w:rsid w:val="00164C0D"/>
    <w:rsid w:val="00165143"/>
    <w:rsid w:val="001651C7"/>
    <w:rsid w:val="0016522C"/>
    <w:rsid w:val="0016545D"/>
    <w:rsid w:val="001655DB"/>
    <w:rsid w:val="001656F4"/>
    <w:rsid w:val="0016583A"/>
    <w:rsid w:val="00166545"/>
    <w:rsid w:val="00166A7A"/>
    <w:rsid w:val="00166F38"/>
    <w:rsid w:val="001671FB"/>
    <w:rsid w:val="00167313"/>
    <w:rsid w:val="00167763"/>
    <w:rsid w:val="0017018C"/>
    <w:rsid w:val="001701B1"/>
    <w:rsid w:val="001701DB"/>
    <w:rsid w:val="001703C5"/>
    <w:rsid w:val="001706CE"/>
    <w:rsid w:val="001708E8"/>
    <w:rsid w:val="00170A95"/>
    <w:rsid w:val="00171083"/>
    <w:rsid w:val="0017148D"/>
    <w:rsid w:val="0017207C"/>
    <w:rsid w:val="001724EB"/>
    <w:rsid w:val="001726AE"/>
    <w:rsid w:val="0017284E"/>
    <w:rsid w:val="00172D4D"/>
    <w:rsid w:val="0017334A"/>
    <w:rsid w:val="00173713"/>
    <w:rsid w:val="00173A95"/>
    <w:rsid w:val="00173D83"/>
    <w:rsid w:val="0017404D"/>
    <w:rsid w:val="0017429D"/>
    <w:rsid w:val="00175C3F"/>
    <w:rsid w:val="00175FE2"/>
    <w:rsid w:val="0017633E"/>
    <w:rsid w:val="00176613"/>
    <w:rsid w:val="001768BB"/>
    <w:rsid w:val="00176B3E"/>
    <w:rsid w:val="00176E36"/>
    <w:rsid w:val="001773C6"/>
    <w:rsid w:val="0017741D"/>
    <w:rsid w:val="00177728"/>
    <w:rsid w:val="0017776B"/>
    <w:rsid w:val="00177791"/>
    <w:rsid w:val="00177A7B"/>
    <w:rsid w:val="001810E9"/>
    <w:rsid w:val="001818BD"/>
    <w:rsid w:val="00181D2E"/>
    <w:rsid w:val="00181F66"/>
    <w:rsid w:val="0018258F"/>
    <w:rsid w:val="001828D3"/>
    <w:rsid w:val="001834F8"/>
    <w:rsid w:val="00183543"/>
    <w:rsid w:val="001837AF"/>
    <w:rsid w:val="001837C6"/>
    <w:rsid w:val="001839B3"/>
    <w:rsid w:val="00183E8C"/>
    <w:rsid w:val="001846F2"/>
    <w:rsid w:val="0018495B"/>
    <w:rsid w:val="00184F4B"/>
    <w:rsid w:val="00185043"/>
    <w:rsid w:val="001850A4"/>
    <w:rsid w:val="0018531A"/>
    <w:rsid w:val="00185B43"/>
    <w:rsid w:val="00186927"/>
    <w:rsid w:val="00186E55"/>
    <w:rsid w:val="001870D2"/>
    <w:rsid w:val="00187AB8"/>
    <w:rsid w:val="00187EDD"/>
    <w:rsid w:val="00187F8D"/>
    <w:rsid w:val="00190053"/>
    <w:rsid w:val="00190101"/>
    <w:rsid w:val="001902AC"/>
    <w:rsid w:val="00190618"/>
    <w:rsid w:val="00190C8F"/>
    <w:rsid w:val="00191118"/>
    <w:rsid w:val="00191977"/>
    <w:rsid w:val="00191A57"/>
    <w:rsid w:val="00192075"/>
    <w:rsid w:val="0019213A"/>
    <w:rsid w:val="001926B2"/>
    <w:rsid w:val="00192767"/>
    <w:rsid w:val="001929FF"/>
    <w:rsid w:val="00193050"/>
    <w:rsid w:val="00193526"/>
    <w:rsid w:val="001938C4"/>
    <w:rsid w:val="001938D3"/>
    <w:rsid w:val="0019390C"/>
    <w:rsid w:val="00193BBC"/>
    <w:rsid w:val="00194255"/>
    <w:rsid w:val="00194270"/>
    <w:rsid w:val="00194E1C"/>
    <w:rsid w:val="00194EE1"/>
    <w:rsid w:val="00194FE8"/>
    <w:rsid w:val="00195771"/>
    <w:rsid w:val="001960A0"/>
    <w:rsid w:val="0019626C"/>
    <w:rsid w:val="00197441"/>
    <w:rsid w:val="001978FA"/>
    <w:rsid w:val="00197B7E"/>
    <w:rsid w:val="001A053D"/>
    <w:rsid w:val="001A096B"/>
    <w:rsid w:val="001A0F2E"/>
    <w:rsid w:val="001A101A"/>
    <w:rsid w:val="001A12A4"/>
    <w:rsid w:val="001A130A"/>
    <w:rsid w:val="001A1591"/>
    <w:rsid w:val="001A1CB2"/>
    <w:rsid w:val="001A1E2A"/>
    <w:rsid w:val="001A273B"/>
    <w:rsid w:val="001A282F"/>
    <w:rsid w:val="001A2976"/>
    <w:rsid w:val="001A37C5"/>
    <w:rsid w:val="001A3AA5"/>
    <w:rsid w:val="001A3AFC"/>
    <w:rsid w:val="001A3BCB"/>
    <w:rsid w:val="001A3F7D"/>
    <w:rsid w:val="001A4D9B"/>
    <w:rsid w:val="001A561A"/>
    <w:rsid w:val="001A56B3"/>
    <w:rsid w:val="001A58C6"/>
    <w:rsid w:val="001A59EB"/>
    <w:rsid w:val="001A5F3D"/>
    <w:rsid w:val="001A647C"/>
    <w:rsid w:val="001A7CCE"/>
    <w:rsid w:val="001B0841"/>
    <w:rsid w:val="001B0B82"/>
    <w:rsid w:val="001B0C97"/>
    <w:rsid w:val="001B2294"/>
    <w:rsid w:val="001B2363"/>
    <w:rsid w:val="001B248E"/>
    <w:rsid w:val="001B2D68"/>
    <w:rsid w:val="001B313B"/>
    <w:rsid w:val="001B383C"/>
    <w:rsid w:val="001B4531"/>
    <w:rsid w:val="001B4602"/>
    <w:rsid w:val="001B4F01"/>
    <w:rsid w:val="001B5086"/>
    <w:rsid w:val="001B527B"/>
    <w:rsid w:val="001B56E0"/>
    <w:rsid w:val="001B5907"/>
    <w:rsid w:val="001B5A21"/>
    <w:rsid w:val="001B5C78"/>
    <w:rsid w:val="001B6278"/>
    <w:rsid w:val="001B62CC"/>
    <w:rsid w:val="001B6C7A"/>
    <w:rsid w:val="001B73A6"/>
    <w:rsid w:val="001B7AF5"/>
    <w:rsid w:val="001B7B0F"/>
    <w:rsid w:val="001B7D76"/>
    <w:rsid w:val="001C00F5"/>
    <w:rsid w:val="001C0BC5"/>
    <w:rsid w:val="001C0C83"/>
    <w:rsid w:val="001C1582"/>
    <w:rsid w:val="001C2072"/>
    <w:rsid w:val="001C274B"/>
    <w:rsid w:val="001C2DAC"/>
    <w:rsid w:val="001C2DBA"/>
    <w:rsid w:val="001C3481"/>
    <w:rsid w:val="001C38DF"/>
    <w:rsid w:val="001C426F"/>
    <w:rsid w:val="001C4E4C"/>
    <w:rsid w:val="001C5444"/>
    <w:rsid w:val="001C6699"/>
    <w:rsid w:val="001C692D"/>
    <w:rsid w:val="001C737E"/>
    <w:rsid w:val="001C75BC"/>
    <w:rsid w:val="001C7B25"/>
    <w:rsid w:val="001D02BF"/>
    <w:rsid w:val="001D0F5F"/>
    <w:rsid w:val="001D13D9"/>
    <w:rsid w:val="001D1A86"/>
    <w:rsid w:val="001D20DC"/>
    <w:rsid w:val="001D25C2"/>
    <w:rsid w:val="001D26DC"/>
    <w:rsid w:val="001D2DDF"/>
    <w:rsid w:val="001D300D"/>
    <w:rsid w:val="001D302B"/>
    <w:rsid w:val="001D4092"/>
    <w:rsid w:val="001D50B8"/>
    <w:rsid w:val="001D574C"/>
    <w:rsid w:val="001D5B75"/>
    <w:rsid w:val="001D6132"/>
    <w:rsid w:val="001D6BC6"/>
    <w:rsid w:val="001D730C"/>
    <w:rsid w:val="001D75E5"/>
    <w:rsid w:val="001D7C01"/>
    <w:rsid w:val="001E0663"/>
    <w:rsid w:val="001E0895"/>
    <w:rsid w:val="001E0FA0"/>
    <w:rsid w:val="001E162A"/>
    <w:rsid w:val="001E1AC2"/>
    <w:rsid w:val="001E1BF9"/>
    <w:rsid w:val="001E1D4A"/>
    <w:rsid w:val="001E2022"/>
    <w:rsid w:val="001E2054"/>
    <w:rsid w:val="001E2848"/>
    <w:rsid w:val="001E30CE"/>
    <w:rsid w:val="001E3396"/>
    <w:rsid w:val="001E385A"/>
    <w:rsid w:val="001E3988"/>
    <w:rsid w:val="001E3A6E"/>
    <w:rsid w:val="001E3AF6"/>
    <w:rsid w:val="001E3B0B"/>
    <w:rsid w:val="001E3D6A"/>
    <w:rsid w:val="001E4458"/>
    <w:rsid w:val="001E45E7"/>
    <w:rsid w:val="001E59F7"/>
    <w:rsid w:val="001E6A66"/>
    <w:rsid w:val="001E6EC4"/>
    <w:rsid w:val="001E742C"/>
    <w:rsid w:val="001F05CF"/>
    <w:rsid w:val="001F075D"/>
    <w:rsid w:val="001F0842"/>
    <w:rsid w:val="001F0F2E"/>
    <w:rsid w:val="001F130D"/>
    <w:rsid w:val="001F1819"/>
    <w:rsid w:val="001F19A5"/>
    <w:rsid w:val="001F1A25"/>
    <w:rsid w:val="001F1A88"/>
    <w:rsid w:val="001F248D"/>
    <w:rsid w:val="001F2A81"/>
    <w:rsid w:val="001F2CE1"/>
    <w:rsid w:val="001F2DE7"/>
    <w:rsid w:val="001F3A23"/>
    <w:rsid w:val="001F4054"/>
    <w:rsid w:val="001F405A"/>
    <w:rsid w:val="001F45C3"/>
    <w:rsid w:val="001F4878"/>
    <w:rsid w:val="001F4C67"/>
    <w:rsid w:val="001F4F56"/>
    <w:rsid w:val="001F5321"/>
    <w:rsid w:val="001F534E"/>
    <w:rsid w:val="001F58E3"/>
    <w:rsid w:val="001F5B18"/>
    <w:rsid w:val="001F5B5D"/>
    <w:rsid w:val="001F6745"/>
    <w:rsid w:val="001F7AFA"/>
    <w:rsid w:val="001F7DF3"/>
    <w:rsid w:val="0020047D"/>
    <w:rsid w:val="00200789"/>
    <w:rsid w:val="002008A9"/>
    <w:rsid w:val="00200A60"/>
    <w:rsid w:val="00200C39"/>
    <w:rsid w:val="00200D09"/>
    <w:rsid w:val="002018AB"/>
    <w:rsid w:val="00202199"/>
    <w:rsid w:val="002023F0"/>
    <w:rsid w:val="0020308E"/>
    <w:rsid w:val="002033C4"/>
    <w:rsid w:val="00203E00"/>
    <w:rsid w:val="00203EA6"/>
    <w:rsid w:val="00204B4F"/>
    <w:rsid w:val="00205CF8"/>
    <w:rsid w:val="00205E36"/>
    <w:rsid w:val="00206018"/>
    <w:rsid w:val="00206B89"/>
    <w:rsid w:val="00207D02"/>
    <w:rsid w:val="00210EE8"/>
    <w:rsid w:val="00210F21"/>
    <w:rsid w:val="00211DC0"/>
    <w:rsid w:val="00211F38"/>
    <w:rsid w:val="00212096"/>
    <w:rsid w:val="002120B3"/>
    <w:rsid w:val="00212851"/>
    <w:rsid w:val="00212981"/>
    <w:rsid w:val="002130A3"/>
    <w:rsid w:val="00213842"/>
    <w:rsid w:val="00213AA5"/>
    <w:rsid w:val="00213CEC"/>
    <w:rsid w:val="00213D49"/>
    <w:rsid w:val="0021449A"/>
    <w:rsid w:val="0021548B"/>
    <w:rsid w:val="002157B6"/>
    <w:rsid w:val="00215963"/>
    <w:rsid w:val="00215C17"/>
    <w:rsid w:val="00215D98"/>
    <w:rsid w:val="0021608B"/>
    <w:rsid w:val="00216096"/>
    <w:rsid w:val="00216282"/>
    <w:rsid w:val="00216AC1"/>
    <w:rsid w:val="00216FA2"/>
    <w:rsid w:val="0021739F"/>
    <w:rsid w:val="00217FDD"/>
    <w:rsid w:val="002203CE"/>
    <w:rsid w:val="00221240"/>
    <w:rsid w:val="00221403"/>
    <w:rsid w:val="00221427"/>
    <w:rsid w:val="00221488"/>
    <w:rsid w:val="00221600"/>
    <w:rsid w:val="00221683"/>
    <w:rsid w:val="00221BDF"/>
    <w:rsid w:val="00221BE4"/>
    <w:rsid w:val="00223541"/>
    <w:rsid w:val="00223B66"/>
    <w:rsid w:val="00223FAE"/>
    <w:rsid w:val="002240A4"/>
    <w:rsid w:val="00224352"/>
    <w:rsid w:val="0022478B"/>
    <w:rsid w:val="00224F54"/>
    <w:rsid w:val="00225331"/>
    <w:rsid w:val="00225377"/>
    <w:rsid w:val="00225547"/>
    <w:rsid w:val="002256D0"/>
    <w:rsid w:val="00225B7F"/>
    <w:rsid w:val="002263E4"/>
    <w:rsid w:val="00226525"/>
    <w:rsid w:val="00226945"/>
    <w:rsid w:val="00226CCD"/>
    <w:rsid w:val="00227483"/>
    <w:rsid w:val="00227617"/>
    <w:rsid w:val="00227636"/>
    <w:rsid w:val="0022796E"/>
    <w:rsid w:val="00227AF9"/>
    <w:rsid w:val="00227B5A"/>
    <w:rsid w:val="002303FF"/>
    <w:rsid w:val="00230B4C"/>
    <w:rsid w:val="00230B87"/>
    <w:rsid w:val="00231C23"/>
    <w:rsid w:val="00231C67"/>
    <w:rsid w:val="00231C6F"/>
    <w:rsid w:val="00231C9E"/>
    <w:rsid w:val="0023235C"/>
    <w:rsid w:val="00232836"/>
    <w:rsid w:val="0023288C"/>
    <w:rsid w:val="00232C85"/>
    <w:rsid w:val="00232D80"/>
    <w:rsid w:val="0023339C"/>
    <w:rsid w:val="00234275"/>
    <w:rsid w:val="002342ED"/>
    <w:rsid w:val="00234309"/>
    <w:rsid w:val="00235123"/>
    <w:rsid w:val="00235540"/>
    <w:rsid w:val="00235B62"/>
    <w:rsid w:val="00235DD9"/>
    <w:rsid w:val="00236637"/>
    <w:rsid w:val="00237002"/>
    <w:rsid w:val="00237788"/>
    <w:rsid w:val="002400B3"/>
    <w:rsid w:val="002416E2"/>
    <w:rsid w:val="002419D0"/>
    <w:rsid w:val="00241C86"/>
    <w:rsid w:val="00241DB1"/>
    <w:rsid w:val="00242897"/>
    <w:rsid w:val="00242A62"/>
    <w:rsid w:val="002439FB"/>
    <w:rsid w:val="002440DA"/>
    <w:rsid w:val="002444E0"/>
    <w:rsid w:val="002444EA"/>
    <w:rsid w:val="002446AE"/>
    <w:rsid w:val="0024482C"/>
    <w:rsid w:val="00244961"/>
    <w:rsid w:val="00244B2A"/>
    <w:rsid w:val="0024502F"/>
    <w:rsid w:val="002453BE"/>
    <w:rsid w:val="002458E8"/>
    <w:rsid w:val="00245D57"/>
    <w:rsid w:val="00245EF6"/>
    <w:rsid w:val="00246489"/>
    <w:rsid w:val="0025020E"/>
    <w:rsid w:val="00250A62"/>
    <w:rsid w:val="00250EAD"/>
    <w:rsid w:val="0025131F"/>
    <w:rsid w:val="00252566"/>
    <w:rsid w:val="00252D21"/>
    <w:rsid w:val="002532F8"/>
    <w:rsid w:val="00253669"/>
    <w:rsid w:val="0025418E"/>
    <w:rsid w:val="0025491D"/>
    <w:rsid w:val="00254EAE"/>
    <w:rsid w:val="00255AC7"/>
    <w:rsid w:val="00256192"/>
    <w:rsid w:val="002569C5"/>
    <w:rsid w:val="00256A84"/>
    <w:rsid w:val="00257183"/>
    <w:rsid w:val="002576DC"/>
    <w:rsid w:val="00257F4D"/>
    <w:rsid w:val="00260902"/>
    <w:rsid w:val="00260A71"/>
    <w:rsid w:val="0026198C"/>
    <w:rsid w:val="00261AC6"/>
    <w:rsid w:val="00262185"/>
    <w:rsid w:val="00262ECC"/>
    <w:rsid w:val="00262EF6"/>
    <w:rsid w:val="00262FCB"/>
    <w:rsid w:val="00263368"/>
    <w:rsid w:val="00263AB2"/>
    <w:rsid w:val="00263F43"/>
    <w:rsid w:val="002643E5"/>
    <w:rsid w:val="00264503"/>
    <w:rsid w:val="002646C6"/>
    <w:rsid w:val="00264EB2"/>
    <w:rsid w:val="00265009"/>
    <w:rsid w:val="00265C25"/>
    <w:rsid w:val="00265DB8"/>
    <w:rsid w:val="002661DA"/>
    <w:rsid w:val="00266F4F"/>
    <w:rsid w:val="0026705D"/>
    <w:rsid w:val="0026707D"/>
    <w:rsid w:val="00267C83"/>
    <w:rsid w:val="002702C6"/>
    <w:rsid w:val="0027088B"/>
    <w:rsid w:val="00270C78"/>
    <w:rsid w:val="00270DBF"/>
    <w:rsid w:val="00271142"/>
    <w:rsid w:val="00271B61"/>
    <w:rsid w:val="0027223B"/>
    <w:rsid w:val="00272498"/>
    <w:rsid w:val="002725B6"/>
    <w:rsid w:val="002726B5"/>
    <w:rsid w:val="0027273E"/>
    <w:rsid w:val="002727CD"/>
    <w:rsid w:val="00272856"/>
    <w:rsid w:val="00272DCB"/>
    <w:rsid w:val="002737A7"/>
    <w:rsid w:val="00274569"/>
    <w:rsid w:val="00274BE9"/>
    <w:rsid w:val="0027549C"/>
    <w:rsid w:val="00276030"/>
    <w:rsid w:val="002760A6"/>
    <w:rsid w:val="002760D3"/>
    <w:rsid w:val="0027637B"/>
    <w:rsid w:val="0027688D"/>
    <w:rsid w:val="002769E4"/>
    <w:rsid w:val="00276AC4"/>
    <w:rsid w:val="00276F7B"/>
    <w:rsid w:val="002774D7"/>
    <w:rsid w:val="0027767A"/>
    <w:rsid w:val="00277D4D"/>
    <w:rsid w:val="00277F70"/>
    <w:rsid w:val="00280181"/>
    <w:rsid w:val="00280407"/>
    <w:rsid w:val="00280915"/>
    <w:rsid w:val="00281329"/>
    <w:rsid w:val="002814F0"/>
    <w:rsid w:val="002815E4"/>
    <w:rsid w:val="0028240A"/>
    <w:rsid w:val="00282892"/>
    <w:rsid w:val="00283506"/>
    <w:rsid w:val="002836FB"/>
    <w:rsid w:val="00283715"/>
    <w:rsid w:val="00283932"/>
    <w:rsid w:val="00283A43"/>
    <w:rsid w:val="002842BF"/>
    <w:rsid w:val="00284301"/>
    <w:rsid w:val="00284647"/>
    <w:rsid w:val="0028487B"/>
    <w:rsid w:val="002849EB"/>
    <w:rsid w:val="00284B5A"/>
    <w:rsid w:val="002859AC"/>
    <w:rsid w:val="002859F4"/>
    <w:rsid w:val="00285A81"/>
    <w:rsid w:val="00285BDF"/>
    <w:rsid w:val="00285F61"/>
    <w:rsid w:val="002862E3"/>
    <w:rsid w:val="0028686F"/>
    <w:rsid w:val="002868A8"/>
    <w:rsid w:val="002869C4"/>
    <w:rsid w:val="00287BB6"/>
    <w:rsid w:val="00287E12"/>
    <w:rsid w:val="00290755"/>
    <w:rsid w:val="00290A8F"/>
    <w:rsid w:val="00290DAB"/>
    <w:rsid w:val="00291042"/>
    <w:rsid w:val="0029136A"/>
    <w:rsid w:val="002915A8"/>
    <w:rsid w:val="00291C24"/>
    <w:rsid w:val="00291EC0"/>
    <w:rsid w:val="00292441"/>
    <w:rsid w:val="0029259B"/>
    <w:rsid w:val="00292F73"/>
    <w:rsid w:val="00293960"/>
    <w:rsid w:val="00293A07"/>
    <w:rsid w:val="00294573"/>
    <w:rsid w:val="00294B46"/>
    <w:rsid w:val="00294C26"/>
    <w:rsid w:val="002950BC"/>
    <w:rsid w:val="00295318"/>
    <w:rsid w:val="002958E2"/>
    <w:rsid w:val="00295CE8"/>
    <w:rsid w:val="00295D60"/>
    <w:rsid w:val="002962B1"/>
    <w:rsid w:val="00296440"/>
    <w:rsid w:val="002965AD"/>
    <w:rsid w:val="00297459"/>
    <w:rsid w:val="0029793A"/>
    <w:rsid w:val="00297B75"/>
    <w:rsid w:val="00297D09"/>
    <w:rsid w:val="002A085A"/>
    <w:rsid w:val="002A0C4E"/>
    <w:rsid w:val="002A15D6"/>
    <w:rsid w:val="002A1672"/>
    <w:rsid w:val="002A22D6"/>
    <w:rsid w:val="002A25A1"/>
    <w:rsid w:val="002A2E52"/>
    <w:rsid w:val="002A3060"/>
    <w:rsid w:val="002A30CC"/>
    <w:rsid w:val="002A3505"/>
    <w:rsid w:val="002A3741"/>
    <w:rsid w:val="002A3CDE"/>
    <w:rsid w:val="002A468B"/>
    <w:rsid w:val="002A4AAB"/>
    <w:rsid w:val="002A531A"/>
    <w:rsid w:val="002A5CB2"/>
    <w:rsid w:val="002A5E0B"/>
    <w:rsid w:val="002A5E44"/>
    <w:rsid w:val="002A65E2"/>
    <w:rsid w:val="002A78FE"/>
    <w:rsid w:val="002A7BBC"/>
    <w:rsid w:val="002B00AE"/>
    <w:rsid w:val="002B0753"/>
    <w:rsid w:val="002B0B14"/>
    <w:rsid w:val="002B12E2"/>
    <w:rsid w:val="002B133A"/>
    <w:rsid w:val="002B1662"/>
    <w:rsid w:val="002B1774"/>
    <w:rsid w:val="002B1E75"/>
    <w:rsid w:val="002B1F05"/>
    <w:rsid w:val="002B26C4"/>
    <w:rsid w:val="002B2A64"/>
    <w:rsid w:val="002B2B01"/>
    <w:rsid w:val="002B3DFA"/>
    <w:rsid w:val="002B3F03"/>
    <w:rsid w:val="002B4148"/>
    <w:rsid w:val="002B44EC"/>
    <w:rsid w:val="002B469A"/>
    <w:rsid w:val="002B51EA"/>
    <w:rsid w:val="002B5237"/>
    <w:rsid w:val="002B5C26"/>
    <w:rsid w:val="002B721E"/>
    <w:rsid w:val="002B7974"/>
    <w:rsid w:val="002C0D6F"/>
    <w:rsid w:val="002C0DD0"/>
    <w:rsid w:val="002C1775"/>
    <w:rsid w:val="002C1AB9"/>
    <w:rsid w:val="002C1D44"/>
    <w:rsid w:val="002C26B6"/>
    <w:rsid w:val="002C2BDC"/>
    <w:rsid w:val="002C2D6E"/>
    <w:rsid w:val="002C3042"/>
    <w:rsid w:val="002C33BB"/>
    <w:rsid w:val="002C33EB"/>
    <w:rsid w:val="002C363B"/>
    <w:rsid w:val="002C3B2A"/>
    <w:rsid w:val="002C3C3F"/>
    <w:rsid w:val="002C44C2"/>
    <w:rsid w:val="002C465A"/>
    <w:rsid w:val="002C495B"/>
    <w:rsid w:val="002C4A0B"/>
    <w:rsid w:val="002C4AA2"/>
    <w:rsid w:val="002C5031"/>
    <w:rsid w:val="002C5748"/>
    <w:rsid w:val="002C5B31"/>
    <w:rsid w:val="002C6536"/>
    <w:rsid w:val="002C666B"/>
    <w:rsid w:val="002C6B26"/>
    <w:rsid w:val="002C6BF6"/>
    <w:rsid w:val="002C6C07"/>
    <w:rsid w:val="002C6E3F"/>
    <w:rsid w:val="002C7157"/>
    <w:rsid w:val="002C7356"/>
    <w:rsid w:val="002C76AC"/>
    <w:rsid w:val="002C7DCD"/>
    <w:rsid w:val="002D0D09"/>
    <w:rsid w:val="002D12A3"/>
    <w:rsid w:val="002D13DD"/>
    <w:rsid w:val="002D1777"/>
    <w:rsid w:val="002D2AFE"/>
    <w:rsid w:val="002D2F30"/>
    <w:rsid w:val="002D336A"/>
    <w:rsid w:val="002D34B8"/>
    <w:rsid w:val="002D47DE"/>
    <w:rsid w:val="002D54FF"/>
    <w:rsid w:val="002D5C40"/>
    <w:rsid w:val="002D61AB"/>
    <w:rsid w:val="002D669F"/>
    <w:rsid w:val="002D7144"/>
    <w:rsid w:val="002D71AA"/>
    <w:rsid w:val="002D73B2"/>
    <w:rsid w:val="002D7BB2"/>
    <w:rsid w:val="002E1138"/>
    <w:rsid w:val="002E1B39"/>
    <w:rsid w:val="002E1D37"/>
    <w:rsid w:val="002E1F2C"/>
    <w:rsid w:val="002E1F38"/>
    <w:rsid w:val="002E1F79"/>
    <w:rsid w:val="002E2675"/>
    <w:rsid w:val="002E273F"/>
    <w:rsid w:val="002E2855"/>
    <w:rsid w:val="002E28E9"/>
    <w:rsid w:val="002E29DA"/>
    <w:rsid w:val="002E2F80"/>
    <w:rsid w:val="002E2F97"/>
    <w:rsid w:val="002E3352"/>
    <w:rsid w:val="002E335A"/>
    <w:rsid w:val="002E348F"/>
    <w:rsid w:val="002E36ED"/>
    <w:rsid w:val="002E3C3F"/>
    <w:rsid w:val="002E466F"/>
    <w:rsid w:val="002E4E38"/>
    <w:rsid w:val="002E6900"/>
    <w:rsid w:val="002E6BFE"/>
    <w:rsid w:val="002E6E39"/>
    <w:rsid w:val="002F029C"/>
    <w:rsid w:val="002F05BD"/>
    <w:rsid w:val="002F084F"/>
    <w:rsid w:val="002F0A14"/>
    <w:rsid w:val="002F0E10"/>
    <w:rsid w:val="002F1878"/>
    <w:rsid w:val="002F1AE6"/>
    <w:rsid w:val="002F1D76"/>
    <w:rsid w:val="002F1ED9"/>
    <w:rsid w:val="002F23A5"/>
    <w:rsid w:val="002F2BD7"/>
    <w:rsid w:val="002F2CFB"/>
    <w:rsid w:val="002F369F"/>
    <w:rsid w:val="002F4310"/>
    <w:rsid w:val="002F4865"/>
    <w:rsid w:val="002F499D"/>
    <w:rsid w:val="002F546A"/>
    <w:rsid w:val="002F57E6"/>
    <w:rsid w:val="002F58EA"/>
    <w:rsid w:val="002F5B5B"/>
    <w:rsid w:val="002F5CC6"/>
    <w:rsid w:val="002F5F92"/>
    <w:rsid w:val="002F6407"/>
    <w:rsid w:val="002F654F"/>
    <w:rsid w:val="002F66F9"/>
    <w:rsid w:val="002F6CB0"/>
    <w:rsid w:val="002F6D2B"/>
    <w:rsid w:val="002F6E2E"/>
    <w:rsid w:val="002F709F"/>
    <w:rsid w:val="002F72FB"/>
    <w:rsid w:val="002F7360"/>
    <w:rsid w:val="002F774B"/>
    <w:rsid w:val="002F7978"/>
    <w:rsid w:val="002F7B60"/>
    <w:rsid w:val="002F7B63"/>
    <w:rsid w:val="003014C2"/>
    <w:rsid w:val="0030203A"/>
    <w:rsid w:val="003020D9"/>
    <w:rsid w:val="00302737"/>
    <w:rsid w:val="0030277D"/>
    <w:rsid w:val="003030B1"/>
    <w:rsid w:val="00304345"/>
    <w:rsid w:val="00305F83"/>
    <w:rsid w:val="00306A74"/>
    <w:rsid w:val="003077E1"/>
    <w:rsid w:val="00307A60"/>
    <w:rsid w:val="00310220"/>
    <w:rsid w:val="00311CEC"/>
    <w:rsid w:val="00313325"/>
    <w:rsid w:val="00313A4D"/>
    <w:rsid w:val="00313F34"/>
    <w:rsid w:val="00314ACC"/>
    <w:rsid w:val="00314DB9"/>
    <w:rsid w:val="00314FFF"/>
    <w:rsid w:val="003152C8"/>
    <w:rsid w:val="00315571"/>
    <w:rsid w:val="003158D4"/>
    <w:rsid w:val="003159D7"/>
    <w:rsid w:val="003163DD"/>
    <w:rsid w:val="0031668D"/>
    <w:rsid w:val="00316A01"/>
    <w:rsid w:val="0031707F"/>
    <w:rsid w:val="00317150"/>
    <w:rsid w:val="00317473"/>
    <w:rsid w:val="00317639"/>
    <w:rsid w:val="00317696"/>
    <w:rsid w:val="00317ACF"/>
    <w:rsid w:val="00317DEA"/>
    <w:rsid w:val="00320F98"/>
    <w:rsid w:val="003210DE"/>
    <w:rsid w:val="003212AB"/>
    <w:rsid w:val="003216FD"/>
    <w:rsid w:val="00321E2F"/>
    <w:rsid w:val="0032255A"/>
    <w:rsid w:val="0032264C"/>
    <w:rsid w:val="00322E9B"/>
    <w:rsid w:val="00322EAE"/>
    <w:rsid w:val="003246F2"/>
    <w:rsid w:val="00324865"/>
    <w:rsid w:val="003249DE"/>
    <w:rsid w:val="00324A0E"/>
    <w:rsid w:val="00324B01"/>
    <w:rsid w:val="00324BB8"/>
    <w:rsid w:val="00324C5B"/>
    <w:rsid w:val="00324E36"/>
    <w:rsid w:val="00325320"/>
    <w:rsid w:val="0032557C"/>
    <w:rsid w:val="003255AD"/>
    <w:rsid w:val="00326478"/>
    <w:rsid w:val="00327316"/>
    <w:rsid w:val="0032788A"/>
    <w:rsid w:val="0032795C"/>
    <w:rsid w:val="00327EC6"/>
    <w:rsid w:val="00331031"/>
    <w:rsid w:val="00331281"/>
    <w:rsid w:val="0033138C"/>
    <w:rsid w:val="00332C30"/>
    <w:rsid w:val="0033310A"/>
    <w:rsid w:val="0033313C"/>
    <w:rsid w:val="003333CF"/>
    <w:rsid w:val="00333636"/>
    <w:rsid w:val="0033420E"/>
    <w:rsid w:val="003347D8"/>
    <w:rsid w:val="003347F8"/>
    <w:rsid w:val="003348AD"/>
    <w:rsid w:val="00334AA5"/>
    <w:rsid w:val="003350FF"/>
    <w:rsid w:val="0033539C"/>
    <w:rsid w:val="003354CB"/>
    <w:rsid w:val="0033575A"/>
    <w:rsid w:val="003359F1"/>
    <w:rsid w:val="003359F2"/>
    <w:rsid w:val="00335A3A"/>
    <w:rsid w:val="00335BF6"/>
    <w:rsid w:val="00336BF6"/>
    <w:rsid w:val="00336C21"/>
    <w:rsid w:val="00337E92"/>
    <w:rsid w:val="00340374"/>
    <w:rsid w:val="003403D3"/>
    <w:rsid w:val="003405B0"/>
    <w:rsid w:val="00340734"/>
    <w:rsid w:val="0034095A"/>
    <w:rsid w:val="00340B45"/>
    <w:rsid w:val="003416F3"/>
    <w:rsid w:val="0034178E"/>
    <w:rsid w:val="003417CA"/>
    <w:rsid w:val="003418D5"/>
    <w:rsid w:val="00341D21"/>
    <w:rsid w:val="0034287E"/>
    <w:rsid w:val="00342E44"/>
    <w:rsid w:val="00343125"/>
    <w:rsid w:val="00343334"/>
    <w:rsid w:val="00343359"/>
    <w:rsid w:val="00343574"/>
    <w:rsid w:val="00344419"/>
    <w:rsid w:val="00344F42"/>
    <w:rsid w:val="00345398"/>
    <w:rsid w:val="003453C0"/>
    <w:rsid w:val="00346052"/>
    <w:rsid w:val="00346AAE"/>
    <w:rsid w:val="00346F10"/>
    <w:rsid w:val="003470AB"/>
    <w:rsid w:val="00347500"/>
    <w:rsid w:val="00347DC8"/>
    <w:rsid w:val="00350642"/>
    <w:rsid w:val="0035087B"/>
    <w:rsid w:val="0035096F"/>
    <w:rsid w:val="00351866"/>
    <w:rsid w:val="00352E5D"/>
    <w:rsid w:val="00353034"/>
    <w:rsid w:val="00353365"/>
    <w:rsid w:val="003538B4"/>
    <w:rsid w:val="00353D3F"/>
    <w:rsid w:val="003546A7"/>
    <w:rsid w:val="00354E41"/>
    <w:rsid w:val="003555B3"/>
    <w:rsid w:val="0035570D"/>
    <w:rsid w:val="00355F7D"/>
    <w:rsid w:val="003565D4"/>
    <w:rsid w:val="00356C0C"/>
    <w:rsid w:val="00357075"/>
    <w:rsid w:val="003571D2"/>
    <w:rsid w:val="00357A18"/>
    <w:rsid w:val="00357BF8"/>
    <w:rsid w:val="00357CAE"/>
    <w:rsid w:val="00357D00"/>
    <w:rsid w:val="0036003D"/>
    <w:rsid w:val="003601EE"/>
    <w:rsid w:val="0036092F"/>
    <w:rsid w:val="00360E01"/>
    <w:rsid w:val="00361928"/>
    <w:rsid w:val="00361EA9"/>
    <w:rsid w:val="00361F5F"/>
    <w:rsid w:val="0036212C"/>
    <w:rsid w:val="003625AA"/>
    <w:rsid w:val="00362CC1"/>
    <w:rsid w:val="003634F1"/>
    <w:rsid w:val="00363C4E"/>
    <w:rsid w:val="00363E55"/>
    <w:rsid w:val="00363F24"/>
    <w:rsid w:val="003641B7"/>
    <w:rsid w:val="003643D7"/>
    <w:rsid w:val="00364709"/>
    <w:rsid w:val="00364F67"/>
    <w:rsid w:val="00365476"/>
    <w:rsid w:val="0036576D"/>
    <w:rsid w:val="00365849"/>
    <w:rsid w:val="00365CEB"/>
    <w:rsid w:val="00366003"/>
    <w:rsid w:val="0036608F"/>
    <w:rsid w:val="0036763D"/>
    <w:rsid w:val="00367761"/>
    <w:rsid w:val="00367787"/>
    <w:rsid w:val="00371061"/>
    <w:rsid w:val="003710EC"/>
    <w:rsid w:val="0037208A"/>
    <w:rsid w:val="003723EC"/>
    <w:rsid w:val="003725C2"/>
    <w:rsid w:val="003731C3"/>
    <w:rsid w:val="00373228"/>
    <w:rsid w:val="0037398C"/>
    <w:rsid w:val="00373BCB"/>
    <w:rsid w:val="00373DDA"/>
    <w:rsid w:val="003744C4"/>
    <w:rsid w:val="00374A27"/>
    <w:rsid w:val="00374E34"/>
    <w:rsid w:val="003751D4"/>
    <w:rsid w:val="00375924"/>
    <w:rsid w:val="00375AFE"/>
    <w:rsid w:val="00375BEA"/>
    <w:rsid w:val="00375E3E"/>
    <w:rsid w:val="00376522"/>
    <w:rsid w:val="003765C9"/>
    <w:rsid w:val="003765EC"/>
    <w:rsid w:val="00377463"/>
    <w:rsid w:val="0037765F"/>
    <w:rsid w:val="003776F3"/>
    <w:rsid w:val="0037789B"/>
    <w:rsid w:val="003778A2"/>
    <w:rsid w:val="00377EAE"/>
    <w:rsid w:val="003805C3"/>
    <w:rsid w:val="003808DC"/>
    <w:rsid w:val="00380932"/>
    <w:rsid w:val="003812EE"/>
    <w:rsid w:val="00381353"/>
    <w:rsid w:val="003813FA"/>
    <w:rsid w:val="00381576"/>
    <w:rsid w:val="003817D3"/>
    <w:rsid w:val="00381AD3"/>
    <w:rsid w:val="00381FE3"/>
    <w:rsid w:val="00382023"/>
    <w:rsid w:val="00382317"/>
    <w:rsid w:val="00382748"/>
    <w:rsid w:val="00382CB8"/>
    <w:rsid w:val="003834B1"/>
    <w:rsid w:val="0038366B"/>
    <w:rsid w:val="00383A37"/>
    <w:rsid w:val="00383E27"/>
    <w:rsid w:val="0038418E"/>
    <w:rsid w:val="00384533"/>
    <w:rsid w:val="00384A33"/>
    <w:rsid w:val="00384B6C"/>
    <w:rsid w:val="00384BD8"/>
    <w:rsid w:val="00384BEB"/>
    <w:rsid w:val="00384F53"/>
    <w:rsid w:val="0038505D"/>
    <w:rsid w:val="003865C9"/>
    <w:rsid w:val="0038718B"/>
    <w:rsid w:val="00390037"/>
    <w:rsid w:val="0039083A"/>
    <w:rsid w:val="003908CB"/>
    <w:rsid w:val="00390F51"/>
    <w:rsid w:val="00391805"/>
    <w:rsid w:val="00391CE5"/>
    <w:rsid w:val="00391D16"/>
    <w:rsid w:val="00391EAB"/>
    <w:rsid w:val="00391F1B"/>
    <w:rsid w:val="00392780"/>
    <w:rsid w:val="00393A50"/>
    <w:rsid w:val="003946D6"/>
    <w:rsid w:val="00394B0D"/>
    <w:rsid w:val="0039508B"/>
    <w:rsid w:val="003965DB"/>
    <w:rsid w:val="003966A4"/>
    <w:rsid w:val="003973C1"/>
    <w:rsid w:val="00397EA7"/>
    <w:rsid w:val="003A041E"/>
    <w:rsid w:val="003A06BE"/>
    <w:rsid w:val="003A131A"/>
    <w:rsid w:val="003A1873"/>
    <w:rsid w:val="003A1953"/>
    <w:rsid w:val="003A1B01"/>
    <w:rsid w:val="003A3153"/>
    <w:rsid w:val="003A389D"/>
    <w:rsid w:val="003A4099"/>
    <w:rsid w:val="003A4572"/>
    <w:rsid w:val="003A4711"/>
    <w:rsid w:val="003A48A3"/>
    <w:rsid w:val="003A4AC7"/>
    <w:rsid w:val="003A4DEB"/>
    <w:rsid w:val="003A56B4"/>
    <w:rsid w:val="003A63A3"/>
    <w:rsid w:val="003A645F"/>
    <w:rsid w:val="003A6C22"/>
    <w:rsid w:val="003A7029"/>
    <w:rsid w:val="003A7041"/>
    <w:rsid w:val="003A7C0D"/>
    <w:rsid w:val="003A7CE9"/>
    <w:rsid w:val="003A7D94"/>
    <w:rsid w:val="003B02A4"/>
    <w:rsid w:val="003B04DC"/>
    <w:rsid w:val="003B074C"/>
    <w:rsid w:val="003B0865"/>
    <w:rsid w:val="003B0A4D"/>
    <w:rsid w:val="003B0A7B"/>
    <w:rsid w:val="003B1075"/>
    <w:rsid w:val="003B18DD"/>
    <w:rsid w:val="003B304F"/>
    <w:rsid w:val="003B30BB"/>
    <w:rsid w:val="003B34D5"/>
    <w:rsid w:val="003B36FD"/>
    <w:rsid w:val="003B52E3"/>
    <w:rsid w:val="003B5C4E"/>
    <w:rsid w:val="003B5E2A"/>
    <w:rsid w:val="003B5E5D"/>
    <w:rsid w:val="003B5F4C"/>
    <w:rsid w:val="003B6597"/>
    <w:rsid w:val="003B6EB4"/>
    <w:rsid w:val="003B748B"/>
    <w:rsid w:val="003B7CE0"/>
    <w:rsid w:val="003C028A"/>
    <w:rsid w:val="003C07D5"/>
    <w:rsid w:val="003C0A14"/>
    <w:rsid w:val="003C0F44"/>
    <w:rsid w:val="003C1256"/>
    <w:rsid w:val="003C1404"/>
    <w:rsid w:val="003C1865"/>
    <w:rsid w:val="003C229B"/>
    <w:rsid w:val="003C2587"/>
    <w:rsid w:val="003C2F63"/>
    <w:rsid w:val="003C2F83"/>
    <w:rsid w:val="003C3183"/>
    <w:rsid w:val="003C339D"/>
    <w:rsid w:val="003C41BD"/>
    <w:rsid w:val="003C4815"/>
    <w:rsid w:val="003C5D94"/>
    <w:rsid w:val="003C6036"/>
    <w:rsid w:val="003C6855"/>
    <w:rsid w:val="003C708C"/>
    <w:rsid w:val="003C7244"/>
    <w:rsid w:val="003C7A73"/>
    <w:rsid w:val="003D0600"/>
    <w:rsid w:val="003D061C"/>
    <w:rsid w:val="003D0A63"/>
    <w:rsid w:val="003D0EDB"/>
    <w:rsid w:val="003D1123"/>
    <w:rsid w:val="003D16A0"/>
    <w:rsid w:val="003D1765"/>
    <w:rsid w:val="003D188B"/>
    <w:rsid w:val="003D206A"/>
    <w:rsid w:val="003D2897"/>
    <w:rsid w:val="003D35FC"/>
    <w:rsid w:val="003D3A22"/>
    <w:rsid w:val="003D3B4B"/>
    <w:rsid w:val="003D3B9A"/>
    <w:rsid w:val="003D42BA"/>
    <w:rsid w:val="003D4669"/>
    <w:rsid w:val="003D5062"/>
    <w:rsid w:val="003D5E2A"/>
    <w:rsid w:val="003D5E54"/>
    <w:rsid w:val="003D5F20"/>
    <w:rsid w:val="003D6863"/>
    <w:rsid w:val="003D689B"/>
    <w:rsid w:val="003D6AE8"/>
    <w:rsid w:val="003D6B57"/>
    <w:rsid w:val="003D7590"/>
    <w:rsid w:val="003D7DC8"/>
    <w:rsid w:val="003E0880"/>
    <w:rsid w:val="003E0893"/>
    <w:rsid w:val="003E0C00"/>
    <w:rsid w:val="003E11A2"/>
    <w:rsid w:val="003E1528"/>
    <w:rsid w:val="003E2B39"/>
    <w:rsid w:val="003E3CBC"/>
    <w:rsid w:val="003E4724"/>
    <w:rsid w:val="003E4AA4"/>
    <w:rsid w:val="003E4EFD"/>
    <w:rsid w:val="003E5316"/>
    <w:rsid w:val="003E5565"/>
    <w:rsid w:val="003E57EE"/>
    <w:rsid w:val="003E5800"/>
    <w:rsid w:val="003E59C9"/>
    <w:rsid w:val="003E5AEC"/>
    <w:rsid w:val="003E5B81"/>
    <w:rsid w:val="003E5F7D"/>
    <w:rsid w:val="003E63DA"/>
    <w:rsid w:val="003E6D0B"/>
    <w:rsid w:val="003E6E9A"/>
    <w:rsid w:val="003E6FD8"/>
    <w:rsid w:val="003E745E"/>
    <w:rsid w:val="003E7A91"/>
    <w:rsid w:val="003F000C"/>
    <w:rsid w:val="003F0052"/>
    <w:rsid w:val="003F080A"/>
    <w:rsid w:val="003F10F7"/>
    <w:rsid w:val="003F2BA3"/>
    <w:rsid w:val="003F34DB"/>
    <w:rsid w:val="003F405E"/>
    <w:rsid w:val="003F4609"/>
    <w:rsid w:val="003F47E7"/>
    <w:rsid w:val="003F4887"/>
    <w:rsid w:val="003F59D9"/>
    <w:rsid w:val="003F6718"/>
    <w:rsid w:val="003F70F0"/>
    <w:rsid w:val="003F7A91"/>
    <w:rsid w:val="003F7AAD"/>
    <w:rsid w:val="003F7BE7"/>
    <w:rsid w:val="00400867"/>
    <w:rsid w:val="00400ACB"/>
    <w:rsid w:val="004012EE"/>
    <w:rsid w:val="004014AC"/>
    <w:rsid w:val="00401EA9"/>
    <w:rsid w:val="00402BA3"/>
    <w:rsid w:val="00402D99"/>
    <w:rsid w:val="00402E12"/>
    <w:rsid w:val="00403148"/>
    <w:rsid w:val="00403A7C"/>
    <w:rsid w:val="004041BB"/>
    <w:rsid w:val="004042A8"/>
    <w:rsid w:val="00404381"/>
    <w:rsid w:val="00404575"/>
    <w:rsid w:val="00404A4D"/>
    <w:rsid w:val="0040556F"/>
    <w:rsid w:val="004056B2"/>
    <w:rsid w:val="00405C57"/>
    <w:rsid w:val="0040628F"/>
    <w:rsid w:val="0040634B"/>
    <w:rsid w:val="00406517"/>
    <w:rsid w:val="00406717"/>
    <w:rsid w:val="00406F15"/>
    <w:rsid w:val="0040783A"/>
    <w:rsid w:val="00407DF5"/>
    <w:rsid w:val="00407FED"/>
    <w:rsid w:val="00410EE1"/>
    <w:rsid w:val="00410FCF"/>
    <w:rsid w:val="004112B7"/>
    <w:rsid w:val="004113F2"/>
    <w:rsid w:val="004115F7"/>
    <w:rsid w:val="00411692"/>
    <w:rsid w:val="0041189C"/>
    <w:rsid w:val="0041259B"/>
    <w:rsid w:val="00412846"/>
    <w:rsid w:val="0041286B"/>
    <w:rsid w:val="004129F8"/>
    <w:rsid w:val="00412B4D"/>
    <w:rsid w:val="00412E55"/>
    <w:rsid w:val="00412EDA"/>
    <w:rsid w:val="00413199"/>
    <w:rsid w:val="00413DBB"/>
    <w:rsid w:val="00413DD6"/>
    <w:rsid w:val="00413ED6"/>
    <w:rsid w:val="0041470D"/>
    <w:rsid w:val="00414967"/>
    <w:rsid w:val="00414EDC"/>
    <w:rsid w:val="00415306"/>
    <w:rsid w:val="0041533F"/>
    <w:rsid w:val="004153E5"/>
    <w:rsid w:val="004156CE"/>
    <w:rsid w:val="00416293"/>
    <w:rsid w:val="004163BB"/>
    <w:rsid w:val="004165A5"/>
    <w:rsid w:val="004165E0"/>
    <w:rsid w:val="004173C1"/>
    <w:rsid w:val="00417D39"/>
    <w:rsid w:val="0042020F"/>
    <w:rsid w:val="00420605"/>
    <w:rsid w:val="00420724"/>
    <w:rsid w:val="004209AD"/>
    <w:rsid w:val="00420A4C"/>
    <w:rsid w:val="00420E26"/>
    <w:rsid w:val="00420ED9"/>
    <w:rsid w:val="00421394"/>
    <w:rsid w:val="00422BA3"/>
    <w:rsid w:val="00423265"/>
    <w:rsid w:val="004233A8"/>
    <w:rsid w:val="004237B5"/>
    <w:rsid w:val="004239BF"/>
    <w:rsid w:val="00423AB0"/>
    <w:rsid w:val="00423CC7"/>
    <w:rsid w:val="00423F6E"/>
    <w:rsid w:val="0042419A"/>
    <w:rsid w:val="004241CA"/>
    <w:rsid w:val="00424664"/>
    <w:rsid w:val="004249C0"/>
    <w:rsid w:val="00424DB7"/>
    <w:rsid w:val="0042508B"/>
    <w:rsid w:val="004255AF"/>
    <w:rsid w:val="00425898"/>
    <w:rsid w:val="004258AC"/>
    <w:rsid w:val="004259DC"/>
    <w:rsid w:val="00425EF9"/>
    <w:rsid w:val="00426293"/>
    <w:rsid w:val="0042649C"/>
    <w:rsid w:val="00426CED"/>
    <w:rsid w:val="00426F87"/>
    <w:rsid w:val="00426FC8"/>
    <w:rsid w:val="0042775C"/>
    <w:rsid w:val="00427F32"/>
    <w:rsid w:val="0043056E"/>
    <w:rsid w:val="00430B11"/>
    <w:rsid w:val="0043102C"/>
    <w:rsid w:val="0043115F"/>
    <w:rsid w:val="00431369"/>
    <w:rsid w:val="00431568"/>
    <w:rsid w:val="00431770"/>
    <w:rsid w:val="00431D80"/>
    <w:rsid w:val="00431EF1"/>
    <w:rsid w:val="0043264C"/>
    <w:rsid w:val="00432702"/>
    <w:rsid w:val="00432A3A"/>
    <w:rsid w:val="00432DD4"/>
    <w:rsid w:val="00432EDE"/>
    <w:rsid w:val="004331BD"/>
    <w:rsid w:val="00433361"/>
    <w:rsid w:val="00433970"/>
    <w:rsid w:val="004343D0"/>
    <w:rsid w:val="0043469D"/>
    <w:rsid w:val="004346A4"/>
    <w:rsid w:val="0043487C"/>
    <w:rsid w:val="00434E74"/>
    <w:rsid w:val="004350ED"/>
    <w:rsid w:val="004352D0"/>
    <w:rsid w:val="00435970"/>
    <w:rsid w:val="00435D6B"/>
    <w:rsid w:val="00436267"/>
    <w:rsid w:val="00436349"/>
    <w:rsid w:val="004366AC"/>
    <w:rsid w:val="00436879"/>
    <w:rsid w:val="00437C0C"/>
    <w:rsid w:val="00437D36"/>
    <w:rsid w:val="00437DC8"/>
    <w:rsid w:val="004400E8"/>
    <w:rsid w:val="00440935"/>
    <w:rsid w:val="0044137D"/>
    <w:rsid w:val="0044165C"/>
    <w:rsid w:val="004418F3"/>
    <w:rsid w:val="00441DE0"/>
    <w:rsid w:val="0044220C"/>
    <w:rsid w:val="004422DB"/>
    <w:rsid w:val="004428F8"/>
    <w:rsid w:val="0044310E"/>
    <w:rsid w:val="004435BC"/>
    <w:rsid w:val="004438EC"/>
    <w:rsid w:val="00443994"/>
    <w:rsid w:val="00443BA9"/>
    <w:rsid w:val="00444268"/>
    <w:rsid w:val="004447D2"/>
    <w:rsid w:val="0044493D"/>
    <w:rsid w:val="00444F04"/>
    <w:rsid w:val="004450B5"/>
    <w:rsid w:val="004455B2"/>
    <w:rsid w:val="00445608"/>
    <w:rsid w:val="00445686"/>
    <w:rsid w:val="004456EF"/>
    <w:rsid w:val="0044589A"/>
    <w:rsid w:val="00446471"/>
    <w:rsid w:val="00446ED1"/>
    <w:rsid w:val="004470BD"/>
    <w:rsid w:val="00447425"/>
    <w:rsid w:val="00447A36"/>
    <w:rsid w:val="00447BD2"/>
    <w:rsid w:val="00447F68"/>
    <w:rsid w:val="004503E1"/>
    <w:rsid w:val="004504CC"/>
    <w:rsid w:val="004508EB"/>
    <w:rsid w:val="004515F1"/>
    <w:rsid w:val="00451977"/>
    <w:rsid w:val="00452323"/>
    <w:rsid w:val="00453947"/>
    <w:rsid w:val="004545E1"/>
    <w:rsid w:val="004546C3"/>
    <w:rsid w:val="004551F2"/>
    <w:rsid w:val="004552B6"/>
    <w:rsid w:val="00455592"/>
    <w:rsid w:val="004555E1"/>
    <w:rsid w:val="00455B0D"/>
    <w:rsid w:val="00455E73"/>
    <w:rsid w:val="00456A2C"/>
    <w:rsid w:val="00456B97"/>
    <w:rsid w:val="00456E58"/>
    <w:rsid w:val="00456F09"/>
    <w:rsid w:val="004571B3"/>
    <w:rsid w:val="00457530"/>
    <w:rsid w:val="00457B50"/>
    <w:rsid w:val="00460668"/>
    <w:rsid w:val="00460713"/>
    <w:rsid w:val="004611C1"/>
    <w:rsid w:val="00462B72"/>
    <w:rsid w:val="004631E4"/>
    <w:rsid w:val="00463261"/>
    <w:rsid w:val="0046341D"/>
    <w:rsid w:val="004636F8"/>
    <w:rsid w:val="0046496F"/>
    <w:rsid w:val="004650B6"/>
    <w:rsid w:val="00465AF5"/>
    <w:rsid w:val="004661B0"/>
    <w:rsid w:val="004663FF"/>
    <w:rsid w:val="00466416"/>
    <w:rsid w:val="00466FBC"/>
    <w:rsid w:val="00466FEA"/>
    <w:rsid w:val="00467864"/>
    <w:rsid w:val="00467A89"/>
    <w:rsid w:val="004702BD"/>
    <w:rsid w:val="00470775"/>
    <w:rsid w:val="004707A5"/>
    <w:rsid w:val="0047091D"/>
    <w:rsid w:val="00470B5B"/>
    <w:rsid w:val="00471767"/>
    <w:rsid w:val="00471995"/>
    <w:rsid w:val="0047246D"/>
    <w:rsid w:val="004724AB"/>
    <w:rsid w:val="00472647"/>
    <w:rsid w:val="00472C1A"/>
    <w:rsid w:val="00472D5C"/>
    <w:rsid w:val="00472F6B"/>
    <w:rsid w:val="00473117"/>
    <w:rsid w:val="00473A7F"/>
    <w:rsid w:val="00474445"/>
    <w:rsid w:val="00474CBD"/>
    <w:rsid w:val="0047596E"/>
    <w:rsid w:val="004760DA"/>
    <w:rsid w:val="0047624F"/>
    <w:rsid w:val="004766B6"/>
    <w:rsid w:val="004766D2"/>
    <w:rsid w:val="00476E97"/>
    <w:rsid w:val="00477865"/>
    <w:rsid w:val="00477A61"/>
    <w:rsid w:val="004803F1"/>
    <w:rsid w:val="00480F9B"/>
    <w:rsid w:val="00481075"/>
    <w:rsid w:val="004812E0"/>
    <w:rsid w:val="0048166B"/>
    <w:rsid w:val="00482A44"/>
    <w:rsid w:val="00482F14"/>
    <w:rsid w:val="004838AA"/>
    <w:rsid w:val="00483AA8"/>
    <w:rsid w:val="00483AEF"/>
    <w:rsid w:val="00484599"/>
    <w:rsid w:val="0048490E"/>
    <w:rsid w:val="00484AFF"/>
    <w:rsid w:val="004851C5"/>
    <w:rsid w:val="00485335"/>
    <w:rsid w:val="0048559E"/>
    <w:rsid w:val="00485F0D"/>
    <w:rsid w:val="0048682D"/>
    <w:rsid w:val="00486D4F"/>
    <w:rsid w:val="00487EFD"/>
    <w:rsid w:val="004903FD"/>
    <w:rsid w:val="00490652"/>
    <w:rsid w:val="00490C50"/>
    <w:rsid w:val="00490FDC"/>
    <w:rsid w:val="0049110D"/>
    <w:rsid w:val="004911DC"/>
    <w:rsid w:val="0049156D"/>
    <w:rsid w:val="0049198E"/>
    <w:rsid w:val="004920BD"/>
    <w:rsid w:val="00492531"/>
    <w:rsid w:val="00492A51"/>
    <w:rsid w:val="00492A88"/>
    <w:rsid w:val="00492F23"/>
    <w:rsid w:val="004932B9"/>
    <w:rsid w:val="0049332A"/>
    <w:rsid w:val="0049418A"/>
    <w:rsid w:val="004944B6"/>
    <w:rsid w:val="00494A1D"/>
    <w:rsid w:val="00494A80"/>
    <w:rsid w:val="004954A6"/>
    <w:rsid w:val="00495C52"/>
    <w:rsid w:val="00496712"/>
    <w:rsid w:val="004972BC"/>
    <w:rsid w:val="004972D2"/>
    <w:rsid w:val="004A0315"/>
    <w:rsid w:val="004A03C8"/>
    <w:rsid w:val="004A0777"/>
    <w:rsid w:val="004A0A63"/>
    <w:rsid w:val="004A0AF3"/>
    <w:rsid w:val="004A1312"/>
    <w:rsid w:val="004A1880"/>
    <w:rsid w:val="004A1F40"/>
    <w:rsid w:val="004A241A"/>
    <w:rsid w:val="004A3B7E"/>
    <w:rsid w:val="004A3B8B"/>
    <w:rsid w:val="004A4059"/>
    <w:rsid w:val="004A4630"/>
    <w:rsid w:val="004A4AD9"/>
    <w:rsid w:val="004A4CC2"/>
    <w:rsid w:val="004A5AEC"/>
    <w:rsid w:val="004A5BAA"/>
    <w:rsid w:val="004A61AE"/>
    <w:rsid w:val="004A6CE4"/>
    <w:rsid w:val="004A7952"/>
    <w:rsid w:val="004A7ACC"/>
    <w:rsid w:val="004A7AFF"/>
    <w:rsid w:val="004B0A2E"/>
    <w:rsid w:val="004B1465"/>
    <w:rsid w:val="004B1500"/>
    <w:rsid w:val="004B17FA"/>
    <w:rsid w:val="004B1912"/>
    <w:rsid w:val="004B268D"/>
    <w:rsid w:val="004B41A6"/>
    <w:rsid w:val="004B5555"/>
    <w:rsid w:val="004B5675"/>
    <w:rsid w:val="004B56C5"/>
    <w:rsid w:val="004B5B14"/>
    <w:rsid w:val="004B5DEE"/>
    <w:rsid w:val="004B6A9B"/>
    <w:rsid w:val="004B7127"/>
    <w:rsid w:val="004B7139"/>
    <w:rsid w:val="004C0A57"/>
    <w:rsid w:val="004C159B"/>
    <w:rsid w:val="004C1CEC"/>
    <w:rsid w:val="004C26C5"/>
    <w:rsid w:val="004C2A1A"/>
    <w:rsid w:val="004C407A"/>
    <w:rsid w:val="004C41D1"/>
    <w:rsid w:val="004C4320"/>
    <w:rsid w:val="004C4B91"/>
    <w:rsid w:val="004C4C4E"/>
    <w:rsid w:val="004C4D66"/>
    <w:rsid w:val="004C5584"/>
    <w:rsid w:val="004C5A15"/>
    <w:rsid w:val="004C6B9E"/>
    <w:rsid w:val="004C6C6E"/>
    <w:rsid w:val="004C709E"/>
    <w:rsid w:val="004C74D9"/>
    <w:rsid w:val="004C780E"/>
    <w:rsid w:val="004D00D8"/>
    <w:rsid w:val="004D0233"/>
    <w:rsid w:val="004D02B7"/>
    <w:rsid w:val="004D05A6"/>
    <w:rsid w:val="004D090D"/>
    <w:rsid w:val="004D0A1B"/>
    <w:rsid w:val="004D14D8"/>
    <w:rsid w:val="004D1E45"/>
    <w:rsid w:val="004D2264"/>
    <w:rsid w:val="004D26FC"/>
    <w:rsid w:val="004D2734"/>
    <w:rsid w:val="004D2737"/>
    <w:rsid w:val="004D2A35"/>
    <w:rsid w:val="004D2C1C"/>
    <w:rsid w:val="004D36EF"/>
    <w:rsid w:val="004D3D91"/>
    <w:rsid w:val="004D442D"/>
    <w:rsid w:val="004D4549"/>
    <w:rsid w:val="004D46D8"/>
    <w:rsid w:val="004D5ACE"/>
    <w:rsid w:val="004D5BB9"/>
    <w:rsid w:val="004D6724"/>
    <w:rsid w:val="004D72E5"/>
    <w:rsid w:val="004D73DB"/>
    <w:rsid w:val="004D751F"/>
    <w:rsid w:val="004D7834"/>
    <w:rsid w:val="004D7BF8"/>
    <w:rsid w:val="004E0081"/>
    <w:rsid w:val="004E01E1"/>
    <w:rsid w:val="004E0B7A"/>
    <w:rsid w:val="004E0B8E"/>
    <w:rsid w:val="004E0F51"/>
    <w:rsid w:val="004E0FB1"/>
    <w:rsid w:val="004E1894"/>
    <w:rsid w:val="004E18EE"/>
    <w:rsid w:val="004E2188"/>
    <w:rsid w:val="004E2935"/>
    <w:rsid w:val="004E2AFE"/>
    <w:rsid w:val="004E2CF6"/>
    <w:rsid w:val="004E3437"/>
    <w:rsid w:val="004E3549"/>
    <w:rsid w:val="004E3619"/>
    <w:rsid w:val="004E3BBF"/>
    <w:rsid w:val="004E3C92"/>
    <w:rsid w:val="004E495B"/>
    <w:rsid w:val="004E4CC2"/>
    <w:rsid w:val="004E518C"/>
    <w:rsid w:val="004E55A6"/>
    <w:rsid w:val="004E5EDA"/>
    <w:rsid w:val="004E6F94"/>
    <w:rsid w:val="004E7578"/>
    <w:rsid w:val="004E7742"/>
    <w:rsid w:val="004E7EE6"/>
    <w:rsid w:val="004F0107"/>
    <w:rsid w:val="004F01C0"/>
    <w:rsid w:val="004F0238"/>
    <w:rsid w:val="004F1699"/>
    <w:rsid w:val="004F17FB"/>
    <w:rsid w:val="004F26CD"/>
    <w:rsid w:val="004F2940"/>
    <w:rsid w:val="004F2FCF"/>
    <w:rsid w:val="004F3090"/>
    <w:rsid w:val="004F320E"/>
    <w:rsid w:val="004F3C18"/>
    <w:rsid w:val="004F4087"/>
    <w:rsid w:val="004F4346"/>
    <w:rsid w:val="004F4454"/>
    <w:rsid w:val="004F4492"/>
    <w:rsid w:val="004F489A"/>
    <w:rsid w:val="004F4A39"/>
    <w:rsid w:val="004F4D75"/>
    <w:rsid w:val="004F5F21"/>
    <w:rsid w:val="004F66D0"/>
    <w:rsid w:val="004F6747"/>
    <w:rsid w:val="004F6967"/>
    <w:rsid w:val="004F6E30"/>
    <w:rsid w:val="004F738D"/>
    <w:rsid w:val="004F7904"/>
    <w:rsid w:val="00500332"/>
    <w:rsid w:val="00500A00"/>
    <w:rsid w:val="00500D72"/>
    <w:rsid w:val="00500F88"/>
    <w:rsid w:val="005014C0"/>
    <w:rsid w:val="005034DF"/>
    <w:rsid w:val="00504154"/>
    <w:rsid w:val="00504223"/>
    <w:rsid w:val="00504419"/>
    <w:rsid w:val="0050477B"/>
    <w:rsid w:val="005047F5"/>
    <w:rsid w:val="00504BBC"/>
    <w:rsid w:val="005052E6"/>
    <w:rsid w:val="005057CC"/>
    <w:rsid w:val="00505858"/>
    <w:rsid w:val="00505A9A"/>
    <w:rsid w:val="00505F80"/>
    <w:rsid w:val="005060A5"/>
    <w:rsid w:val="00506735"/>
    <w:rsid w:val="0050688B"/>
    <w:rsid w:val="005069A5"/>
    <w:rsid w:val="00506A1E"/>
    <w:rsid w:val="005075CD"/>
    <w:rsid w:val="00507CE3"/>
    <w:rsid w:val="00507E86"/>
    <w:rsid w:val="0051013E"/>
    <w:rsid w:val="005107BB"/>
    <w:rsid w:val="0051089D"/>
    <w:rsid w:val="00511020"/>
    <w:rsid w:val="00511556"/>
    <w:rsid w:val="005115F3"/>
    <w:rsid w:val="00512BF2"/>
    <w:rsid w:val="00513599"/>
    <w:rsid w:val="005135D5"/>
    <w:rsid w:val="00513834"/>
    <w:rsid w:val="00513B17"/>
    <w:rsid w:val="00513B8E"/>
    <w:rsid w:val="00514908"/>
    <w:rsid w:val="005149BD"/>
    <w:rsid w:val="005149E0"/>
    <w:rsid w:val="00514A6D"/>
    <w:rsid w:val="00514CDE"/>
    <w:rsid w:val="00515111"/>
    <w:rsid w:val="00515EB7"/>
    <w:rsid w:val="00515F76"/>
    <w:rsid w:val="00515FA7"/>
    <w:rsid w:val="00516AAA"/>
    <w:rsid w:val="00520518"/>
    <w:rsid w:val="005208EB"/>
    <w:rsid w:val="005209D7"/>
    <w:rsid w:val="00520A64"/>
    <w:rsid w:val="00520CD4"/>
    <w:rsid w:val="005216BC"/>
    <w:rsid w:val="0052205A"/>
    <w:rsid w:val="005221F8"/>
    <w:rsid w:val="00522CDA"/>
    <w:rsid w:val="0052359E"/>
    <w:rsid w:val="005238F3"/>
    <w:rsid w:val="00523A75"/>
    <w:rsid w:val="00523D1E"/>
    <w:rsid w:val="0052537E"/>
    <w:rsid w:val="00525F48"/>
    <w:rsid w:val="0052611C"/>
    <w:rsid w:val="005261F1"/>
    <w:rsid w:val="00526332"/>
    <w:rsid w:val="00526343"/>
    <w:rsid w:val="00526784"/>
    <w:rsid w:val="00526E2C"/>
    <w:rsid w:val="00526E91"/>
    <w:rsid w:val="00527268"/>
    <w:rsid w:val="00527CD2"/>
    <w:rsid w:val="00527F66"/>
    <w:rsid w:val="0053128E"/>
    <w:rsid w:val="00531527"/>
    <w:rsid w:val="005316B6"/>
    <w:rsid w:val="005321A3"/>
    <w:rsid w:val="00532B34"/>
    <w:rsid w:val="00533A79"/>
    <w:rsid w:val="00533CB9"/>
    <w:rsid w:val="00533FFC"/>
    <w:rsid w:val="00534369"/>
    <w:rsid w:val="00535205"/>
    <w:rsid w:val="0053539D"/>
    <w:rsid w:val="005357D1"/>
    <w:rsid w:val="005359CE"/>
    <w:rsid w:val="00535E59"/>
    <w:rsid w:val="005361E0"/>
    <w:rsid w:val="005362F1"/>
    <w:rsid w:val="0053650A"/>
    <w:rsid w:val="005370F0"/>
    <w:rsid w:val="005378EF"/>
    <w:rsid w:val="00537A6B"/>
    <w:rsid w:val="00540570"/>
    <w:rsid w:val="005406B2"/>
    <w:rsid w:val="00542940"/>
    <w:rsid w:val="005430AC"/>
    <w:rsid w:val="0054322F"/>
    <w:rsid w:val="005433D7"/>
    <w:rsid w:val="00543562"/>
    <w:rsid w:val="005435FB"/>
    <w:rsid w:val="005437CF"/>
    <w:rsid w:val="005439FC"/>
    <w:rsid w:val="00544729"/>
    <w:rsid w:val="0054482C"/>
    <w:rsid w:val="00544C4C"/>
    <w:rsid w:val="00544E5C"/>
    <w:rsid w:val="005458EF"/>
    <w:rsid w:val="00546675"/>
    <w:rsid w:val="0054675A"/>
    <w:rsid w:val="00546D24"/>
    <w:rsid w:val="00547997"/>
    <w:rsid w:val="00547B5A"/>
    <w:rsid w:val="00547F13"/>
    <w:rsid w:val="00550282"/>
    <w:rsid w:val="0055130D"/>
    <w:rsid w:val="00551880"/>
    <w:rsid w:val="00551F40"/>
    <w:rsid w:val="0055294F"/>
    <w:rsid w:val="0055310D"/>
    <w:rsid w:val="005533B3"/>
    <w:rsid w:val="0055347D"/>
    <w:rsid w:val="005536BC"/>
    <w:rsid w:val="00553A3C"/>
    <w:rsid w:val="005541B3"/>
    <w:rsid w:val="005550DD"/>
    <w:rsid w:val="00555280"/>
    <w:rsid w:val="00555359"/>
    <w:rsid w:val="005553A7"/>
    <w:rsid w:val="005565AE"/>
    <w:rsid w:val="00556C0C"/>
    <w:rsid w:val="005574F8"/>
    <w:rsid w:val="005575BA"/>
    <w:rsid w:val="005579EE"/>
    <w:rsid w:val="00557DC5"/>
    <w:rsid w:val="00560F77"/>
    <w:rsid w:val="005611FB"/>
    <w:rsid w:val="00561C4F"/>
    <w:rsid w:val="00561EA3"/>
    <w:rsid w:val="005624A0"/>
    <w:rsid w:val="00562E9E"/>
    <w:rsid w:val="005634AE"/>
    <w:rsid w:val="005635C8"/>
    <w:rsid w:val="00564886"/>
    <w:rsid w:val="00564B12"/>
    <w:rsid w:val="00564BFD"/>
    <w:rsid w:val="00564CAE"/>
    <w:rsid w:val="005651FA"/>
    <w:rsid w:val="005653E1"/>
    <w:rsid w:val="0056550D"/>
    <w:rsid w:val="005655AC"/>
    <w:rsid w:val="005659AC"/>
    <w:rsid w:val="00565D9D"/>
    <w:rsid w:val="00566122"/>
    <w:rsid w:val="0056619C"/>
    <w:rsid w:val="005665E1"/>
    <w:rsid w:val="005668B2"/>
    <w:rsid w:val="00566EDF"/>
    <w:rsid w:val="00566F00"/>
    <w:rsid w:val="00567592"/>
    <w:rsid w:val="00567664"/>
    <w:rsid w:val="00567730"/>
    <w:rsid w:val="00567B55"/>
    <w:rsid w:val="00567BA1"/>
    <w:rsid w:val="005701BB"/>
    <w:rsid w:val="00570789"/>
    <w:rsid w:val="005709B5"/>
    <w:rsid w:val="00570AAF"/>
    <w:rsid w:val="00570BB9"/>
    <w:rsid w:val="005712A8"/>
    <w:rsid w:val="005719AA"/>
    <w:rsid w:val="00571CC7"/>
    <w:rsid w:val="00571E22"/>
    <w:rsid w:val="00572418"/>
    <w:rsid w:val="00572A77"/>
    <w:rsid w:val="00573BE5"/>
    <w:rsid w:val="00573E25"/>
    <w:rsid w:val="00573FE8"/>
    <w:rsid w:val="0057413A"/>
    <w:rsid w:val="00574301"/>
    <w:rsid w:val="005747DA"/>
    <w:rsid w:val="00574806"/>
    <w:rsid w:val="005750CD"/>
    <w:rsid w:val="005752A3"/>
    <w:rsid w:val="00575CB7"/>
    <w:rsid w:val="005769B4"/>
    <w:rsid w:val="00577416"/>
    <w:rsid w:val="005775FB"/>
    <w:rsid w:val="00577945"/>
    <w:rsid w:val="00577D51"/>
    <w:rsid w:val="0058012F"/>
    <w:rsid w:val="00580AC2"/>
    <w:rsid w:val="00580F55"/>
    <w:rsid w:val="00581436"/>
    <w:rsid w:val="00581442"/>
    <w:rsid w:val="00581EE5"/>
    <w:rsid w:val="00581F88"/>
    <w:rsid w:val="00583024"/>
    <w:rsid w:val="0058354F"/>
    <w:rsid w:val="00583F70"/>
    <w:rsid w:val="00584BF9"/>
    <w:rsid w:val="00584CA1"/>
    <w:rsid w:val="00584D05"/>
    <w:rsid w:val="00584D46"/>
    <w:rsid w:val="00584F1E"/>
    <w:rsid w:val="0058523D"/>
    <w:rsid w:val="0058555A"/>
    <w:rsid w:val="00586934"/>
    <w:rsid w:val="00586C4E"/>
    <w:rsid w:val="00586DAB"/>
    <w:rsid w:val="00586DEB"/>
    <w:rsid w:val="00587C00"/>
    <w:rsid w:val="00587E4F"/>
    <w:rsid w:val="00587E60"/>
    <w:rsid w:val="00587EFC"/>
    <w:rsid w:val="0059033F"/>
    <w:rsid w:val="00590527"/>
    <w:rsid w:val="00590EA9"/>
    <w:rsid w:val="005913FC"/>
    <w:rsid w:val="00591BBD"/>
    <w:rsid w:val="00593121"/>
    <w:rsid w:val="005936F1"/>
    <w:rsid w:val="00593DC3"/>
    <w:rsid w:val="0059401E"/>
    <w:rsid w:val="0059449D"/>
    <w:rsid w:val="0059522C"/>
    <w:rsid w:val="00595379"/>
    <w:rsid w:val="00595569"/>
    <w:rsid w:val="00595B17"/>
    <w:rsid w:val="00595BCF"/>
    <w:rsid w:val="00595D42"/>
    <w:rsid w:val="00597646"/>
    <w:rsid w:val="0059785E"/>
    <w:rsid w:val="00597E4B"/>
    <w:rsid w:val="00597F10"/>
    <w:rsid w:val="005A10BC"/>
    <w:rsid w:val="005A1260"/>
    <w:rsid w:val="005A1E3D"/>
    <w:rsid w:val="005A2328"/>
    <w:rsid w:val="005A2592"/>
    <w:rsid w:val="005A2FA1"/>
    <w:rsid w:val="005A3014"/>
    <w:rsid w:val="005A35B6"/>
    <w:rsid w:val="005A397E"/>
    <w:rsid w:val="005A4232"/>
    <w:rsid w:val="005A43E1"/>
    <w:rsid w:val="005A48A6"/>
    <w:rsid w:val="005A50A0"/>
    <w:rsid w:val="005A5841"/>
    <w:rsid w:val="005A5CED"/>
    <w:rsid w:val="005A5D64"/>
    <w:rsid w:val="005A627E"/>
    <w:rsid w:val="005A6740"/>
    <w:rsid w:val="005A6767"/>
    <w:rsid w:val="005A77C9"/>
    <w:rsid w:val="005A7A37"/>
    <w:rsid w:val="005A7A57"/>
    <w:rsid w:val="005B016E"/>
    <w:rsid w:val="005B03C3"/>
    <w:rsid w:val="005B0807"/>
    <w:rsid w:val="005B0C25"/>
    <w:rsid w:val="005B0C96"/>
    <w:rsid w:val="005B1244"/>
    <w:rsid w:val="005B1D86"/>
    <w:rsid w:val="005B214B"/>
    <w:rsid w:val="005B298C"/>
    <w:rsid w:val="005B2A52"/>
    <w:rsid w:val="005B2AD5"/>
    <w:rsid w:val="005B2BB5"/>
    <w:rsid w:val="005B2CA3"/>
    <w:rsid w:val="005B3143"/>
    <w:rsid w:val="005B3314"/>
    <w:rsid w:val="005B3467"/>
    <w:rsid w:val="005B3924"/>
    <w:rsid w:val="005B5628"/>
    <w:rsid w:val="005B5AF6"/>
    <w:rsid w:val="005B617A"/>
    <w:rsid w:val="005B61FE"/>
    <w:rsid w:val="005B6687"/>
    <w:rsid w:val="005B6B7F"/>
    <w:rsid w:val="005B712D"/>
    <w:rsid w:val="005B747A"/>
    <w:rsid w:val="005B7500"/>
    <w:rsid w:val="005C0385"/>
    <w:rsid w:val="005C09B3"/>
    <w:rsid w:val="005C0D7E"/>
    <w:rsid w:val="005C0DE7"/>
    <w:rsid w:val="005C0EBF"/>
    <w:rsid w:val="005C0F07"/>
    <w:rsid w:val="005C177B"/>
    <w:rsid w:val="005C1CA1"/>
    <w:rsid w:val="005C1DF7"/>
    <w:rsid w:val="005C1F06"/>
    <w:rsid w:val="005C26C0"/>
    <w:rsid w:val="005C2737"/>
    <w:rsid w:val="005C2DE6"/>
    <w:rsid w:val="005C3141"/>
    <w:rsid w:val="005C3A57"/>
    <w:rsid w:val="005C3E05"/>
    <w:rsid w:val="005C4147"/>
    <w:rsid w:val="005C4828"/>
    <w:rsid w:val="005C4E2A"/>
    <w:rsid w:val="005C4EBF"/>
    <w:rsid w:val="005C5098"/>
    <w:rsid w:val="005C554B"/>
    <w:rsid w:val="005C56A5"/>
    <w:rsid w:val="005C5888"/>
    <w:rsid w:val="005C58EB"/>
    <w:rsid w:val="005C5977"/>
    <w:rsid w:val="005C6DA4"/>
    <w:rsid w:val="005C6E63"/>
    <w:rsid w:val="005C73D4"/>
    <w:rsid w:val="005C794B"/>
    <w:rsid w:val="005C7ED7"/>
    <w:rsid w:val="005D01A4"/>
    <w:rsid w:val="005D070C"/>
    <w:rsid w:val="005D088D"/>
    <w:rsid w:val="005D0A35"/>
    <w:rsid w:val="005D0B15"/>
    <w:rsid w:val="005D0D39"/>
    <w:rsid w:val="005D1A7D"/>
    <w:rsid w:val="005D1BA5"/>
    <w:rsid w:val="005D1D6C"/>
    <w:rsid w:val="005D1D9B"/>
    <w:rsid w:val="005D1F21"/>
    <w:rsid w:val="005D2012"/>
    <w:rsid w:val="005D2142"/>
    <w:rsid w:val="005D2CCE"/>
    <w:rsid w:val="005D30EA"/>
    <w:rsid w:val="005D392F"/>
    <w:rsid w:val="005D3D3B"/>
    <w:rsid w:val="005D3E58"/>
    <w:rsid w:val="005D3F76"/>
    <w:rsid w:val="005D411B"/>
    <w:rsid w:val="005D4487"/>
    <w:rsid w:val="005D57AA"/>
    <w:rsid w:val="005D57E0"/>
    <w:rsid w:val="005D5D39"/>
    <w:rsid w:val="005D60BE"/>
    <w:rsid w:val="005D6ABA"/>
    <w:rsid w:val="005D7386"/>
    <w:rsid w:val="005D7633"/>
    <w:rsid w:val="005D78A2"/>
    <w:rsid w:val="005D79A5"/>
    <w:rsid w:val="005E0285"/>
    <w:rsid w:val="005E0358"/>
    <w:rsid w:val="005E0EE8"/>
    <w:rsid w:val="005E0FE5"/>
    <w:rsid w:val="005E1438"/>
    <w:rsid w:val="005E173F"/>
    <w:rsid w:val="005E1B92"/>
    <w:rsid w:val="005E1C52"/>
    <w:rsid w:val="005E28A0"/>
    <w:rsid w:val="005E2926"/>
    <w:rsid w:val="005E2E68"/>
    <w:rsid w:val="005E3223"/>
    <w:rsid w:val="005E33D2"/>
    <w:rsid w:val="005E388B"/>
    <w:rsid w:val="005E41E1"/>
    <w:rsid w:val="005E4442"/>
    <w:rsid w:val="005E4507"/>
    <w:rsid w:val="005E46BA"/>
    <w:rsid w:val="005E4BD2"/>
    <w:rsid w:val="005E501E"/>
    <w:rsid w:val="005E50F3"/>
    <w:rsid w:val="005E5490"/>
    <w:rsid w:val="005E5D6A"/>
    <w:rsid w:val="005E5F00"/>
    <w:rsid w:val="005E62B0"/>
    <w:rsid w:val="005E648A"/>
    <w:rsid w:val="005E686B"/>
    <w:rsid w:val="005E7936"/>
    <w:rsid w:val="005E79D9"/>
    <w:rsid w:val="005E7B3D"/>
    <w:rsid w:val="005F082A"/>
    <w:rsid w:val="005F0DBF"/>
    <w:rsid w:val="005F19BF"/>
    <w:rsid w:val="005F1B7F"/>
    <w:rsid w:val="005F2C62"/>
    <w:rsid w:val="005F2D4C"/>
    <w:rsid w:val="005F3033"/>
    <w:rsid w:val="005F31D5"/>
    <w:rsid w:val="005F37D4"/>
    <w:rsid w:val="005F3A1D"/>
    <w:rsid w:val="005F42D2"/>
    <w:rsid w:val="005F4D75"/>
    <w:rsid w:val="005F4DD9"/>
    <w:rsid w:val="005F51F9"/>
    <w:rsid w:val="005F554A"/>
    <w:rsid w:val="005F5864"/>
    <w:rsid w:val="005F5F63"/>
    <w:rsid w:val="005F6293"/>
    <w:rsid w:val="005F6724"/>
    <w:rsid w:val="005F67E2"/>
    <w:rsid w:val="005F6859"/>
    <w:rsid w:val="005F6D71"/>
    <w:rsid w:val="005F72FA"/>
    <w:rsid w:val="006008EC"/>
    <w:rsid w:val="0060107E"/>
    <w:rsid w:val="006013F9"/>
    <w:rsid w:val="006020D9"/>
    <w:rsid w:val="0060267A"/>
    <w:rsid w:val="00602F71"/>
    <w:rsid w:val="006030D6"/>
    <w:rsid w:val="0060417B"/>
    <w:rsid w:val="006043A4"/>
    <w:rsid w:val="006045CD"/>
    <w:rsid w:val="006048D0"/>
    <w:rsid w:val="00605007"/>
    <w:rsid w:val="0060594A"/>
    <w:rsid w:val="006060BB"/>
    <w:rsid w:val="00606749"/>
    <w:rsid w:val="00606B77"/>
    <w:rsid w:val="00607A2A"/>
    <w:rsid w:val="006105B3"/>
    <w:rsid w:val="006119B8"/>
    <w:rsid w:val="00611A6C"/>
    <w:rsid w:val="00611AF5"/>
    <w:rsid w:val="006120C0"/>
    <w:rsid w:val="0061215A"/>
    <w:rsid w:val="0061244C"/>
    <w:rsid w:val="00612E64"/>
    <w:rsid w:val="006143D2"/>
    <w:rsid w:val="00614CD3"/>
    <w:rsid w:val="006152CD"/>
    <w:rsid w:val="0061548F"/>
    <w:rsid w:val="00615E33"/>
    <w:rsid w:val="00616034"/>
    <w:rsid w:val="0061627F"/>
    <w:rsid w:val="00616BF1"/>
    <w:rsid w:val="0061756E"/>
    <w:rsid w:val="00617C86"/>
    <w:rsid w:val="00617D05"/>
    <w:rsid w:val="00617F54"/>
    <w:rsid w:val="00620010"/>
    <w:rsid w:val="0062043A"/>
    <w:rsid w:val="00620808"/>
    <w:rsid w:val="006217E3"/>
    <w:rsid w:val="00621A67"/>
    <w:rsid w:val="00621EDB"/>
    <w:rsid w:val="006221AD"/>
    <w:rsid w:val="0062223F"/>
    <w:rsid w:val="006224E4"/>
    <w:rsid w:val="00622963"/>
    <w:rsid w:val="00622F37"/>
    <w:rsid w:val="006232A3"/>
    <w:rsid w:val="00623557"/>
    <w:rsid w:val="0062388D"/>
    <w:rsid w:val="006240A6"/>
    <w:rsid w:val="006242DF"/>
    <w:rsid w:val="0062497C"/>
    <w:rsid w:val="00624EB7"/>
    <w:rsid w:val="0062600E"/>
    <w:rsid w:val="00626012"/>
    <w:rsid w:val="00626EC9"/>
    <w:rsid w:val="0062706D"/>
    <w:rsid w:val="006271E4"/>
    <w:rsid w:val="00627EBD"/>
    <w:rsid w:val="0063097E"/>
    <w:rsid w:val="00631225"/>
    <w:rsid w:val="0063271D"/>
    <w:rsid w:val="00632A0E"/>
    <w:rsid w:val="00632D9B"/>
    <w:rsid w:val="006336DA"/>
    <w:rsid w:val="00633C07"/>
    <w:rsid w:val="006349F9"/>
    <w:rsid w:val="00636643"/>
    <w:rsid w:val="00636F2D"/>
    <w:rsid w:val="006374CD"/>
    <w:rsid w:val="0063764E"/>
    <w:rsid w:val="006378FE"/>
    <w:rsid w:val="00637DC9"/>
    <w:rsid w:val="00637F16"/>
    <w:rsid w:val="00640166"/>
    <w:rsid w:val="00640570"/>
    <w:rsid w:val="00640CB0"/>
    <w:rsid w:val="00640CED"/>
    <w:rsid w:val="00641143"/>
    <w:rsid w:val="0064124B"/>
    <w:rsid w:val="006415E6"/>
    <w:rsid w:val="006417D7"/>
    <w:rsid w:val="00641A4A"/>
    <w:rsid w:val="006422DE"/>
    <w:rsid w:val="0064267E"/>
    <w:rsid w:val="006430FF"/>
    <w:rsid w:val="0064347A"/>
    <w:rsid w:val="0064375D"/>
    <w:rsid w:val="00643967"/>
    <w:rsid w:val="00643AEA"/>
    <w:rsid w:val="00643C32"/>
    <w:rsid w:val="00646DCA"/>
    <w:rsid w:val="006470CC"/>
    <w:rsid w:val="0064721C"/>
    <w:rsid w:val="006473D0"/>
    <w:rsid w:val="00647882"/>
    <w:rsid w:val="00647DA8"/>
    <w:rsid w:val="00647F9D"/>
    <w:rsid w:val="006502AB"/>
    <w:rsid w:val="00650F32"/>
    <w:rsid w:val="00651177"/>
    <w:rsid w:val="00651A71"/>
    <w:rsid w:val="0065277B"/>
    <w:rsid w:val="00653397"/>
    <w:rsid w:val="0065343A"/>
    <w:rsid w:val="00653A2A"/>
    <w:rsid w:val="00653B74"/>
    <w:rsid w:val="00653FFE"/>
    <w:rsid w:val="0065444E"/>
    <w:rsid w:val="00655066"/>
    <w:rsid w:val="006550A4"/>
    <w:rsid w:val="00655C11"/>
    <w:rsid w:val="00655C85"/>
    <w:rsid w:val="00656585"/>
    <w:rsid w:val="00656767"/>
    <w:rsid w:val="0065678E"/>
    <w:rsid w:val="006569FD"/>
    <w:rsid w:val="006605A1"/>
    <w:rsid w:val="0066096D"/>
    <w:rsid w:val="0066100B"/>
    <w:rsid w:val="0066183E"/>
    <w:rsid w:val="00661979"/>
    <w:rsid w:val="00661A9C"/>
    <w:rsid w:val="0066219C"/>
    <w:rsid w:val="00662205"/>
    <w:rsid w:val="00662588"/>
    <w:rsid w:val="00662C33"/>
    <w:rsid w:val="00663436"/>
    <w:rsid w:val="006637AD"/>
    <w:rsid w:val="00663D25"/>
    <w:rsid w:val="00665450"/>
    <w:rsid w:val="0066654B"/>
    <w:rsid w:val="00666B1D"/>
    <w:rsid w:val="006672D7"/>
    <w:rsid w:val="006672FF"/>
    <w:rsid w:val="00667490"/>
    <w:rsid w:val="00667A54"/>
    <w:rsid w:val="00667DAB"/>
    <w:rsid w:val="00667DDB"/>
    <w:rsid w:val="0067040B"/>
    <w:rsid w:val="00670499"/>
    <w:rsid w:val="00671062"/>
    <w:rsid w:val="00671483"/>
    <w:rsid w:val="00671816"/>
    <w:rsid w:val="00672270"/>
    <w:rsid w:val="006724CA"/>
    <w:rsid w:val="006726C8"/>
    <w:rsid w:val="006727E9"/>
    <w:rsid w:val="00672EDE"/>
    <w:rsid w:val="00673262"/>
    <w:rsid w:val="00674551"/>
    <w:rsid w:val="006746CD"/>
    <w:rsid w:val="00674D0D"/>
    <w:rsid w:val="00674DB1"/>
    <w:rsid w:val="00674F2A"/>
    <w:rsid w:val="00675B52"/>
    <w:rsid w:val="00676A75"/>
    <w:rsid w:val="00677119"/>
    <w:rsid w:val="00677156"/>
    <w:rsid w:val="006775FF"/>
    <w:rsid w:val="00677764"/>
    <w:rsid w:val="006779A1"/>
    <w:rsid w:val="006807B3"/>
    <w:rsid w:val="0068093C"/>
    <w:rsid w:val="006813A4"/>
    <w:rsid w:val="00681F77"/>
    <w:rsid w:val="006823B3"/>
    <w:rsid w:val="00682BA0"/>
    <w:rsid w:val="00682E7A"/>
    <w:rsid w:val="00682FEB"/>
    <w:rsid w:val="0068368F"/>
    <w:rsid w:val="0068390A"/>
    <w:rsid w:val="00684720"/>
    <w:rsid w:val="00684C37"/>
    <w:rsid w:val="00684D30"/>
    <w:rsid w:val="0068528A"/>
    <w:rsid w:val="006855D3"/>
    <w:rsid w:val="00685699"/>
    <w:rsid w:val="00685D06"/>
    <w:rsid w:val="00686202"/>
    <w:rsid w:val="006863F7"/>
    <w:rsid w:val="0068652D"/>
    <w:rsid w:val="00690186"/>
    <w:rsid w:val="00690243"/>
    <w:rsid w:val="006903B7"/>
    <w:rsid w:val="006903B8"/>
    <w:rsid w:val="006908B7"/>
    <w:rsid w:val="0069139A"/>
    <w:rsid w:val="0069144D"/>
    <w:rsid w:val="006917A7"/>
    <w:rsid w:val="00691862"/>
    <w:rsid w:val="00691ACE"/>
    <w:rsid w:val="0069205C"/>
    <w:rsid w:val="0069219F"/>
    <w:rsid w:val="006928E7"/>
    <w:rsid w:val="006929B1"/>
    <w:rsid w:val="00692B8C"/>
    <w:rsid w:val="00692DB7"/>
    <w:rsid w:val="00693578"/>
    <w:rsid w:val="006938C8"/>
    <w:rsid w:val="006944EB"/>
    <w:rsid w:val="0069466B"/>
    <w:rsid w:val="00694C2D"/>
    <w:rsid w:val="006954C4"/>
    <w:rsid w:val="00695846"/>
    <w:rsid w:val="0069676B"/>
    <w:rsid w:val="00696927"/>
    <w:rsid w:val="00696C55"/>
    <w:rsid w:val="006972C2"/>
    <w:rsid w:val="00697B87"/>
    <w:rsid w:val="00697ED7"/>
    <w:rsid w:val="006A00B7"/>
    <w:rsid w:val="006A0563"/>
    <w:rsid w:val="006A0F81"/>
    <w:rsid w:val="006A134B"/>
    <w:rsid w:val="006A1B12"/>
    <w:rsid w:val="006A229F"/>
    <w:rsid w:val="006A22D4"/>
    <w:rsid w:val="006A2344"/>
    <w:rsid w:val="006A2BBF"/>
    <w:rsid w:val="006A3210"/>
    <w:rsid w:val="006A34AC"/>
    <w:rsid w:val="006A3A3A"/>
    <w:rsid w:val="006A3B54"/>
    <w:rsid w:val="006A3E57"/>
    <w:rsid w:val="006A4492"/>
    <w:rsid w:val="006A4628"/>
    <w:rsid w:val="006A46A7"/>
    <w:rsid w:val="006A4D18"/>
    <w:rsid w:val="006A4F09"/>
    <w:rsid w:val="006A50E4"/>
    <w:rsid w:val="006A59AE"/>
    <w:rsid w:val="006A5D24"/>
    <w:rsid w:val="006A6914"/>
    <w:rsid w:val="006A6CE8"/>
    <w:rsid w:val="006A7371"/>
    <w:rsid w:val="006A7640"/>
    <w:rsid w:val="006A7660"/>
    <w:rsid w:val="006B00FE"/>
    <w:rsid w:val="006B0227"/>
    <w:rsid w:val="006B0D28"/>
    <w:rsid w:val="006B1690"/>
    <w:rsid w:val="006B17A3"/>
    <w:rsid w:val="006B23B0"/>
    <w:rsid w:val="006B3244"/>
    <w:rsid w:val="006B32E0"/>
    <w:rsid w:val="006B34C9"/>
    <w:rsid w:val="006B363D"/>
    <w:rsid w:val="006B3757"/>
    <w:rsid w:val="006B37E1"/>
    <w:rsid w:val="006B399A"/>
    <w:rsid w:val="006B3BF5"/>
    <w:rsid w:val="006B4795"/>
    <w:rsid w:val="006B507D"/>
    <w:rsid w:val="006B5791"/>
    <w:rsid w:val="006B57AC"/>
    <w:rsid w:val="006B589A"/>
    <w:rsid w:val="006B597A"/>
    <w:rsid w:val="006B5B0B"/>
    <w:rsid w:val="006B5DE7"/>
    <w:rsid w:val="006B60A2"/>
    <w:rsid w:val="006B6798"/>
    <w:rsid w:val="006B7085"/>
    <w:rsid w:val="006B7242"/>
    <w:rsid w:val="006B77BE"/>
    <w:rsid w:val="006B7B54"/>
    <w:rsid w:val="006C03BF"/>
    <w:rsid w:val="006C06AF"/>
    <w:rsid w:val="006C0F76"/>
    <w:rsid w:val="006C0FB9"/>
    <w:rsid w:val="006C1340"/>
    <w:rsid w:val="006C17D6"/>
    <w:rsid w:val="006C23C2"/>
    <w:rsid w:val="006C2A5F"/>
    <w:rsid w:val="006C33AC"/>
    <w:rsid w:val="006C3BC6"/>
    <w:rsid w:val="006C46E4"/>
    <w:rsid w:val="006C46F6"/>
    <w:rsid w:val="006C4980"/>
    <w:rsid w:val="006C4A15"/>
    <w:rsid w:val="006C4B1F"/>
    <w:rsid w:val="006C5180"/>
    <w:rsid w:val="006C5815"/>
    <w:rsid w:val="006C590F"/>
    <w:rsid w:val="006C5912"/>
    <w:rsid w:val="006C5C39"/>
    <w:rsid w:val="006C6C78"/>
    <w:rsid w:val="006C6FBB"/>
    <w:rsid w:val="006C723E"/>
    <w:rsid w:val="006C7475"/>
    <w:rsid w:val="006C77FB"/>
    <w:rsid w:val="006C7B71"/>
    <w:rsid w:val="006D01E3"/>
    <w:rsid w:val="006D05F5"/>
    <w:rsid w:val="006D0F45"/>
    <w:rsid w:val="006D1878"/>
    <w:rsid w:val="006D18A1"/>
    <w:rsid w:val="006D2AA6"/>
    <w:rsid w:val="006D2B04"/>
    <w:rsid w:val="006D2D6F"/>
    <w:rsid w:val="006D2DF7"/>
    <w:rsid w:val="006D326C"/>
    <w:rsid w:val="006D39BB"/>
    <w:rsid w:val="006D3A6D"/>
    <w:rsid w:val="006D3B42"/>
    <w:rsid w:val="006D46C6"/>
    <w:rsid w:val="006D493B"/>
    <w:rsid w:val="006D4F91"/>
    <w:rsid w:val="006D5556"/>
    <w:rsid w:val="006D6DB3"/>
    <w:rsid w:val="006D6FEA"/>
    <w:rsid w:val="006D766C"/>
    <w:rsid w:val="006E016A"/>
    <w:rsid w:val="006E02B5"/>
    <w:rsid w:val="006E0419"/>
    <w:rsid w:val="006E0583"/>
    <w:rsid w:val="006E0C49"/>
    <w:rsid w:val="006E0CF5"/>
    <w:rsid w:val="006E10FC"/>
    <w:rsid w:val="006E15B5"/>
    <w:rsid w:val="006E1651"/>
    <w:rsid w:val="006E18EB"/>
    <w:rsid w:val="006E19CB"/>
    <w:rsid w:val="006E1A69"/>
    <w:rsid w:val="006E1C31"/>
    <w:rsid w:val="006E1D64"/>
    <w:rsid w:val="006E20B6"/>
    <w:rsid w:val="006E2293"/>
    <w:rsid w:val="006E27DC"/>
    <w:rsid w:val="006E313A"/>
    <w:rsid w:val="006E31A3"/>
    <w:rsid w:val="006E3868"/>
    <w:rsid w:val="006E45CC"/>
    <w:rsid w:val="006E52E1"/>
    <w:rsid w:val="006E5678"/>
    <w:rsid w:val="006E57D3"/>
    <w:rsid w:val="006E5C6C"/>
    <w:rsid w:val="006E5D11"/>
    <w:rsid w:val="006E63DE"/>
    <w:rsid w:val="006E649A"/>
    <w:rsid w:val="006E6889"/>
    <w:rsid w:val="006E6A42"/>
    <w:rsid w:val="006E70D1"/>
    <w:rsid w:val="006F003A"/>
    <w:rsid w:val="006F04D9"/>
    <w:rsid w:val="006F07FA"/>
    <w:rsid w:val="006F0FBF"/>
    <w:rsid w:val="006F137B"/>
    <w:rsid w:val="006F13E3"/>
    <w:rsid w:val="006F1B2E"/>
    <w:rsid w:val="006F1DC1"/>
    <w:rsid w:val="006F2292"/>
    <w:rsid w:val="006F27A7"/>
    <w:rsid w:val="006F2D03"/>
    <w:rsid w:val="006F31D7"/>
    <w:rsid w:val="006F31E0"/>
    <w:rsid w:val="006F33C8"/>
    <w:rsid w:val="006F3670"/>
    <w:rsid w:val="006F3932"/>
    <w:rsid w:val="006F3B2C"/>
    <w:rsid w:val="006F3F80"/>
    <w:rsid w:val="006F418E"/>
    <w:rsid w:val="006F43BE"/>
    <w:rsid w:val="006F48D3"/>
    <w:rsid w:val="006F4901"/>
    <w:rsid w:val="006F4953"/>
    <w:rsid w:val="006F547D"/>
    <w:rsid w:val="006F617A"/>
    <w:rsid w:val="006F67C0"/>
    <w:rsid w:val="006F6D52"/>
    <w:rsid w:val="006F77A0"/>
    <w:rsid w:val="007001BB"/>
    <w:rsid w:val="00700403"/>
    <w:rsid w:val="007004A3"/>
    <w:rsid w:val="0070152A"/>
    <w:rsid w:val="0070184C"/>
    <w:rsid w:val="007028E7"/>
    <w:rsid w:val="00703044"/>
    <w:rsid w:val="007039B7"/>
    <w:rsid w:val="00703CAD"/>
    <w:rsid w:val="0070401B"/>
    <w:rsid w:val="00704082"/>
    <w:rsid w:val="00705371"/>
    <w:rsid w:val="00705CB6"/>
    <w:rsid w:val="00706175"/>
    <w:rsid w:val="007062BC"/>
    <w:rsid w:val="007066E5"/>
    <w:rsid w:val="00707059"/>
    <w:rsid w:val="007077DC"/>
    <w:rsid w:val="00707DAE"/>
    <w:rsid w:val="00707E80"/>
    <w:rsid w:val="00707EDF"/>
    <w:rsid w:val="00710C2B"/>
    <w:rsid w:val="00712785"/>
    <w:rsid w:val="00712DC0"/>
    <w:rsid w:val="00712E82"/>
    <w:rsid w:val="00712E94"/>
    <w:rsid w:val="0071317B"/>
    <w:rsid w:val="00713384"/>
    <w:rsid w:val="007135CD"/>
    <w:rsid w:val="00713CAE"/>
    <w:rsid w:val="00713D73"/>
    <w:rsid w:val="00713DB3"/>
    <w:rsid w:val="007141E1"/>
    <w:rsid w:val="00714482"/>
    <w:rsid w:val="00714F31"/>
    <w:rsid w:val="00715242"/>
    <w:rsid w:val="007157B2"/>
    <w:rsid w:val="0071593B"/>
    <w:rsid w:val="00715958"/>
    <w:rsid w:val="00715C5F"/>
    <w:rsid w:val="00716521"/>
    <w:rsid w:val="007166C7"/>
    <w:rsid w:val="00716B8E"/>
    <w:rsid w:val="007171ED"/>
    <w:rsid w:val="0071743A"/>
    <w:rsid w:val="0071766B"/>
    <w:rsid w:val="00720522"/>
    <w:rsid w:val="00720B3A"/>
    <w:rsid w:val="007215B7"/>
    <w:rsid w:val="007219F6"/>
    <w:rsid w:val="00721ADE"/>
    <w:rsid w:val="00721F20"/>
    <w:rsid w:val="00722046"/>
    <w:rsid w:val="00722CFC"/>
    <w:rsid w:val="007230F2"/>
    <w:rsid w:val="00723922"/>
    <w:rsid w:val="00723AFB"/>
    <w:rsid w:val="00723C3B"/>
    <w:rsid w:val="00723D1F"/>
    <w:rsid w:val="00723D3A"/>
    <w:rsid w:val="0072440A"/>
    <w:rsid w:val="00724504"/>
    <w:rsid w:val="0072459E"/>
    <w:rsid w:val="007247EB"/>
    <w:rsid w:val="007257D4"/>
    <w:rsid w:val="00725892"/>
    <w:rsid w:val="00726485"/>
    <w:rsid w:val="00726F2B"/>
    <w:rsid w:val="00727484"/>
    <w:rsid w:val="00730222"/>
    <w:rsid w:val="0073099F"/>
    <w:rsid w:val="007317F2"/>
    <w:rsid w:val="00731BFD"/>
    <w:rsid w:val="00731EBD"/>
    <w:rsid w:val="007327DA"/>
    <w:rsid w:val="00732F1A"/>
    <w:rsid w:val="00733151"/>
    <w:rsid w:val="00733AC8"/>
    <w:rsid w:val="00734638"/>
    <w:rsid w:val="00734A87"/>
    <w:rsid w:val="00734B6A"/>
    <w:rsid w:val="00734CF6"/>
    <w:rsid w:val="00735189"/>
    <w:rsid w:val="007360FB"/>
    <w:rsid w:val="0073661D"/>
    <w:rsid w:val="007366DD"/>
    <w:rsid w:val="007369A0"/>
    <w:rsid w:val="00736AFC"/>
    <w:rsid w:val="00736C69"/>
    <w:rsid w:val="00737B11"/>
    <w:rsid w:val="00737E96"/>
    <w:rsid w:val="00740540"/>
    <w:rsid w:val="00740E6A"/>
    <w:rsid w:val="0074138D"/>
    <w:rsid w:val="007413D9"/>
    <w:rsid w:val="0074150C"/>
    <w:rsid w:val="0074157B"/>
    <w:rsid w:val="007418C4"/>
    <w:rsid w:val="007419AB"/>
    <w:rsid w:val="00741A57"/>
    <w:rsid w:val="00742024"/>
    <w:rsid w:val="00742108"/>
    <w:rsid w:val="00742579"/>
    <w:rsid w:val="00742724"/>
    <w:rsid w:val="007434B4"/>
    <w:rsid w:val="007436F3"/>
    <w:rsid w:val="00743C0A"/>
    <w:rsid w:val="0074407E"/>
    <w:rsid w:val="00744234"/>
    <w:rsid w:val="00744360"/>
    <w:rsid w:val="0074460F"/>
    <w:rsid w:val="007455AC"/>
    <w:rsid w:val="00745685"/>
    <w:rsid w:val="0074593E"/>
    <w:rsid w:val="00745D65"/>
    <w:rsid w:val="007460BC"/>
    <w:rsid w:val="00746586"/>
    <w:rsid w:val="00746E5D"/>
    <w:rsid w:val="0074713B"/>
    <w:rsid w:val="00747190"/>
    <w:rsid w:val="007474E7"/>
    <w:rsid w:val="00747779"/>
    <w:rsid w:val="00747DDA"/>
    <w:rsid w:val="00747F03"/>
    <w:rsid w:val="00747F17"/>
    <w:rsid w:val="00747FF9"/>
    <w:rsid w:val="00750446"/>
    <w:rsid w:val="00750652"/>
    <w:rsid w:val="00751132"/>
    <w:rsid w:val="00751F7C"/>
    <w:rsid w:val="00752130"/>
    <w:rsid w:val="00752A54"/>
    <w:rsid w:val="00753FAF"/>
    <w:rsid w:val="00754243"/>
    <w:rsid w:val="007549C3"/>
    <w:rsid w:val="007556C8"/>
    <w:rsid w:val="00755F77"/>
    <w:rsid w:val="007566E6"/>
    <w:rsid w:val="007567BC"/>
    <w:rsid w:val="007568EE"/>
    <w:rsid w:val="00756BA5"/>
    <w:rsid w:val="00757CD7"/>
    <w:rsid w:val="007601F3"/>
    <w:rsid w:val="007606C3"/>
    <w:rsid w:val="00760956"/>
    <w:rsid w:val="00760E64"/>
    <w:rsid w:val="007611A9"/>
    <w:rsid w:val="007614FE"/>
    <w:rsid w:val="00761683"/>
    <w:rsid w:val="00761C5D"/>
    <w:rsid w:val="00761F02"/>
    <w:rsid w:val="007625AC"/>
    <w:rsid w:val="00762E2D"/>
    <w:rsid w:val="0076306C"/>
    <w:rsid w:val="0076365B"/>
    <w:rsid w:val="0076417A"/>
    <w:rsid w:val="00764532"/>
    <w:rsid w:val="0076478A"/>
    <w:rsid w:val="0076488F"/>
    <w:rsid w:val="00764D7C"/>
    <w:rsid w:val="00764F97"/>
    <w:rsid w:val="00765651"/>
    <w:rsid w:val="00765AED"/>
    <w:rsid w:val="007660B7"/>
    <w:rsid w:val="0076675E"/>
    <w:rsid w:val="0076684A"/>
    <w:rsid w:val="00766FA8"/>
    <w:rsid w:val="00767220"/>
    <w:rsid w:val="007674BB"/>
    <w:rsid w:val="007677E3"/>
    <w:rsid w:val="00767956"/>
    <w:rsid w:val="00767CF5"/>
    <w:rsid w:val="00770298"/>
    <w:rsid w:val="00770851"/>
    <w:rsid w:val="007712CC"/>
    <w:rsid w:val="00771449"/>
    <w:rsid w:val="00771DE6"/>
    <w:rsid w:val="007723AB"/>
    <w:rsid w:val="0077273F"/>
    <w:rsid w:val="0077276B"/>
    <w:rsid w:val="00772DC1"/>
    <w:rsid w:val="0077359B"/>
    <w:rsid w:val="00773929"/>
    <w:rsid w:val="00773EA7"/>
    <w:rsid w:val="00773F40"/>
    <w:rsid w:val="007741AD"/>
    <w:rsid w:val="00774632"/>
    <w:rsid w:val="00774845"/>
    <w:rsid w:val="00774939"/>
    <w:rsid w:val="00774BF7"/>
    <w:rsid w:val="00774FC7"/>
    <w:rsid w:val="00775065"/>
    <w:rsid w:val="0077516A"/>
    <w:rsid w:val="007751D6"/>
    <w:rsid w:val="007752C1"/>
    <w:rsid w:val="0077620D"/>
    <w:rsid w:val="00777B6C"/>
    <w:rsid w:val="00780CB0"/>
    <w:rsid w:val="00780DDA"/>
    <w:rsid w:val="00780E7A"/>
    <w:rsid w:val="0078199F"/>
    <w:rsid w:val="00781B81"/>
    <w:rsid w:val="0078208C"/>
    <w:rsid w:val="007832B7"/>
    <w:rsid w:val="007834A7"/>
    <w:rsid w:val="00783622"/>
    <w:rsid w:val="00783BC4"/>
    <w:rsid w:val="00784247"/>
    <w:rsid w:val="00784380"/>
    <w:rsid w:val="007847B2"/>
    <w:rsid w:val="007856F7"/>
    <w:rsid w:val="007856FB"/>
    <w:rsid w:val="00785952"/>
    <w:rsid w:val="00785D84"/>
    <w:rsid w:val="00786160"/>
    <w:rsid w:val="007865FD"/>
    <w:rsid w:val="00786755"/>
    <w:rsid w:val="00787111"/>
    <w:rsid w:val="00787136"/>
    <w:rsid w:val="0078751B"/>
    <w:rsid w:val="00787713"/>
    <w:rsid w:val="00787B90"/>
    <w:rsid w:val="00787DB1"/>
    <w:rsid w:val="007903A5"/>
    <w:rsid w:val="00790892"/>
    <w:rsid w:val="00790EDD"/>
    <w:rsid w:val="007916D3"/>
    <w:rsid w:val="00791723"/>
    <w:rsid w:val="0079176D"/>
    <w:rsid w:val="0079192B"/>
    <w:rsid w:val="00791D57"/>
    <w:rsid w:val="0079285B"/>
    <w:rsid w:val="007928E2"/>
    <w:rsid w:val="00793305"/>
    <w:rsid w:val="007936B7"/>
    <w:rsid w:val="007938A2"/>
    <w:rsid w:val="00793C99"/>
    <w:rsid w:val="0079429D"/>
    <w:rsid w:val="007946C7"/>
    <w:rsid w:val="007948EB"/>
    <w:rsid w:val="00794959"/>
    <w:rsid w:val="007950FC"/>
    <w:rsid w:val="0079531F"/>
    <w:rsid w:val="0079542D"/>
    <w:rsid w:val="00795C22"/>
    <w:rsid w:val="00795D1A"/>
    <w:rsid w:val="00796100"/>
    <w:rsid w:val="00796F9C"/>
    <w:rsid w:val="007972B8"/>
    <w:rsid w:val="00797518"/>
    <w:rsid w:val="007975C6"/>
    <w:rsid w:val="00797CA2"/>
    <w:rsid w:val="007A003F"/>
    <w:rsid w:val="007A0244"/>
    <w:rsid w:val="007A03E9"/>
    <w:rsid w:val="007A052A"/>
    <w:rsid w:val="007A132F"/>
    <w:rsid w:val="007A1965"/>
    <w:rsid w:val="007A1D0B"/>
    <w:rsid w:val="007A1D7F"/>
    <w:rsid w:val="007A1EAE"/>
    <w:rsid w:val="007A2789"/>
    <w:rsid w:val="007A33DB"/>
    <w:rsid w:val="007A35FD"/>
    <w:rsid w:val="007A374F"/>
    <w:rsid w:val="007A3851"/>
    <w:rsid w:val="007A3ABD"/>
    <w:rsid w:val="007A437C"/>
    <w:rsid w:val="007A48D5"/>
    <w:rsid w:val="007A4937"/>
    <w:rsid w:val="007A4B56"/>
    <w:rsid w:val="007A54CF"/>
    <w:rsid w:val="007A5DDD"/>
    <w:rsid w:val="007A69E4"/>
    <w:rsid w:val="007A69F1"/>
    <w:rsid w:val="007A6B90"/>
    <w:rsid w:val="007B00EC"/>
    <w:rsid w:val="007B0338"/>
    <w:rsid w:val="007B042B"/>
    <w:rsid w:val="007B0520"/>
    <w:rsid w:val="007B0D43"/>
    <w:rsid w:val="007B2232"/>
    <w:rsid w:val="007B23F3"/>
    <w:rsid w:val="007B2C11"/>
    <w:rsid w:val="007B3103"/>
    <w:rsid w:val="007B3232"/>
    <w:rsid w:val="007B3A54"/>
    <w:rsid w:val="007B3CDE"/>
    <w:rsid w:val="007B46E7"/>
    <w:rsid w:val="007B4A00"/>
    <w:rsid w:val="007B531F"/>
    <w:rsid w:val="007B5555"/>
    <w:rsid w:val="007B5594"/>
    <w:rsid w:val="007B644C"/>
    <w:rsid w:val="007B65F8"/>
    <w:rsid w:val="007B65FB"/>
    <w:rsid w:val="007B67E5"/>
    <w:rsid w:val="007B6A6D"/>
    <w:rsid w:val="007B6F41"/>
    <w:rsid w:val="007B7AAF"/>
    <w:rsid w:val="007B7CED"/>
    <w:rsid w:val="007C0947"/>
    <w:rsid w:val="007C0C56"/>
    <w:rsid w:val="007C1A3C"/>
    <w:rsid w:val="007C2111"/>
    <w:rsid w:val="007C22C8"/>
    <w:rsid w:val="007C26F4"/>
    <w:rsid w:val="007C27F2"/>
    <w:rsid w:val="007C2C9D"/>
    <w:rsid w:val="007C302F"/>
    <w:rsid w:val="007C3117"/>
    <w:rsid w:val="007C3340"/>
    <w:rsid w:val="007C3562"/>
    <w:rsid w:val="007C36C8"/>
    <w:rsid w:val="007C43D8"/>
    <w:rsid w:val="007C5145"/>
    <w:rsid w:val="007C59E0"/>
    <w:rsid w:val="007C5ABE"/>
    <w:rsid w:val="007C5C1F"/>
    <w:rsid w:val="007C5F6A"/>
    <w:rsid w:val="007C65B5"/>
    <w:rsid w:val="007C66D0"/>
    <w:rsid w:val="007C6AD8"/>
    <w:rsid w:val="007C6ED7"/>
    <w:rsid w:val="007C732C"/>
    <w:rsid w:val="007C76F3"/>
    <w:rsid w:val="007C7DF4"/>
    <w:rsid w:val="007D0885"/>
    <w:rsid w:val="007D1565"/>
    <w:rsid w:val="007D23C8"/>
    <w:rsid w:val="007D2615"/>
    <w:rsid w:val="007D2862"/>
    <w:rsid w:val="007D2943"/>
    <w:rsid w:val="007D30B5"/>
    <w:rsid w:val="007D3205"/>
    <w:rsid w:val="007D348B"/>
    <w:rsid w:val="007D34FA"/>
    <w:rsid w:val="007D35BB"/>
    <w:rsid w:val="007D3A8A"/>
    <w:rsid w:val="007D405F"/>
    <w:rsid w:val="007D41AF"/>
    <w:rsid w:val="007D460B"/>
    <w:rsid w:val="007D4638"/>
    <w:rsid w:val="007D4EAE"/>
    <w:rsid w:val="007D50E3"/>
    <w:rsid w:val="007D57AF"/>
    <w:rsid w:val="007D5C23"/>
    <w:rsid w:val="007D5E16"/>
    <w:rsid w:val="007D5F63"/>
    <w:rsid w:val="007D6E84"/>
    <w:rsid w:val="007D71A8"/>
    <w:rsid w:val="007D749C"/>
    <w:rsid w:val="007D7812"/>
    <w:rsid w:val="007E0252"/>
    <w:rsid w:val="007E0601"/>
    <w:rsid w:val="007E0993"/>
    <w:rsid w:val="007E0E9D"/>
    <w:rsid w:val="007E11D1"/>
    <w:rsid w:val="007E126D"/>
    <w:rsid w:val="007E1305"/>
    <w:rsid w:val="007E13B2"/>
    <w:rsid w:val="007E16F5"/>
    <w:rsid w:val="007E1850"/>
    <w:rsid w:val="007E1DC0"/>
    <w:rsid w:val="007E2174"/>
    <w:rsid w:val="007E22D1"/>
    <w:rsid w:val="007E256E"/>
    <w:rsid w:val="007E2C2B"/>
    <w:rsid w:val="007E2E7A"/>
    <w:rsid w:val="007E2F36"/>
    <w:rsid w:val="007E3355"/>
    <w:rsid w:val="007E34B5"/>
    <w:rsid w:val="007E3B02"/>
    <w:rsid w:val="007E4784"/>
    <w:rsid w:val="007E484A"/>
    <w:rsid w:val="007E4969"/>
    <w:rsid w:val="007E4D7A"/>
    <w:rsid w:val="007E5152"/>
    <w:rsid w:val="007E5BC4"/>
    <w:rsid w:val="007E5D2F"/>
    <w:rsid w:val="007E6291"/>
    <w:rsid w:val="007E6BB1"/>
    <w:rsid w:val="007E6D8E"/>
    <w:rsid w:val="007E75B8"/>
    <w:rsid w:val="007E789D"/>
    <w:rsid w:val="007F16DB"/>
    <w:rsid w:val="007F18CF"/>
    <w:rsid w:val="007F3108"/>
    <w:rsid w:val="007F358C"/>
    <w:rsid w:val="007F38DC"/>
    <w:rsid w:val="007F3EC6"/>
    <w:rsid w:val="007F4996"/>
    <w:rsid w:val="007F4DF8"/>
    <w:rsid w:val="007F55E9"/>
    <w:rsid w:val="007F589A"/>
    <w:rsid w:val="007F58AE"/>
    <w:rsid w:val="007F5A41"/>
    <w:rsid w:val="007F5C7E"/>
    <w:rsid w:val="007F5C8A"/>
    <w:rsid w:val="007F6B16"/>
    <w:rsid w:val="007F6ECA"/>
    <w:rsid w:val="007F77DD"/>
    <w:rsid w:val="007F77E5"/>
    <w:rsid w:val="008006DF"/>
    <w:rsid w:val="00800C27"/>
    <w:rsid w:val="008010AF"/>
    <w:rsid w:val="00801583"/>
    <w:rsid w:val="008019A2"/>
    <w:rsid w:val="00801B24"/>
    <w:rsid w:val="008022FA"/>
    <w:rsid w:val="00802532"/>
    <w:rsid w:val="00802603"/>
    <w:rsid w:val="00802842"/>
    <w:rsid w:val="00802956"/>
    <w:rsid w:val="008029A3"/>
    <w:rsid w:val="00802BDB"/>
    <w:rsid w:val="00802D88"/>
    <w:rsid w:val="0080309B"/>
    <w:rsid w:val="0080329D"/>
    <w:rsid w:val="00803504"/>
    <w:rsid w:val="00803955"/>
    <w:rsid w:val="008041E9"/>
    <w:rsid w:val="00804854"/>
    <w:rsid w:val="00804CAB"/>
    <w:rsid w:val="0080530F"/>
    <w:rsid w:val="00805524"/>
    <w:rsid w:val="00805B8A"/>
    <w:rsid w:val="00805C4E"/>
    <w:rsid w:val="00805E68"/>
    <w:rsid w:val="00806056"/>
    <w:rsid w:val="00806542"/>
    <w:rsid w:val="00806D23"/>
    <w:rsid w:val="00807280"/>
    <w:rsid w:val="00807527"/>
    <w:rsid w:val="008075D4"/>
    <w:rsid w:val="00807B3E"/>
    <w:rsid w:val="008100B3"/>
    <w:rsid w:val="008107C5"/>
    <w:rsid w:val="00810B1B"/>
    <w:rsid w:val="00811559"/>
    <w:rsid w:val="0081156F"/>
    <w:rsid w:val="00811996"/>
    <w:rsid w:val="00812434"/>
    <w:rsid w:val="008131CC"/>
    <w:rsid w:val="008137E0"/>
    <w:rsid w:val="00813AF3"/>
    <w:rsid w:val="008144FA"/>
    <w:rsid w:val="00814617"/>
    <w:rsid w:val="00814F1A"/>
    <w:rsid w:val="00815685"/>
    <w:rsid w:val="00816457"/>
    <w:rsid w:val="008168BB"/>
    <w:rsid w:val="00816A3B"/>
    <w:rsid w:val="008171F2"/>
    <w:rsid w:val="008205E0"/>
    <w:rsid w:val="00820C24"/>
    <w:rsid w:val="00820F0C"/>
    <w:rsid w:val="0082141B"/>
    <w:rsid w:val="00821980"/>
    <w:rsid w:val="00821AA9"/>
    <w:rsid w:val="0082217A"/>
    <w:rsid w:val="0082253F"/>
    <w:rsid w:val="00822CD9"/>
    <w:rsid w:val="008238F0"/>
    <w:rsid w:val="00823B5F"/>
    <w:rsid w:val="00823C0D"/>
    <w:rsid w:val="00824854"/>
    <w:rsid w:val="00824B7E"/>
    <w:rsid w:val="00825773"/>
    <w:rsid w:val="00825E4E"/>
    <w:rsid w:val="00826848"/>
    <w:rsid w:val="00826A07"/>
    <w:rsid w:val="00826F9A"/>
    <w:rsid w:val="00826FDC"/>
    <w:rsid w:val="00827563"/>
    <w:rsid w:val="00830FB8"/>
    <w:rsid w:val="00831564"/>
    <w:rsid w:val="00831C14"/>
    <w:rsid w:val="00831D34"/>
    <w:rsid w:val="00831FAC"/>
    <w:rsid w:val="008327F1"/>
    <w:rsid w:val="008334D2"/>
    <w:rsid w:val="0083358D"/>
    <w:rsid w:val="00833685"/>
    <w:rsid w:val="00834233"/>
    <w:rsid w:val="008343D7"/>
    <w:rsid w:val="008348A7"/>
    <w:rsid w:val="00834DF7"/>
    <w:rsid w:val="008352FA"/>
    <w:rsid w:val="00835D17"/>
    <w:rsid w:val="00835EE9"/>
    <w:rsid w:val="008368A0"/>
    <w:rsid w:val="00836A3B"/>
    <w:rsid w:val="00836F22"/>
    <w:rsid w:val="00837704"/>
    <w:rsid w:val="00837B71"/>
    <w:rsid w:val="0084090C"/>
    <w:rsid w:val="00840AB2"/>
    <w:rsid w:val="00840CA3"/>
    <w:rsid w:val="0084112A"/>
    <w:rsid w:val="008415B0"/>
    <w:rsid w:val="008417A5"/>
    <w:rsid w:val="00841921"/>
    <w:rsid w:val="00842D56"/>
    <w:rsid w:val="00842D8E"/>
    <w:rsid w:val="00842E9B"/>
    <w:rsid w:val="00843F27"/>
    <w:rsid w:val="00844573"/>
    <w:rsid w:val="00844575"/>
    <w:rsid w:val="00844C56"/>
    <w:rsid w:val="00845C17"/>
    <w:rsid w:val="00845F6A"/>
    <w:rsid w:val="0084611A"/>
    <w:rsid w:val="008464F0"/>
    <w:rsid w:val="00846C2C"/>
    <w:rsid w:val="00846EBA"/>
    <w:rsid w:val="008479E9"/>
    <w:rsid w:val="00847FEC"/>
    <w:rsid w:val="008500A4"/>
    <w:rsid w:val="0085083E"/>
    <w:rsid w:val="0085129C"/>
    <w:rsid w:val="00851A12"/>
    <w:rsid w:val="00851EDD"/>
    <w:rsid w:val="00852498"/>
    <w:rsid w:val="00852675"/>
    <w:rsid w:val="00852853"/>
    <w:rsid w:val="00853251"/>
    <w:rsid w:val="00853F38"/>
    <w:rsid w:val="00854301"/>
    <w:rsid w:val="0085464D"/>
    <w:rsid w:val="0085532F"/>
    <w:rsid w:val="0085558B"/>
    <w:rsid w:val="008558C2"/>
    <w:rsid w:val="00855B7E"/>
    <w:rsid w:val="00856082"/>
    <w:rsid w:val="00856272"/>
    <w:rsid w:val="008565B6"/>
    <w:rsid w:val="008567F2"/>
    <w:rsid w:val="008570AA"/>
    <w:rsid w:val="008576F7"/>
    <w:rsid w:val="00857ABB"/>
    <w:rsid w:val="00860E07"/>
    <w:rsid w:val="008613AD"/>
    <w:rsid w:val="00861658"/>
    <w:rsid w:val="0086223C"/>
    <w:rsid w:val="00862AC9"/>
    <w:rsid w:val="00862C97"/>
    <w:rsid w:val="00862E2B"/>
    <w:rsid w:val="0086301E"/>
    <w:rsid w:val="00863443"/>
    <w:rsid w:val="008635E8"/>
    <w:rsid w:val="00863896"/>
    <w:rsid w:val="00863B73"/>
    <w:rsid w:val="00864090"/>
    <w:rsid w:val="0086474F"/>
    <w:rsid w:val="00864866"/>
    <w:rsid w:val="00865439"/>
    <w:rsid w:val="00865E8E"/>
    <w:rsid w:val="00865FC0"/>
    <w:rsid w:val="00865FEB"/>
    <w:rsid w:val="0086635F"/>
    <w:rsid w:val="0086659F"/>
    <w:rsid w:val="008668D8"/>
    <w:rsid w:val="00866B3B"/>
    <w:rsid w:val="0086723F"/>
    <w:rsid w:val="00867F3B"/>
    <w:rsid w:val="00870254"/>
    <w:rsid w:val="008706F9"/>
    <w:rsid w:val="00870904"/>
    <w:rsid w:val="00871BBB"/>
    <w:rsid w:val="00872A5E"/>
    <w:rsid w:val="00873159"/>
    <w:rsid w:val="0087368D"/>
    <w:rsid w:val="00873CDE"/>
    <w:rsid w:val="0087411D"/>
    <w:rsid w:val="00874124"/>
    <w:rsid w:val="0087452E"/>
    <w:rsid w:val="00874C18"/>
    <w:rsid w:val="008753CE"/>
    <w:rsid w:val="00875458"/>
    <w:rsid w:val="00875CFC"/>
    <w:rsid w:val="00876925"/>
    <w:rsid w:val="00876D9C"/>
    <w:rsid w:val="00876E0C"/>
    <w:rsid w:val="00877941"/>
    <w:rsid w:val="0088016F"/>
    <w:rsid w:val="00880359"/>
    <w:rsid w:val="0088062D"/>
    <w:rsid w:val="00880775"/>
    <w:rsid w:val="0088093C"/>
    <w:rsid w:val="00880C22"/>
    <w:rsid w:val="008813ED"/>
    <w:rsid w:val="00881408"/>
    <w:rsid w:val="0088206F"/>
    <w:rsid w:val="008821CE"/>
    <w:rsid w:val="00882419"/>
    <w:rsid w:val="00882656"/>
    <w:rsid w:val="008828A3"/>
    <w:rsid w:val="00882AC4"/>
    <w:rsid w:val="00882C3A"/>
    <w:rsid w:val="00882E59"/>
    <w:rsid w:val="00882F88"/>
    <w:rsid w:val="00882FBB"/>
    <w:rsid w:val="008836B3"/>
    <w:rsid w:val="00883835"/>
    <w:rsid w:val="00883BBB"/>
    <w:rsid w:val="00884527"/>
    <w:rsid w:val="00885359"/>
    <w:rsid w:val="00885429"/>
    <w:rsid w:val="00885679"/>
    <w:rsid w:val="00885C46"/>
    <w:rsid w:val="00886054"/>
    <w:rsid w:val="008861F4"/>
    <w:rsid w:val="008862FF"/>
    <w:rsid w:val="00886368"/>
    <w:rsid w:val="008863AF"/>
    <w:rsid w:val="0088661D"/>
    <w:rsid w:val="00886FAE"/>
    <w:rsid w:val="008873BC"/>
    <w:rsid w:val="00887570"/>
    <w:rsid w:val="0088767A"/>
    <w:rsid w:val="0088784B"/>
    <w:rsid w:val="00887EF2"/>
    <w:rsid w:val="00887F50"/>
    <w:rsid w:val="00890D94"/>
    <w:rsid w:val="00891296"/>
    <w:rsid w:val="00891C65"/>
    <w:rsid w:val="00891F39"/>
    <w:rsid w:val="008926BA"/>
    <w:rsid w:val="00892D2C"/>
    <w:rsid w:val="008931E4"/>
    <w:rsid w:val="00893531"/>
    <w:rsid w:val="00893542"/>
    <w:rsid w:val="008935DC"/>
    <w:rsid w:val="008952DA"/>
    <w:rsid w:val="00895D20"/>
    <w:rsid w:val="008961A9"/>
    <w:rsid w:val="00896491"/>
    <w:rsid w:val="00896516"/>
    <w:rsid w:val="00896C8F"/>
    <w:rsid w:val="008974AC"/>
    <w:rsid w:val="00897720"/>
    <w:rsid w:val="008978AE"/>
    <w:rsid w:val="008A0865"/>
    <w:rsid w:val="008A0E68"/>
    <w:rsid w:val="008A13FF"/>
    <w:rsid w:val="008A1A5C"/>
    <w:rsid w:val="008A1CC1"/>
    <w:rsid w:val="008A1E03"/>
    <w:rsid w:val="008A35E0"/>
    <w:rsid w:val="008A36DB"/>
    <w:rsid w:val="008A3E92"/>
    <w:rsid w:val="008A400C"/>
    <w:rsid w:val="008A4564"/>
    <w:rsid w:val="008A583D"/>
    <w:rsid w:val="008A5A69"/>
    <w:rsid w:val="008A62B9"/>
    <w:rsid w:val="008A6399"/>
    <w:rsid w:val="008A64F6"/>
    <w:rsid w:val="008A65BF"/>
    <w:rsid w:val="008A664A"/>
    <w:rsid w:val="008A6C2A"/>
    <w:rsid w:val="008A7369"/>
    <w:rsid w:val="008A7491"/>
    <w:rsid w:val="008A74DB"/>
    <w:rsid w:val="008A7562"/>
    <w:rsid w:val="008A75A2"/>
    <w:rsid w:val="008B053E"/>
    <w:rsid w:val="008B064A"/>
    <w:rsid w:val="008B09BE"/>
    <w:rsid w:val="008B0CF2"/>
    <w:rsid w:val="008B14BA"/>
    <w:rsid w:val="008B1B8B"/>
    <w:rsid w:val="008B2F0F"/>
    <w:rsid w:val="008B34C3"/>
    <w:rsid w:val="008B34F4"/>
    <w:rsid w:val="008B35FF"/>
    <w:rsid w:val="008B3914"/>
    <w:rsid w:val="008B3B34"/>
    <w:rsid w:val="008B44DB"/>
    <w:rsid w:val="008B4ECD"/>
    <w:rsid w:val="008B55B0"/>
    <w:rsid w:val="008B685F"/>
    <w:rsid w:val="008B6C99"/>
    <w:rsid w:val="008B6CE4"/>
    <w:rsid w:val="008B6E05"/>
    <w:rsid w:val="008B6EF6"/>
    <w:rsid w:val="008B7925"/>
    <w:rsid w:val="008B79E4"/>
    <w:rsid w:val="008B7BB3"/>
    <w:rsid w:val="008B7C50"/>
    <w:rsid w:val="008B7C74"/>
    <w:rsid w:val="008B7E9E"/>
    <w:rsid w:val="008C008E"/>
    <w:rsid w:val="008C00B2"/>
    <w:rsid w:val="008C051E"/>
    <w:rsid w:val="008C0570"/>
    <w:rsid w:val="008C09AB"/>
    <w:rsid w:val="008C1223"/>
    <w:rsid w:val="008C235C"/>
    <w:rsid w:val="008C2438"/>
    <w:rsid w:val="008C27B4"/>
    <w:rsid w:val="008C2834"/>
    <w:rsid w:val="008C29DE"/>
    <w:rsid w:val="008C29FA"/>
    <w:rsid w:val="008C2DE1"/>
    <w:rsid w:val="008C3000"/>
    <w:rsid w:val="008C3428"/>
    <w:rsid w:val="008C3697"/>
    <w:rsid w:val="008C3A07"/>
    <w:rsid w:val="008C3C0B"/>
    <w:rsid w:val="008C41AF"/>
    <w:rsid w:val="008C47C2"/>
    <w:rsid w:val="008C56A5"/>
    <w:rsid w:val="008C59E1"/>
    <w:rsid w:val="008C59E3"/>
    <w:rsid w:val="008C6085"/>
    <w:rsid w:val="008C70F8"/>
    <w:rsid w:val="008C7166"/>
    <w:rsid w:val="008C7242"/>
    <w:rsid w:val="008C7964"/>
    <w:rsid w:val="008C7F04"/>
    <w:rsid w:val="008D0638"/>
    <w:rsid w:val="008D0C02"/>
    <w:rsid w:val="008D12ED"/>
    <w:rsid w:val="008D1630"/>
    <w:rsid w:val="008D1F0B"/>
    <w:rsid w:val="008D201F"/>
    <w:rsid w:val="008D2272"/>
    <w:rsid w:val="008D22EC"/>
    <w:rsid w:val="008D272F"/>
    <w:rsid w:val="008D27BC"/>
    <w:rsid w:val="008D3299"/>
    <w:rsid w:val="008D3674"/>
    <w:rsid w:val="008D3FC4"/>
    <w:rsid w:val="008D4195"/>
    <w:rsid w:val="008D499A"/>
    <w:rsid w:val="008D4A08"/>
    <w:rsid w:val="008D4DA3"/>
    <w:rsid w:val="008D5A64"/>
    <w:rsid w:val="008D5FE8"/>
    <w:rsid w:val="008D6152"/>
    <w:rsid w:val="008D63C6"/>
    <w:rsid w:val="008D6464"/>
    <w:rsid w:val="008D6807"/>
    <w:rsid w:val="008D71E1"/>
    <w:rsid w:val="008D7583"/>
    <w:rsid w:val="008E02F3"/>
    <w:rsid w:val="008E0DF0"/>
    <w:rsid w:val="008E0FFF"/>
    <w:rsid w:val="008E1683"/>
    <w:rsid w:val="008E16F9"/>
    <w:rsid w:val="008E1B2E"/>
    <w:rsid w:val="008E1DF2"/>
    <w:rsid w:val="008E2413"/>
    <w:rsid w:val="008E28A0"/>
    <w:rsid w:val="008E2ACA"/>
    <w:rsid w:val="008E2E02"/>
    <w:rsid w:val="008E3392"/>
    <w:rsid w:val="008E36A3"/>
    <w:rsid w:val="008E3786"/>
    <w:rsid w:val="008E3A93"/>
    <w:rsid w:val="008E3C1A"/>
    <w:rsid w:val="008E40EB"/>
    <w:rsid w:val="008E4ED5"/>
    <w:rsid w:val="008E6566"/>
    <w:rsid w:val="008E6C01"/>
    <w:rsid w:val="008E6DFB"/>
    <w:rsid w:val="008E6E9F"/>
    <w:rsid w:val="008E6FC3"/>
    <w:rsid w:val="008E76A7"/>
    <w:rsid w:val="008E7FAF"/>
    <w:rsid w:val="008F06ED"/>
    <w:rsid w:val="008F0CD0"/>
    <w:rsid w:val="008F0E77"/>
    <w:rsid w:val="008F1C57"/>
    <w:rsid w:val="008F2236"/>
    <w:rsid w:val="008F2C64"/>
    <w:rsid w:val="008F3308"/>
    <w:rsid w:val="008F3D80"/>
    <w:rsid w:val="008F53FE"/>
    <w:rsid w:val="008F5533"/>
    <w:rsid w:val="008F5628"/>
    <w:rsid w:val="008F587E"/>
    <w:rsid w:val="008F63FC"/>
    <w:rsid w:val="008F6500"/>
    <w:rsid w:val="008F73EE"/>
    <w:rsid w:val="009002F4"/>
    <w:rsid w:val="00900A7C"/>
    <w:rsid w:val="009013C4"/>
    <w:rsid w:val="00901406"/>
    <w:rsid w:val="00901880"/>
    <w:rsid w:val="00901DE3"/>
    <w:rsid w:val="00901F5B"/>
    <w:rsid w:val="0090312E"/>
    <w:rsid w:val="00903231"/>
    <w:rsid w:val="0090323D"/>
    <w:rsid w:val="00903285"/>
    <w:rsid w:val="0090365C"/>
    <w:rsid w:val="00903805"/>
    <w:rsid w:val="009040DE"/>
    <w:rsid w:val="00904101"/>
    <w:rsid w:val="00904ED7"/>
    <w:rsid w:val="00904FDD"/>
    <w:rsid w:val="009051AD"/>
    <w:rsid w:val="009051CE"/>
    <w:rsid w:val="009055CB"/>
    <w:rsid w:val="009059DF"/>
    <w:rsid w:val="00905AB9"/>
    <w:rsid w:val="00905D1C"/>
    <w:rsid w:val="00905E97"/>
    <w:rsid w:val="009064A0"/>
    <w:rsid w:val="009069C0"/>
    <w:rsid w:val="00906D56"/>
    <w:rsid w:val="009073B7"/>
    <w:rsid w:val="00907562"/>
    <w:rsid w:val="0090766C"/>
    <w:rsid w:val="00907AEF"/>
    <w:rsid w:val="009104BE"/>
    <w:rsid w:val="00910DA0"/>
    <w:rsid w:val="00910DE0"/>
    <w:rsid w:val="00910F38"/>
    <w:rsid w:val="00910FB9"/>
    <w:rsid w:val="0091102F"/>
    <w:rsid w:val="00911D25"/>
    <w:rsid w:val="00912DD4"/>
    <w:rsid w:val="009130C4"/>
    <w:rsid w:val="009138A1"/>
    <w:rsid w:val="00913D07"/>
    <w:rsid w:val="00913D38"/>
    <w:rsid w:val="00913D48"/>
    <w:rsid w:val="00913E7B"/>
    <w:rsid w:val="0091400A"/>
    <w:rsid w:val="00914055"/>
    <w:rsid w:val="009143E2"/>
    <w:rsid w:val="009145F2"/>
    <w:rsid w:val="00915146"/>
    <w:rsid w:val="00915520"/>
    <w:rsid w:val="00915C2A"/>
    <w:rsid w:val="00915DAA"/>
    <w:rsid w:val="00916580"/>
    <w:rsid w:val="009169E3"/>
    <w:rsid w:val="0091715D"/>
    <w:rsid w:val="0091746D"/>
    <w:rsid w:val="009179EE"/>
    <w:rsid w:val="00917B30"/>
    <w:rsid w:val="00920279"/>
    <w:rsid w:val="00921556"/>
    <w:rsid w:val="009216B7"/>
    <w:rsid w:val="009217FC"/>
    <w:rsid w:val="0092181D"/>
    <w:rsid w:val="00921C52"/>
    <w:rsid w:val="009220E1"/>
    <w:rsid w:val="009226FF"/>
    <w:rsid w:val="009227DF"/>
    <w:rsid w:val="00922BF1"/>
    <w:rsid w:val="00922DDF"/>
    <w:rsid w:val="00923163"/>
    <w:rsid w:val="0092334C"/>
    <w:rsid w:val="0092412A"/>
    <w:rsid w:val="00924E47"/>
    <w:rsid w:val="00925033"/>
    <w:rsid w:val="0092516A"/>
    <w:rsid w:val="009258D3"/>
    <w:rsid w:val="00925D08"/>
    <w:rsid w:val="00925E0F"/>
    <w:rsid w:val="00926D97"/>
    <w:rsid w:val="00926E98"/>
    <w:rsid w:val="0092758B"/>
    <w:rsid w:val="0093049E"/>
    <w:rsid w:val="00930A54"/>
    <w:rsid w:val="00930D30"/>
    <w:rsid w:val="0093120D"/>
    <w:rsid w:val="00932D24"/>
    <w:rsid w:val="00933044"/>
    <w:rsid w:val="00933514"/>
    <w:rsid w:val="009337DC"/>
    <w:rsid w:val="00933947"/>
    <w:rsid w:val="00933EED"/>
    <w:rsid w:val="00934305"/>
    <w:rsid w:val="0093449D"/>
    <w:rsid w:val="0093506C"/>
    <w:rsid w:val="009350E8"/>
    <w:rsid w:val="00935DBD"/>
    <w:rsid w:val="009362D5"/>
    <w:rsid w:val="00937107"/>
    <w:rsid w:val="0093744F"/>
    <w:rsid w:val="00937EE3"/>
    <w:rsid w:val="009407E9"/>
    <w:rsid w:val="00940A57"/>
    <w:rsid w:val="00940AB2"/>
    <w:rsid w:val="009411F6"/>
    <w:rsid w:val="00941A0B"/>
    <w:rsid w:val="00941B44"/>
    <w:rsid w:val="0094222D"/>
    <w:rsid w:val="009433DC"/>
    <w:rsid w:val="0094386E"/>
    <w:rsid w:val="009438E2"/>
    <w:rsid w:val="00943CE1"/>
    <w:rsid w:val="00943D25"/>
    <w:rsid w:val="00943F2F"/>
    <w:rsid w:val="009440E8"/>
    <w:rsid w:val="009443C3"/>
    <w:rsid w:val="0094476B"/>
    <w:rsid w:val="00944F45"/>
    <w:rsid w:val="00944F76"/>
    <w:rsid w:val="00945FCD"/>
    <w:rsid w:val="00946567"/>
    <w:rsid w:val="00946DE6"/>
    <w:rsid w:val="009471C8"/>
    <w:rsid w:val="00947D1D"/>
    <w:rsid w:val="0095022B"/>
    <w:rsid w:val="009505AF"/>
    <w:rsid w:val="00950768"/>
    <w:rsid w:val="00950ABF"/>
    <w:rsid w:val="0095113F"/>
    <w:rsid w:val="00951665"/>
    <w:rsid w:val="00951E05"/>
    <w:rsid w:val="009523BC"/>
    <w:rsid w:val="0095283A"/>
    <w:rsid w:val="009530CA"/>
    <w:rsid w:val="00953295"/>
    <w:rsid w:val="009533D4"/>
    <w:rsid w:val="009536C0"/>
    <w:rsid w:val="00953D13"/>
    <w:rsid w:val="00954213"/>
    <w:rsid w:val="0095551E"/>
    <w:rsid w:val="0095569C"/>
    <w:rsid w:val="009557E6"/>
    <w:rsid w:val="0095582A"/>
    <w:rsid w:val="00955A0A"/>
    <w:rsid w:val="00956181"/>
    <w:rsid w:val="009564EA"/>
    <w:rsid w:val="00956792"/>
    <w:rsid w:val="00956B12"/>
    <w:rsid w:val="0095759B"/>
    <w:rsid w:val="009575AE"/>
    <w:rsid w:val="0096037C"/>
    <w:rsid w:val="009605C3"/>
    <w:rsid w:val="009607E8"/>
    <w:rsid w:val="00960AEF"/>
    <w:rsid w:val="00960D2C"/>
    <w:rsid w:val="00963438"/>
    <w:rsid w:val="00963AE9"/>
    <w:rsid w:val="00963B0D"/>
    <w:rsid w:val="00964404"/>
    <w:rsid w:val="00964B6A"/>
    <w:rsid w:val="009650DB"/>
    <w:rsid w:val="00965858"/>
    <w:rsid w:val="00965FDB"/>
    <w:rsid w:val="009663CE"/>
    <w:rsid w:val="00966666"/>
    <w:rsid w:val="00966A87"/>
    <w:rsid w:val="00967241"/>
    <w:rsid w:val="00967291"/>
    <w:rsid w:val="00967638"/>
    <w:rsid w:val="00967B29"/>
    <w:rsid w:val="00967D7E"/>
    <w:rsid w:val="00967EB5"/>
    <w:rsid w:val="0097012A"/>
    <w:rsid w:val="0097016E"/>
    <w:rsid w:val="00970409"/>
    <w:rsid w:val="0097053B"/>
    <w:rsid w:val="009716E8"/>
    <w:rsid w:val="0097194C"/>
    <w:rsid w:val="009719AC"/>
    <w:rsid w:val="00972C25"/>
    <w:rsid w:val="0097371B"/>
    <w:rsid w:val="00973AC9"/>
    <w:rsid w:val="009744F6"/>
    <w:rsid w:val="0097452C"/>
    <w:rsid w:val="00974D37"/>
    <w:rsid w:val="00974E44"/>
    <w:rsid w:val="00975BB0"/>
    <w:rsid w:val="009762B2"/>
    <w:rsid w:val="009764A4"/>
    <w:rsid w:val="009766E3"/>
    <w:rsid w:val="00976AE2"/>
    <w:rsid w:val="009771AA"/>
    <w:rsid w:val="009772B5"/>
    <w:rsid w:val="00977D28"/>
    <w:rsid w:val="009801F0"/>
    <w:rsid w:val="00980724"/>
    <w:rsid w:val="009808B0"/>
    <w:rsid w:val="00980A7E"/>
    <w:rsid w:val="0098151F"/>
    <w:rsid w:val="00981931"/>
    <w:rsid w:val="00981E49"/>
    <w:rsid w:val="0098227B"/>
    <w:rsid w:val="009822D7"/>
    <w:rsid w:val="009822F0"/>
    <w:rsid w:val="00983A67"/>
    <w:rsid w:val="00983E17"/>
    <w:rsid w:val="00983E55"/>
    <w:rsid w:val="009845F0"/>
    <w:rsid w:val="00984DC9"/>
    <w:rsid w:val="00985AA7"/>
    <w:rsid w:val="009864CF"/>
    <w:rsid w:val="009868D4"/>
    <w:rsid w:val="009871B6"/>
    <w:rsid w:val="0099031D"/>
    <w:rsid w:val="009909C3"/>
    <w:rsid w:val="00990AFE"/>
    <w:rsid w:val="00990E27"/>
    <w:rsid w:val="0099166B"/>
    <w:rsid w:val="00991EB4"/>
    <w:rsid w:val="00991FA8"/>
    <w:rsid w:val="00991FF1"/>
    <w:rsid w:val="009920CF"/>
    <w:rsid w:val="009920D7"/>
    <w:rsid w:val="009923F4"/>
    <w:rsid w:val="009928A8"/>
    <w:rsid w:val="00992BAF"/>
    <w:rsid w:val="00992E7A"/>
    <w:rsid w:val="00992F43"/>
    <w:rsid w:val="00993871"/>
    <w:rsid w:val="009939D5"/>
    <w:rsid w:val="00993AF3"/>
    <w:rsid w:val="00994481"/>
    <w:rsid w:val="00994B0B"/>
    <w:rsid w:val="00994C2B"/>
    <w:rsid w:val="00994DAF"/>
    <w:rsid w:val="009954E1"/>
    <w:rsid w:val="0099658D"/>
    <w:rsid w:val="00996896"/>
    <w:rsid w:val="00996B4D"/>
    <w:rsid w:val="00996D0D"/>
    <w:rsid w:val="00997438"/>
    <w:rsid w:val="00997EFC"/>
    <w:rsid w:val="00997F61"/>
    <w:rsid w:val="009A0AA3"/>
    <w:rsid w:val="009A0EAF"/>
    <w:rsid w:val="009A16EF"/>
    <w:rsid w:val="009A1BBD"/>
    <w:rsid w:val="009A1E6B"/>
    <w:rsid w:val="009A2CBF"/>
    <w:rsid w:val="009A2F50"/>
    <w:rsid w:val="009A30BF"/>
    <w:rsid w:val="009A3F9F"/>
    <w:rsid w:val="009A4122"/>
    <w:rsid w:val="009A41E8"/>
    <w:rsid w:val="009A430E"/>
    <w:rsid w:val="009A4C47"/>
    <w:rsid w:val="009A5E9C"/>
    <w:rsid w:val="009A636D"/>
    <w:rsid w:val="009A7525"/>
    <w:rsid w:val="009A7664"/>
    <w:rsid w:val="009A7D1E"/>
    <w:rsid w:val="009A7FB8"/>
    <w:rsid w:val="009B0013"/>
    <w:rsid w:val="009B06BC"/>
    <w:rsid w:val="009B0AC2"/>
    <w:rsid w:val="009B1169"/>
    <w:rsid w:val="009B1687"/>
    <w:rsid w:val="009B199F"/>
    <w:rsid w:val="009B1A52"/>
    <w:rsid w:val="009B1F47"/>
    <w:rsid w:val="009B2B6A"/>
    <w:rsid w:val="009B327E"/>
    <w:rsid w:val="009B339A"/>
    <w:rsid w:val="009B3680"/>
    <w:rsid w:val="009B45AF"/>
    <w:rsid w:val="009B4D71"/>
    <w:rsid w:val="009B56E8"/>
    <w:rsid w:val="009B5B45"/>
    <w:rsid w:val="009B5BC8"/>
    <w:rsid w:val="009B5BE2"/>
    <w:rsid w:val="009C0833"/>
    <w:rsid w:val="009C0E00"/>
    <w:rsid w:val="009C0F35"/>
    <w:rsid w:val="009C0FE9"/>
    <w:rsid w:val="009C120F"/>
    <w:rsid w:val="009C1AA2"/>
    <w:rsid w:val="009C29F4"/>
    <w:rsid w:val="009C2F1E"/>
    <w:rsid w:val="009C39BD"/>
    <w:rsid w:val="009C3B7B"/>
    <w:rsid w:val="009C4BFC"/>
    <w:rsid w:val="009C4D4F"/>
    <w:rsid w:val="009C4D72"/>
    <w:rsid w:val="009C5BD4"/>
    <w:rsid w:val="009C61C2"/>
    <w:rsid w:val="009C6577"/>
    <w:rsid w:val="009C6C88"/>
    <w:rsid w:val="009C6DBF"/>
    <w:rsid w:val="009C7D08"/>
    <w:rsid w:val="009C7F22"/>
    <w:rsid w:val="009D0037"/>
    <w:rsid w:val="009D04B8"/>
    <w:rsid w:val="009D09B9"/>
    <w:rsid w:val="009D09C4"/>
    <w:rsid w:val="009D09F3"/>
    <w:rsid w:val="009D16E0"/>
    <w:rsid w:val="009D1D8B"/>
    <w:rsid w:val="009D33A0"/>
    <w:rsid w:val="009D37BF"/>
    <w:rsid w:val="009D38AA"/>
    <w:rsid w:val="009D4AB1"/>
    <w:rsid w:val="009D50A9"/>
    <w:rsid w:val="009D574F"/>
    <w:rsid w:val="009D5FC2"/>
    <w:rsid w:val="009D613A"/>
    <w:rsid w:val="009D6496"/>
    <w:rsid w:val="009D6B90"/>
    <w:rsid w:val="009D7095"/>
    <w:rsid w:val="009D7DD4"/>
    <w:rsid w:val="009E000B"/>
    <w:rsid w:val="009E04AF"/>
    <w:rsid w:val="009E06F9"/>
    <w:rsid w:val="009E0B1C"/>
    <w:rsid w:val="009E16BD"/>
    <w:rsid w:val="009E2472"/>
    <w:rsid w:val="009E2B70"/>
    <w:rsid w:val="009E3265"/>
    <w:rsid w:val="009E4334"/>
    <w:rsid w:val="009E4A6F"/>
    <w:rsid w:val="009E5ABF"/>
    <w:rsid w:val="009E5BB5"/>
    <w:rsid w:val="009E655F"/>
    <w:rsid w:val="009E6986"/>
    <w:rsid w:val="009E69CC"/>
    <w:rsid w:val="009E6AD0"/>
    <w:rsid w:val="009F01F0"/>
    <w:rsid w:val="009F0680"/>
    <w:rsid w:val="009F091E"/>
    <w:rsid w:val="009F09DD"/>
    <w:rsid w:val="009F0F57"/>
    <w:rsid w:val="009F1A29"/>
    <w:rsid w:val="009F2DE7"/>
    <w:rsid w:val="009F305A"/>
    <w:rsid w:val="009F33E9"/>
    <w:rsid w:val="009F3AA7"/>
    <w:rsid w:val="009F3C62"/>
    <w:rsid w:val="009F494D"/>
    <w:rsid w:val="009F4E31"/>
    <w:rsid w:val="009F508B"/>
    <w:rsid w:val="009F5125"/>
    <w:rsid w:val="009F51BF"/>
    <w:rsid w:val="009F62D2"/>
    <w:rsid w:val="009F6612"/>
    <w:rsid w:val="009F7394"/>
    <w:rsid w:val="009F75B7"/>
    <w:rsid w:val="009F7B8B"/>
    <w:rsid w:val="009F7FB0"/>
    <w:rsid w:val="00A00A59"/>
    <w:rsid w:val="00A00D61"/>
    <w:rsid w:val="00A00FE5"/>
    <w:rsid w:val="00A0151D"/>
    <w:rsid w:val="00A01670"/>
    <w:rsid w:val="00A02098"/>
    <w:rsid w:val="00A025C8"/>
    <w:rsid w:val="00A02852"/>
    <w:rsid w:val="00A028F2"/>
    <w:rsid w:val="00A02EAA"/>
    <w:rsid w:val="00A035B6"/>
    <w:rsid w:val="00A0366B"/>
    <w:rsid w:val="00A0415A"/>
    <w:rsid w:val="00A0440E"/>
    <w:rsid w:val="00A0472D"/>
    <w:rsid w:val="00A055A2"/>
    <w:rsid w:val="00A0570C"/>
    <w:rsid w:val="00A05BDC"/>
    <w:rsid w:val="00A05D27"/>
    <w:rsid w:val="00A05E8F"/>
    <w:rsid w:val="00A06185"/>
    <w:rsid w:val="00A061E2"/>
    <w:rsid w:val="00A068BD"/>
    <w:rsid w:val="00A06A54"/>
    <w:rsid w:val="00A079C5"/>
    <w:rsid w:val="00A101C8"/>
    <w:rsid w:val="00A1029D"/>
    <w:rsid w:val="00A1038C"/>
    <w:rsid w:val="00A103AA"/>
    <w:rsid w:val="00A10993"/>
    <w:rsid w:val="00A10DF5"/>
    <w:rsid w:val="00A116D4"/>
    <w:rsid w:val="00A118FA"/>
    <w:rsid w:val="00A11C65"/>
    <w:rsid w:val="00A1238E"/>
    <w:rsid w:val="00A12ACF"/>
    <w:rsid w:val="00A147BA"/>
    <w:rsid w:val="00A14CE3"/>
    <w:rsid w:val="00A14F25"/>
    <w:rsid w:val="00A150CD"/>
    <w:rsid w:val="00A1513D"/>
    <w:rsid w:val="00A15463"/>
    <w:rsid w:val="00A15B33"/>
    <w:rsid w:val="00A16141"/>
    <w:rsid w:val="00A165AD"/>
    <w:rsid w:val="00A16606"/>
    <w:rsid w:val="00A17698"/>
    <w:rsid w:val="00A17EF3"/>
    <w:rsid w:val="00A20365"/>
    <w:rsid w:val="00A205C3"/>
    <w:rsid w:val="00A20861"/>
    <w:rsid w:val="00A2099A"/>
    <w:rsid w:val="00A20DB6"/>
    <w:rsid w:val="00A20FFF"/>
    <w:rsid w:val="00A21336"/>
    <w:rsid w:val="00A2140E"/>
    <w:rsid w:val="00A21A8D"/>
    <w:rsid w:val="00A21B37"/>
    <w:rsid w:val="00A21C84"/>
    <w:rsid w:val="00A21F26"/>
    <w:rsid w:val="00A23093"/>
    <w:rsid w:val="00A23123"/>
    <w:rsid w:val="00A23185"/>
    <w:rsid w:val="00A2364B"/>
    <w:rsid w:val="00A23BA2"/>
    <w:rsid w:val="00A23F18"/>
    <w:rsid w:val="00A24CD6"/>
    <w:rsid w:val="00A24F98"/>
    <w:rsid w:val="00A251BE"/>
    <w:rsid w:val="00A2723A"/>
    <w:rsid w:val="00A27620"/>
    <w:rsid w:val="00A2778F"/>
    <w:rsid w:val="00A27870"/>
    <w:rsid w:val="00A3034D"/>
    <w:rsid w:val="00A308A5"/>
    <w:rsid w:val="00A30A94"/>
    <w:rsid w:val="00A30C20"/>
    <w:rsid w:val="00A3113A"/>
    <w:rsid w:val="00A315B6"/>
    <w:rsid w:val="00A31C0C"/>
    <w:rsid w:val="00A31C64"/>
    <w:rsid w:val="00A322B0"/>
    <w:rsid w:val="00A322D3"/>
    <w:rsid w:val="00A32970"/>
    <w:rsid w:val="00A33BF9"/>
    <w:rsid w:val="00A33D1E"/>
    <w:rsid w:val="00A340D8"/>
    <w:rsid w:val="00A345BF"/>
    <w:rsid w:val="00A3526A"/>
    <w:rsid w:val="00A354EC"/>
    <w:rsid w:val="00A35822"/>
    <w:rsid w:val="00A35FA2"/>
    <w:rsid w:val="00A362FD"/>
    <w:rsid w:val="00A364E0"/>
    <w:rsid w:val="00A37133"/>
    <w:rsid w:val="00A3740A"/>
    <w:rsid w:val="00A37C9D"/>
    <w:rsid w:val="00A4003A"/>
    <w:rsid w:val="00A40786"/>
    <w:rsid w:val="00A40978"/>
    <w:rsid w:val="00A40CC1"/>
    <w:rsid w:val="00A40F70"/>
    <w:rsid w:val="00A410EA"/>
    <w:rsid w:val="00A41D00"/>
    <w:rsid w:val="00A4267E"/>
    <w:rsid w:val="00A426EF"/>
    <w:rsid w:val="00A42F8F"/>
    <w:rsid w:val="00A437F6"/>
    <w:rsid w:val="00A43B14"/>
    <w:rsid w:val="00A43F6D"/>
    <w:rsid w:val="00A4402D"/>
    <w:rsid w:val="00A44AA1"/>
    <w:rsid w:val="00A450CD"/>
    <w:rsid w:val="00A45119"/>
    <w:rsid w:val="00A45283"/>
    <w:rsid w:val="00A45793"/>
    <w:rsid w:val="00A45D07"/>
    <w:rsid w:val="00A46B17"/>
    <w:rsid w:val="00A46E26"/>
    <w:rsid w:val="00A46F7E"/>
    <w:rsid w:val="00A4789F"/>
    <w:rsid w:val="00A47B85"/>
    <w:rsid w:val="00A50DA5"/>
    <w:rsid w:val="00A50FAD"/>
    <w:rsid w:val="00A513BE"/>
    <w:rsid w:val="00A51651"/>
    <w:rsid w:val="00A51B00"/>
    <w:rsid w:val="00A51C22"/>
    <w:rsid w:val="00A51C7C"/>
    <w:rsid w:val="00A5221E"/>
    <w:rsid w:val="00A528EE"/>
    <w:rsid w:val="00A52C1A"/>
    <w:rsid w:val="00A52E10"/>
    <w:rsid w:val="00A531AF"/>
    <w:rsid w:val="00A53A4C"/>
    <w:rsid w:val="00A53AA9"/>
    <w:rsid w:val="00A53FC0"/>
    <w:rsid w:val="00A540F7"/>
    <w:rsid w:val="00A543D4"/>
    <w:rsid w:val="00A548C9"/>
    <w:rsid w:val="00A54A4F"/>
    <w:rsid w:val="00A54ADC"/>
    <w:rsid w:val="00A56B18"/>
    <w:rsid w:val="00A5723F"/>
    <w:rsid w:val="00A572BD"/>
    <w:rsid w:val="00A5753E"/>
    <w:rsid w:val="00A57B0B"/>
    <w:rsid w:val="00A60510"/>
    <w:rsid w:val="00A60B6F"/>
    <w:rsid w:val="00A611BB"/>
    <w:rsid w:val="00A61632"/>
    <w:rsid w:val="00A621A2"/>
    <w:rsid w:val="00A62AB3"/>
    <w:rsid w:val="00A62C03"/>
    <w:rsid w:val="00A6343D"/>
    <w:rsid w:val="00A637BA"/>
    <w:rsid w:val="00A64028"/>
    <w:rsid w:val="00A64029"/>
    <w:rsid w:val="00A64425"/>
    <w:rsid w:val="00A64559"/>
    <w:rsid w:val="00A647A2"/>
    <w:rsid w:val="00A65638"/>
    <w:rsid w:val="00A65B76"/>
    <w:rsid w:val="00A65E01"/>
    <w:rsid w:val="00A6604A"/>
    <w:rsid w:val="00A6606F"/>
    <w:rsid w:val="00A664CD"/>
    <w:rsid w:val="00A6670B"/>
    <w:rsid w:val="00A668FB"/>
    <w:rsid w:val="00A6702B"/>
    <w:rsid w:val="00A67376"/>
    <w:rsid w:val="00A708CE"/>
    <w:rsid w:val="00A70DA5"/>
    <w:rsid w:val="00A71189"/>
    <w:rsid w:val="00A71A09"/>
    <w:rsid w:val="00A71D10"/>
    <w:rsid w:val="00A71D21"/>
    <w:rsid w:val="00A7220C"/>
    <w:rsid w:val="00A7267F"/>
    <w:rsid w:val="00A730FA"/>
    <w:rsid w:val="00A73757"/>
    <w:rsid w:val="00A7380B"/>
    <w:rsid w:val="00A73A8A"/>
    <w:rsid w:val="00A73BB4"/>
    <w:rsid w:val="00A73BD2"/>
    <w:rsid w:val="00A73EC0"/>
    <w:rsid w:val="00A745AB"/>
    <w:rsid w:val="00A748CE"/>
    <w:rsid w:val="00A74F07"/>
    <w:rsid w:val="00A75317"/>
    <w:rsid w:val="00A75385"/>
    <w:rsid w:val="00A75972"/>
    <w:rsid w:val="00A75E61"/>
    <w:rsid w:val="00A76084"/>
    <w:rsid w:val="00A76A77"/>
    <w:rsid w:val="00A76B8D"/>
    <w:rsid w:val="00A776F1"/>
    <w:rsid w:val="00A77828"/>
    <w:rsid w:val="00A77ABB"/>
    <w:rsid w:val="00A77C3C"/>
    <w:rsid w:val="00A77C9C"/>
    <w:rsid w:val="00A803FC"/>
    <w:rsid w:val="00A806A9"/>
    <w:rsid w:val="00A807C8"/>
    <w:rsid w:val="00A80A87"/>
    <w:rsid w:val="00A812A3"/>
    <w:rsid w:val="00A81A8F"/>
    <w:rsid w:val="00A81C21"/>
    <w:rsid w:val="00A81E18"/>
    <w:rsid w:val="00A82056"/>
    <w:rsid w:val="00A8206C"/>
    <w:rsid w:val="00A8332E"/>
    <w:rsid w:val="00A83F45"/>
    <w:rsid w:val="00A8400E"/>
    <w:rsid w:val="00A8414B"/>
    <w:rsid w:val="00A8492A"/>
    <w:rsid w:val="00A854AD"/>
    <w:rsid w:val="00A85CB6"/>
    <w:rsid w:val="00A85F3A"/>
    <w:rsid w:val="00A8613B"/>
    <w:rsid w:val="00A867DB"/>
    <w:rsid w:val="00A869D6"/>
    <w:rsid w:val="00A86EC4"/>
    <w:rsid w:val="00A86ECE"/>
    <w:rsid w:val="00A875BE"/>
    <w:rsid w:val="00A877F9"/>
    <w:rsid w:val="00A87859"/>
    <w:rsid w:val="00A9041C"/>
    <w:rsid w:val="00A905A9"/>
    <w:rsid w:val="00A90668"/>
    <w:rsid w:val="00A906CE"/>
    <w:rsid w:val="00A90A4B"/>
    <w:rsid w:val="00A90B18"/>
    <w:rsid w:val="00A921D4"/>
    <w:rsid w:val="00A922C6"/>
    <w:rsid w:val="00A92883"/>
    <w:rsid w:val="00A92AFC"/>
    <w:rsid w:val="00A92E46"/>
    <w:rsid w:val="00A92E92"/>
    <w:rsid w:val="00A93090"/>
    <w:rsid w:val="00A933B4"/>
    <w:rsid w:val="00A93A34"/>
    <w:rsid w:val="00A93AF5"/>
    <w:rsid w:val="00A942E0"/>
    <w:rsid w:val="00A94726"/>
    <w:rsid w:val="00A947C2"/>
    <w:rsid w:val="00A94928"/>
    <w:rsid w:val="00A95AC6"/>
    <w:rsid w:val="00A95E01"/>
    <w:rsid w:val="00A96972"/>
    <w:rsid w:val="00A96BA6"/>
    <w:rsid w:val="00A96BE1"/>
    <w:rsid w:val="00A9710F"/>
    <w:rsid w:val="00A979CB"/>
    <w:rsid w:val="00A97BE2"/>
    <w:rsid w:val="00A97C67"/>
    <w:rsid w:val="00AA01F6"/>
    <w:rsid w:val="00AA03D9"/>
    <w:rsid w:val="00AA05EB"/>
    <w:rsid w:val="00AA1C32"/>
    <w:rsid w:val="00AA1FAE"/>
    <w:rsid w:val="00AA3021"/>
    <w:rsid w:val="00AA4277"/>
    <w:rsid w:val="00AA4545"/>
    <w:rsid w:val="00AA5261"/>
    <w:rsid w:val="00AA6151"/>
    <w:rsid w:val="00AA6414"/>
    <w:rsid w:val="00AA6C53"/>
    <w:rsid w:val="00AB00A2"/>
    <w:rsid w:val="00AB03B3"/>
    <w:rsid w:val="00AB05A0"/>
    <w:rsid w:val="00AB0DD6"/>
    <w:rsid w:val="00AB126F"/>
    <w:rsid w:val="00AB1312"/>
    <w:rsid w:val="00AB179F"/>
    <w:rsid w:val="00AB210D"/>
    <w:rsid w:val="00AB232D"/>
    <w:rsid w:val="00AB306C"/>
    <w:rsid w:val="00AB3CC5"/>
    <w:rsid w:val="00AB403D"/>
    <w:rsid w:val="00AB4CFA"/>
    <w:rsid w:val="00AB4D0F"/>
    <w:rsid w:val="00AB51E4"/>
    <w:rsid w:val="00AB5225"/>
    <w:rsid w:val="00AB5267"/>
    <w:rsid w:val="00AB621A"/>
    <w:rsid w:val="00AB65F6"/>
    <w:rsid w:val="00AB6C55"/>
    <w:rsid w:val="00AB6DE5"/>
    <w:rsid w:val="00AB704D"/>
    <w:rsid w:val="00AB70A5"/>
    <w:rsid w:val="00AB7655"/>
    <w:rsid w:val="00AB77B3"/>
    <w:rsid w:val="00AB7A04"/>
    <w:rsid w:val="00AB7D3A"/>
    <w:rsid w:val="00AC015A"/>
    <w:rsid w:val="00AC0BAE"/>
    <w:rsid w:val="00AC14AF"/>
    <w:rsid w:val="00AC1742"/>
    <w:rsid w:val="00AC17FF"/>
    <w:rsid w:val="00AC2360"/>
    <w:rsid w:val="00AC25B2"/>
    <w:rsid w:val="00AC2F14"/>
    <w:rsid w:val="00AC37FB"/>
    <w:rsid w:val="00AC3A11"/>
    <w:rsid w:val="00AC3D23"/>
    <w:rsid w:val="00AC41C3"/>
    <w:rsid w:val="00AC47B6"/>
    <w:rsid w:val="00AC4AB2"/>
    <w:rsid w:val="00AC4AB8"/>
    <w:rsid w:val="00AC558B"/>
    <w:rsid w:val="00AC567C"/>
    <w:rsid w:val="00AC5FEB"/>
    <w:rsid w:val="00AC6800"/>
    <w:rsid w:val="00AC6961"/>
    <w:rsid w:val="00AC6ECB"/>
    <w:rsid w:val="00AC727B"/>
    <w:rsid w:val="00AC7AA9"/>
    <w:rsid w:val="00AC7D32"/>
    <w:rsid w:val="00AD0017"/>
    <w:rsid w:val="00AD0343"/>
    <w:rsid w:val="00AD0B8C"/>
    <w:rsid w:val="00AD0D4A"/>
    <w:rsid w:val="00AD1115"/>
    <w:rsid w:val="00AD2767"/>
    <w:rsid w:val="00AD3712"/>
    <w:rsid w:val="00AD3A84"/>
    <w:rsid w:val="00AD3D71"/>
    <w:rsid w:val="00AD3EA2"/>
    <w:rsid w:val="00AD4024"/>
    <w:rsid w:val="00AD4039"/>
    <w:rsid w:val="00AD4070"/>
    <w:rsid w:val="00AD44DC"/>
    <w:rsid w:val="00AD4609"/>
    <w:rsid w:val="00AD5A5C"/>
    <w:rsid w:val="00AD6CAD"/>
    <w:rsid w:val="00AD75A1"/>
    <w:rsid w:val="00AD7751"/>
    <w:rsid w:val="00AD7771"/>
    <w:rsid w:val="00AD78E3"/>
    <w:rsid w:val="00AE0B31"/>
    <w:rsid w:val="00AE0EF8"/>
    <w:rsid w:val="00AE1A77"/>
    <w:rsid w:val="00AE220C"/>
    <w:rsid w:val="00AE3218"/>
    <w:rsid w:val="00AE32D9"/>
    <w:rsid w:val="00AE3B1F"/>
    <w:rsid w:val="00AE3DD4"/>
    <w:rsid w:val="00AE43C4"/>
    <w:rsid w:val="00AE4454"/>
    <w:rsid w:val="00AE4958"/>
    <w:rsid w:val="00AE4D65"/>
    <w:rsid w:val="00AE52B3"/>
    <w:rsid w:val="00AE58AB"/>
    <w:rsid w:val="00AE68CC"/>
    <w:rsid w:val="00AE6A9F"/>
    <w:rsid w:val="00AE72FC"/>
    <w:rsid w:val="00AE7DF5"/>
    <w:rsid w:val="00AF003A"/>
    <w:rsid w:val="00AF0141"/>
    <w:rsid w:val="00AF03EB"/>
    <w:rsid w:val="00AF05B2"/>
    <w:rsid w:val="00AF08D9"/>
    <w:rsid w:val="00AF1559"/>
    <w:rsid w:val="00AF183B"/>
    <w:rsid w:val="00AF18B3"/>
    <w:rsid w:val="00AF22BF"/>
    <w:rsid w:val="00AF2680"/>
    <w:rsid w:val="00AF2D28"/>
    <w:rsid w:val="00AF3BA9"/>
    <w:rsid w:val="00AF3DE7"/>
    <w:rsid w:val="00AF4CCA"/>
    <w:rsid w:val="00AF5435"/>
    <w:rsid w:val="00AF5D2B"/>
    <w:rsid w:val="00AF66DA"/>
    <w:rsid w:val="00AF69C1"/>
    <w:rsid w:val="00AF73FC"/>
    <w:rsid w:val="00AF744C"/>
    <w:rsid w:val="00AF74F1"/>
    <w:rsid w:val="00AF77E8"/>
    <w:rsid w:val="00AF7B5E"/>
    <w:rsid w:val="00B0026F"/>
    <w:rsid w:val="00B004D3"/>
    <w:rsid w:val="00B00935"/>
    <w:rsid w:val="00B00CF6"/>
    <w:rsid w:val="00B012BD"/>
    <w:rsid w:val="00B014E7"/>
    <w:rsid w:val="00B015DF"/>
    <w:rsid w:val="00B02A7E"/>
    <w:rsid w:val="00B02D50"/>
    <w:rsid w:val="00B036AE"/>
    <w:rsid w:val="00B036E5"/>
    <w:rsid w:val="00B03765"/>
    <w:rsid w:val="00B04187"/>
    <w:rsid w:val="00B05246"/>
    <w:rsid w:val="00B0528D"/>
    <w:rsid w:val="00B06298"/>
    <w:rsid w:val="00B06424"/>
    <w:rsid w:val="00B06489"/>
    <w:rsid w:val="00B06604"/>
    <w:rsid w:val="00B07D20"/>
    <w:rsid w:val="00B10196"/>
    <w:rsid w:val="00B108C6"/>
    <w:rsid w:val="00B10B2A"/>
    <w:rsid w:val="00B10B5E"/>
    <w:rsid w:val="00B11177"/>
    <w:rsid w:val="00B1120C"/>
    <w:rsid w:val="00B11493"/>
    <w:rsid w:val="00B115CA"/>
    <w:rsid w:val="00B11EEA"/>
    <w:rsid w:val="00B122B7"/>
    <w:rsid w:val="00B1287D"/>
    <w:rsid w:val="00B12D29"/>
    <w:rsid w:val="00B12DA3"/>
    <w:rsid w:val="00B137EA"/>
    <w:rsid w:val="00B13FED"/>
    <w:rsid w:val="00B14152"/>
    <w:rsid w:val="00B14513"/>
    <w:rsid w:val="00B147C9"/>
    <w:rsid w:val="00B15058"/>
    <w:rsid w:val="00B15ACB"/>
    <w:rsid w:val="00B167AF"/>
    <w:rsid w:val="00B1686A"/>
    <w:rsid w:val="00B16952"/>
    <w:rsid w:val="00B16CCB"/>
    <w:rsid w:val="00B17912"/>
    <w:rsid w:val="00B179BD"/>
    <w:rsid w:val="00B20609"/>
    <w:rsid w:val="00B20743"/>
    <w:rsid w:val="00B207F6"/>
    <w:rsid w:val="00B20FEC"/>
    <w:rsid w:val="00B216C6"/>
    <w:rsid w:val="00B218D2"/>
    <w:rsid w:val="00B21BCE"/>
    <w:rsid w:val="00B221AB"/>
    <w:rsid w:val="00B2223A"/>
    <w:rsid w:val="00B2265B"/>
    <w:rsid w:val="00B22735"/>
    <w:rsid w:val="00B22A09"/>
    <w:rsid w:val="00B22AB0"/>
    <w:rsid w:val="00B22ABA"/>
    <w:rsid w:val="00B233A7"/>
    <w:rsid w:val="00B23535"/>
    <w:rsid w:val="00B23717"/>
    <w:rsid w:val="00B237BD"/>
    <w:rsid w:val="00B242AF"/>
    <w:rsid w:val="00B24A89"/>
    <w:rsid w:val="00B24DFF"/>
    <w:rsid w:val="00B25188"/>
    <w:rsid w:val="00B25294"/>
    <w:rsid w:val="00B260F9"/>
    <w:rsid w:val="00B2614F"/>
    <w:rsid w:val="00B261CB"/>
    <w:rsid w:val="00B264C5"/>
    <w:rsid w:val="00B26607"/>
    <w:rsid w:val="00B277C0"/>
    <w:rsid w:val="00B279D4"/>
    <w:rsid w:val="00B27EEB"/>
    <w:rsid w:val="00B30004"/>
    <w:rsid w:val="00B302AC"/>
    <w:rsid w:val="00B30528"/>
    <w:rsid w:val="00B3170D"/>
    <w:rsid w:val="00B318AA"/>
    <w:rsid w:val="00B31CB9"/>
    <w:rsid w:val="00B32F25"/>
    <w:rsid w:val="00B332BE"/>
    <w:rsid w:val="00B33C46"/>
    <w:rsid w:val="00B358E4"/>
    <w:rsid w:val="00B379CC"/>
    <w:rsid w:val="00B37CD6"/>
    <w:rsid w:val="00B4131D"/>
    <w:rsid w:val="00B416F4"/>
    <w:rsid w:val="00B41991"/>
    <w:rsid w:val="00B41E8E"/>
    <w:rsid w:val="00B41E9A"/>
    <w:rsid w:val="00B42013"/>
    <w:rsid w:val="00B420B0"/>
    <w:rsid w:val="00B42258"/>
    <w:rsid w:val="00B42450"/>
    <w:rsid w:val="00B44107"/>
    <w:rsid w:val="00B4440E"/>
    <w:rsid w:val="00B451CF"/>
    <w:rsid w:val="00B45413"/>
    <w:rsid w:val="00B45891"/>
    <w:rsid w:val="00B46449"/>
    <w:rsid w:val="00B46A3C"/>
    <w:rsid w:val="00B47137"/>
    <w:rsid w:val="00B47A66"/>
    <w:rsid w:val="00B47A89"/>
    <w:rsid w:val="00B47CC3"/>
    <w:rsid w:val="00B47E62"/>
    <w:rsid w:val="00B47F99"/>
    <w:rsid w:val="00B500F4"/>
    <w:rsid w:val="00B50350"/>
    <w:rsid w:val="00B5057E"/>
    <w:rsid w:val="00B50B02"/>
    <w:rsid w:val="00B50C3F"/>
    <w:rsid w:val="00B51A8A"/>
    <w:rsid w:val="00B51CB4"/>
    <w:rsid w:val="00B52103"/>
    <w:rsid w:val="00B52945"/>
    <w:rsid w:val="00B52B4A"/>
    <w:rsid w:val="00B52B57"/>
    <w:rsid w:val="00B52BDF"/>
    <w:rsid w:val="00B52C3A"/>
    <w:rsid w:val="00B52D76"/>
    <w:rsid w:val="00B52F8B"/>
    <w:rsid w:val="00B53072"/>
    <w:rsid w:val="00B53088"/>
    <w:rsid w:val="00B53341"/>
    <w:rsid w:val="00B533D2"/>
    <w:rsid w:val="00B53710"/>
    <w:rsid w:val="00B53742"/>
    <w:rsid w:val="00B53D0F"/>
    <w:rsid w:val="00B53D89"/>
    <w:rsid w:val="00B541E1"/>
    <w:rsid w:val="00B544D0"/>
    <w:rsid w:val="00B54CA0"/>
    <w:rsid w:val="00B55120"/>
    <w:rsid w:val="00B56B64"/>
    <w:rsid w:val="00B56CDE"/>
    <w:rsid w:val="00B5734F"/>
    <w:rsid w:val="00B575F0"/>
    <w:rsid w:val="00B576A1"/>
    <w:rsid w:val="00B578B5"/>
    <w:rsid w:val="00B600FE"/>
    <w:rsid w:val="00B6048A"/>
    <w:rsid w:val="00B60B6E"/>
    <w:rsid w:val="00B61262"/>
    <w:rsid w:val="00B612F1"/>
    <w:rsid w:val="00B6152F"/>
    <w:rsid w:val="00B618A0"/>
    <w:rsid w:val="00B61E33"/>
    <w:rsid w:val="00B61F44"/>
    <w:rsid w:val="00B629EE"/>
    <w:rsid w:val="00B634F9"/>
    <w:rsid w:val="00B6359B"/>
    <w:rsid w:val="00B63AFF"/>
    <w:rsid w:val="00B641BB"/>
    <w:rsid w:val="00B6426D"/>
    <w:rsid w:val="00B64629"/>
    <w:rsid w:val="00B650CF"/>
    <w:rsid w:val="00B65E9B"/>
    <w:rsid w:val="00B661D4"/>
    <w:rsid w:val="00B6657D"/>
    <w:rsid w:val="00B6667D"/>
    <w:rsid w:val="00B667F6"/>
    <w:rsid w:val="00B66849"/>
    <w:rsid w:val="00B67AE4"/>
    <w:rsid w:val="00B70025"/>
    <w:rsid w:val="00B701B8"/>
    <w:rsid w:val="00B704A4"/>
    <w:rsid w:val="00B70D74"/>
    <w:rsid w:val="00B70EB0"/>
    <w:rsid w:val="00B71032"/>
    <w:rsid w:val="00B71100"/>
    <w:rsid w:val="00B716F8"/>
    <w:rsid w:val="00B71E34"/>
    <w:rsid w:val="00B7203D"/>
    <w:rsid w:val="00B72657"/>
    <w:rsid w:val="00B7278A"/>
    <w:rsid w:val="00B7286E"/>
    <w:rsid w:val="00B72B0D"/>
    <w:rsid w:val="00B72B77"/>
    <w:rsid w:val="00B72BD4"/>
    <w:rsid w:val="00B72D73"/>
    <w:rsid w:val="00B72F24"/>
    <w:rsid w:val="00B72FE1"/>
    <w:rsid w:val="00B7326F"/>
    <w:rsid w:val="00B7378C"/>
    <w:rsid w:val="00B74491"/>
    <w:rsid w:val="00B74726"/>
    <w:rsid w:val="00B748B0"/>
    <w:rsid w:val="00B74C95"/>
    <w:rsid w:val="00B74E2C"/>
    <w:rsid w:val="00B74E3E"/>
    <w:rsid w:val="00B751A8"/>
    <w:rsid w:val="00B75CEE"/>
    <w:rsid w:val="00B762A9"/>
    <w:rsid w:val="00B76AA9"/>
    <w:rsid w:val="00B76B27"/>
    <w:rsid w:val="00B76C8F"/>
    <w:rsid w:val="00B77BB6"/>
    <w:rsid w:val="00B77BB8"/>
    <w:rsid w:val="00B77CCA"/>
    <w:rsid w:val="00B77E3A"/>
    <w:rsid w:val="00B80917"/>
    <w:rsid w:val="00B80ED5"/>
    <w:rsid w:val="00B8108F"/>
    <w:rsid w:val="00B81B3B"/>
    <w:rsid w:val="00B826EE"/>
    <w:rsid w:val="00B827FE"/>
    <w:rsid w:val="00B82918"/>
    <w:rsid w:val="00B82D83"/>
    <w:rsid w:val="00B832F1"/>
    <w:rsid w:val="00B8333A"/>
    <w:rsid w:val="00B83403"/>
    <w:rsid w:val="00B83AAE"/>
    <w:rsid w:val="00B83DC9"/>
    <w:rsid w:val="00B83F78"/>
    <w:rsid w:val="00B843A4"/>
    <w:rsid w:val="00B8443F"/>
    <w:rsid w:val="00B85206"/>
    <w:rsid w:val="00B85526"/>
    <w:rsid w:val="00B85CF1"/>
    <w:rsid w:val="00B864DC"/>
    <w:rsid w:val="00B86FE1"/>
    <w:rsid w:val="00B87EE4"/>
    <w:rsid w:val="00B87F3F"/>
    <w:rsid w:val="00B90936"/>
    <w:rsid w:val="00B91352"/>
    <w:rsid w:val="00B917E2"/>
    <w:rsid w:val="00B924B7"/>
    <w:rsid w:val="00B924B9"/>
    <w:rsid w:val="00B92BEC"/>
    <w:rsid w:val="00B930DE"/>
    <w:rsid w:val="00B9370F"/>
    <w:rsid w:val="00B9388E"/>
    <w:rsid w:val="00B93BE9"/>
    <w:rsid w:val="00B93D7E"/>
    <w:rsid w:val="00B94560"/>
    <w:rsid w:val="00B948B3"/>
    <w:rsid w:val="00B95422"/>
    <w:rsid w:val="00B95547"/>
    <w:rsid w:val="00B95659"/>
    <w:rsid w:val="00B956A2"/>
    <w:rsid w:val="00B95BF4"/>
    <w:rsid w:val="00B95E10"/>
    <w:rsid w:val="00B962C7"/>
    <w:rsid w:val="00B96A16"/>
    <w:rsid w:val="00B96D63"/>
    <w:rsid w:val="00B96DA3"/>
    <w:rsid w:val="00B9759F"/>
    <w:rsid w:val="00B97C59"/>
    <w:rsid w:val="00BA140C"/>
    <w:rsid w:val="00BA1CF8"/>
    <w:rsid w:val="00BA1E5B"/>
    <w:rsid w:val="00BA2111"/>
    <w:rsid w:val="00BA27AD"/>
    <w:rsid w:val="00BA28C3"/>
    <w:rsid w:val="00BA2A64"/>
    <w:rsid w:val="00BA2D9F"/>
    <w:rsid w:val="00BA2E13"/>
    <w:rsid w:val="00BA36D2"/>
    <w:rsid w:val="00BA3C20"/>
    <w:rsid w:val="00BA3DEF"/>
    <w:rsid w:val="00BA4608"/>
    <w:rsid w:val="00BA46EE"/>
    <w:rsid w:val="00BA499C"/>
    <w:rsid w:val="00BA4C95"/>
    <w:rsid w:val="00BA5973"/>
    <w:rsid w:val="00BA5A6A"/>
    <w:rsid w:val="00BA5BBF"/>
    <w:rsid w:val="00BA5D06"/>
    <w:rsid w:val="00BA5DA1"/>
    <w:rsid w:val="00BA6CFE"/>
    <w:rsid w:val="00BA760C"/>
    <w:rsid w:val="00BB009A"/>
    <w:rsid w:val="00BB014D"/>
    <w:rsid w:val="00BB02D1"/>
    <w:rsid w:val="00BB0711"/>
    <w:rsid w:val="00BB075F"/>
    <w:rsid w:val="00BB1830"/>
    <w:rsid w:val="00BB1BC2"/>
    <w:rsid w:val="00BB220F"/>
    <w:rsid w:val="00BB2F24"/>
    <w:rsid w:val="00BB32D6"/>
    <w:rsid w:val="00BB38B3"/>
    <w:rsid w:val="00BB3C61"/>
    <w:rsid w:val="00BB4221"/>
    <w:rsid w:val="00BB428F"/>
    <w:rsid w:val="00BB4A09"/>
    <w:rsid w:val="00BB4BF7"/>
    <w:rsid w:val="00BB532A"/>
    <w:rsid w:val="00BB53CD"/>
    <w:rsid w:val="00BB5B51"/>
    <w:rsid w:val="00BB6466"/>
    <w:rsid w:val="00BB6794"/>
    <w:rsid w:val="00BB786B"/>
    <w:rsid w:val="00BB7A0B"/>
    <w:rsid w:val="00BB7E13"/>
    <w:rsid w:val="00BC06E2"/>
    <w:rsid w:val="00BC0E8A"/>
    <w:rsid w:val="00BC0FDA"/>
    <w:rsid w:val="00BC1074"/>
    <w:rsid w:val="00BC1A1F"/>
    <w:rsid w:val="00BC23A2"/>
    <w:rsid w:val="00BC25DE"/>
    <w:rsid w:val="00BC288D"/>
    <w:rsid w:val="00BC3135"/>
    <w:rsid w:val="00BC3C3D"/>
    <w:rsid w:val="00BC3FF6"/>
    <w:rsid w:val="00BC43EA"/>
    <w:rsid w:val="00BC4CC0"/>
    <w:rsid w:val="00BC509C"/>
    <w:rsid w:val="00BC51EA"/>
    <w:rsid w:val="00BC5482"/>
    <w:rsid w:val="00BC55BC"/>
    <w:rsid w:val="00BC5873"/>
    <w:rsid w:val="00BC5E8C"/>
    <w:rsid w:val="00BC5F46"/>
    <w:rsid w:val="00BC60F6"/>
    <w:rsid w:val="00BC61E8"/>
    <w:rsid w:val="00BC62F1"/>
    <w:rsid w:val="00BC65BB"/>
    <w:rsid w:val="00BC6F2C"/>
    <w:rsid w:val="00BC7357"/>
    <w:rsid w:val="00BC75CC"/>
    <w:rsid w:val="00BD01E6"/>
    <w:rsid w:val="00BD05AB"/>
    <w:rsid w:val="00BD10D0"/>
    <w:rsid w:val="00BD2656"/>
    <w:rsid w:val="00BD313F"/>
    <w:rsid w:val="00BD34C0"/>
    <w:rsid w:val="00BD3615"/>
    <w:rsid w:val="00BD3723"/>
    <w:rsid w:val="00BD3C5A"/>
    <w:rsid w:val="00BD476F"/>
    <w:rsid w:val="00BD488C"/>
    <w:rsid w:val="00BD4DF3"/>
    <w:rsid w:val="00BD53DE"/>
    <w:rsid w:val="00BD5BEE"/>
    <w:rsid w:val="00BD728F"/>
    <w:rsid w:val="00BD7365"/>
    <w:rsid w:val="00BD7E7A"/>
    <w:rsid w:val="00BD7EC8"/>
    <w:rsid w:val="00BE0524"/>
    <w:rsid w:val="00BE0B80"/>
    <w:rsid w:val="00BE0C22"/>
    <w:rsid w:val="00BE162E"/>
    <w:rsid w:val="00BE1A2C"/>
    <w:rsid w:val="00BE2565"/>
    <w:rsid w:val="00BE288B"/>
    <w:rsid w:val="00BE2979"/>
    <w:rsid w:val="00BE2FF1"/>
    <w:rsid w:val="00BE3417"/>
    <w:rsid w:val="00BE359A"/>
    <w:rsid w:val="00BE36BB"/>
    <w:rsid w:val="00BE37D6"/>
    <w:rsid w:val="00BE3967"/>
    <w:rsid w:val="00BE399F"/>
    <w:rsid w:val="00BE3B4C"/>
    <w:rsid w:val="00BE3BCE"/>
    <w:rsid w:val="00BE4003"/>
    <w:rsid w:val="00BE4053"/>
    <w:rsid w:val="00BE45B4"/>
    <w:rsid w:val="00BE469E"/>
    <w:rsid w:val="00BE4EF1"/>
    <w:rsid w:val="00BE51CE"/>
    <w:rsid w:val="00BE5FF4"/>
    <w:rsid w:val="00BE623D"/>
    <w:rsid w:val="00BE6370"/>
    <w:rsid w:val="00BE66FC"/>
    <w:rsid w:val="00BE6AA0"/>
    <w:rsid w:val="00BE7139"/>
    <w:rsid w:val="00BE7826"/>
    <w:rsid w:val="00BE7D14"/>
    <w:rsid w:val="00BF0581"/>
    <w:rsid w:val="00BF07D1"/>
    <w:rsid w:val="00BF0A70"/>
    <w:rsid w:val="00BF0D44"/>
    <w:rsid w:val="00BF130D"/>
    <w:rsid w:val="00BF1915"/>
    <w:rsid w:val="00BF19DA"/>
    <w:rsid w:val="00BF2B55"/>
    <w:rsid w:val="00BF37AA"/>
    <w:rsid w:val="00BF38C5"/>
    <w:rsid w:val="00BF39FE"/>
    <w:rsid w:val="00BF3DF7"/>
    <w:rsid w:val="00BF41F0"/>
    <w:rsid w:val="00BF4C07"/>
    <w:rsid w:val="00BF56F8"/>
    <w:rsid w:val="00BF5825"/>
    <w:rsid w:val="00BF59BE"/>
    <w:rsid w:val="00BF6054"/>
    <w:rsid w:val="00BF6097"/>
    <w:rsid w:val="00BF6EEA"/>
    <w:rsid w:val="00BF6FBD"/>
    <w:rsid w:val="00BF7233"/>
    <w:rsid w:val="00BF74D1"/>
    <w:rsid w:val="00BF79D5"/>
    <w:rsid w:val="00BF7A18"/>
    <w:rsid w:val="00C00100"/>
    <w:rsid w:val="00C00792"/>
    <w:rsid w:val="00C008BB"/>
    <w:rsid w:val="00C00EE7"/>
    <w:rsid w:val="00C01C3F"/>
    <w:rsid w:val="00C02453"/>
    <w:rsid w:val="00C02620"/>
    <w:rsid w:val="00C02977"/>
    <w:rsid w:val="00C02A9D"/>
    <w:rsid w:val="00C02F22"/>
    <w:rsid w:val="00C0330A"/>
    <w:rsid w:val="00C044FA"/>
    <w:rsid w:val="00C04A06"/>
    <w:rsid w:val="00C05048"/>
    <w:rsid w:val="00C0528C"/>
    <w:rsid w:val="00C053A2"/>
    <w:rsid w:val="00C0549A"/>
    <w:rsid w:val="00C054AD"/>
    <w:rsid w:val="00C05E85"/>
    <w:rsid w:val="00C06B67"/>
    <w:rsid w:val="00C06C9F"/>
    <w:rsid w:val="00C072A8"/>
    <w:rsid w:val="00C07865"/>
    <w:rsid w:val="00C07C8A"/>
    <w:rsid w:val="00C07D8A"/>
    <w:rsid w:val="00C07FC2"/>
    <w:rsid w:val="00C11BF0"/>
    <w:rsid w:val="00C11D0C"/>
    <w:rsid w:val="00C11D31"/>
    <w:rsid w:val="00C1220C"/>
    <w:rsid w:val="00C12F2F"/>
    <w:rsid w:val="00C13DB0"/>
    <w:rsid w:val="00C13FE9"/>
    <w:rsid w:val="00C1415F"/>
    <w:rsid w:val="00C143C5"/>
    <w:rsid w:val="00C14825"/>
    <w:rsid w:val="00C14E6E"/>
    <w:rsid w:val="00C15A22"/>
    <w:rsid w:val="00C15B27"/>
    <w:rsid w:val="00C16433"/>
    <w:rsid w:val="00C17281"/>
    <w:rsid w:val="00C17A34"/>
    <w:rsid w:val="00C208F9"/>
    <w:rsid w:val="00C20B7F"/>
    <w:rsid w:val="00C21A93"/>
    <w:rsid w:val="00C22C74"/>
    <w:rsid w:val="00C22EDA"/>
    <w:rsid w:val="00C23328"/>
    <w:rsid w:val="00C23CC1"/>
    <w:rsid w:val="00C23D8A"/>
    <w:rsid w:val="00C23E80"/>
    <w:rsid w:val="00C2415B"/>
    <w:rsid w:val="00C2451A"/>
    <w:rsid w:val="00C2463D"/>
    <w:rsid w:val="00C249C4"/>
    <w:rsid w:val="00C251FE"/>
    <w:rsid w:val="00C25A65"/>
    <w:rsid w:val="00C2615D"/>
    <w:rsid w:val="00C26DAF"/>
    <w:rsid w:val="00C2755A"/>
    <w:rsid w:val="00C27659"/>
    <w:rsid w:val="00C278BE"/>
    <w:rsid w:val="00C27AC0"/>
    <w:rsid w:val="00C27EA1"/>
    <w:rsid w:val="00C302A8"/>
    <w:rsid w:val="00C30512"/>
    <w:rsid w:val="00C3055B"/>
    <w:rsid w:val="00C308CC"/>
    <w:rsid w:val="00C30D32"/>
    <w:rsid w:val="00C30E6B"/>
    <w:rsid w:val="00C3119F"/>
    <w:rsid w:val="00C3149C"/>
    <w:rsid w:val="00C315B1"/>
    <w:rsid w:val="00C31822"/>
    <w:rsid w:val="00C31DD5"/>
    <w:rsid w:val="00C31FFF"/>
    <w:rsid w:val="00C3210C"/>
    <w:rsid w:val="00C3302E"/>
    <w:rsid w:val="00C332B7"/>
    <w:rsid w:val="00C3348F"/>
    <w:rsid w:val="00C335A4"/>
    <w:rsid w:val="00C33C73"/>
    <w:rsid w:val="00C33EC6"/>
    <w:rsid w:val="00C34740"/>
    <w:rsid w:val="00C34961"/>
    <w:rsid w:val="00C34A6B"/>
    <w:rsid w:val="00C351AE"/>
    <w:rsid w:val="00C35288"/>
    <w:rsid w:val="00C354B0"/>
    <w:rsid w:val="00C365AB"/>
    <w:rsid w:val="00C36F07"/>
    <w:rsid w:val="00C372DD"/>
    <w:rsid w:val="00C378AC"/>
    <w:rsid w:val="00C378E4"/>
    <w:rsid w:val="00C37D19"/>
    <w:rsid w:val="00C402F6"/>
    <w:rsid w:val="00C40C8C"/>
    <w:rsid w:val="00C40DA5"/>
    <w:rsid w:val="00C40E1A"/>
    <w:rsid w:val="00C40E67"/>
    <w:rsid w:val="00C4109D"/>
    <w:rsid w:val="00C41423"/>
    <w:rsid w:val="00C41690"/>
    <w:rsid w:val="00C41B66"/>
    <w:rsid w:val="00C41F66"/>
    <w:rsid w:val="00C41F6A"/>
    <w:rsid w:val="00C42701"/>
    <w:rsid w:val="00C42A38"/>
    <w:rsid w:val="00C44921"/>
    <w:rsid w:val="00C44B19"/>
    <w:rsid w:val="00C4500C"/>
    <w:rsid w:val="00C45080"/>
    <w:rsid w:val="00C464A7"/>
    <w:rsid w:val="00C469CD"/>
    <w:rsid w:val="00C47207"/>
    <w:rsid w:val="00C475AC"/>
    <w:rsid w:val="00C50B41"/>
    <w:rsid w:val="00C5245A"/>
    <w:rsid w:val="00C52777"/>
    <w:rsid w:val="00C52EFF"/>
    <w:rsid w:val="00C53134"/>
    <w:rsid w:val="00C53170"/>
    <w:rsid w:val="00C535C5"/>
    <w:rsid w:val="00C536AF"/>
    <w:rsid w:val="00C53A30"/>
    <w:rsid w:val="00C54135"/>
    <w:rsid w:val="00C54290"/>
    <w:rsid w:val="00C54739"/>
    <w:rsid w:val="00C54C6E"/>
    <w:rsid w:val="00C55250"/>
    <w:rsid w:val="00C55584"/>
    <w:rsid w:val="00C56048"/>
    <w:rsid w:val="00C565FA"/>
    <w:rsid w:val="00C56D26"/>
    <w:rsid w:val="00C56DB1"/>
    <w:rsid w:val="00C570A8"/>
    <w:rsid w:val="00C57735"/>
    <w:rsid w:val="00C578FA"/>
    <w:rsid w:val="00C57E84"/>
    <w:rsid w:val="00C60135"/>
    <w:rsid w:val="00C6021F"/>
    <w:rsid w:val="00C605CD"/>
    <w:rsid w:val="00C61330"/>
    <w:rsid w:val="00C613C2"/>
    <w:rsid w:val="00C61777"/>
    <w:rsid w:val="00C61C75"/>
    <w:rsid w:val="00C621A8"/>
    <w:rsid w:val="00C6257B"/>
    <w:rsid w:val="00C62818"/>
    <w:rsid w:val="00C62CE9"/>
    <w:rsid w:val="00C62D46"/>
    <w:rsid w:val="00C62FE6"/>
    <w:rsid w:val="00C63C78"/>
    <w:rsid w:val="00C63CB0"/>
    <w:rsid w:val="00C649AB"/>
    <w:rsid w:val="00C64B91"/>
    <w:rsid w:val="00C64F9A"/>
    <w:rsid w:val="00C65169"/>
    <w:rsid w:val="00C6521C"/>
    <w:rsid w:val="00C65232"/>
    <w:rsid w:val="00C6536F"/>
    <w:rsid w:val="00C659FC"/>
    <w:rsid w:val="00C66155"/>
    <w:rsid w:val="00C66D00"/>
    <w:rsid w:val="00C67516"/>
    <w:rsid w:val="00C67517"/>
    <w:rsid w:val="00C676D4"/>
    <w:rsid w:val="00C67AF0"/>
    <w:rsid w:val="00C67B05"/>
    <w:rsid w:val="00C67BE5"/>
    <w:rsid w:val="00C67C12"/>
    <w:rsid w:val="00C704F9"/>
    <w:rsid w:val="00C70F22"/>
    <w:rsid w:val="00C7177E"/>
    <w:rsid w:val="00C717D8"/>
    <w:rsid w:val="00C71E43"/>
    <w:rsid w:val="00C721FA"/>
    <w:rsid w:val="00C723AE"/>
    <w:rsid w:val="00C72881"/>
    <w:rsid w:val="00C73AB3"/>
    <w:rsid w:val="00C7456C"/>
    <w:rsid w:val="00C748B9"/>
    <w:rsid w:val="00C75191"/>
    <w:rsid w:val="00C755B1"/>
    <w:rsid w:val="00C75910"/>
    <w:rsid w:val="00C7696B"/>
    <w:rsid w:val="00C76B08"/>
    <w:rsid w:val="00C76E07"/>
    <w:rsid w:val="00C7722E"/>
    <w:rsid w:val="00C77BDC"/>
    <w:rsid w:val="00C77C25"/>
    <w:rsid w:val="00C77DF9"/>
    <w:rsid w:val="00C805B0"/>
    <w:rsid w:val="00C80904"/>
    <w:rsid w:val="00C80995"/>
    <w:rsid w:val="00C814BA"/>
    <w:rsid w:val="00C81682"/>
    <w:rsid w:val="00C83D2F"/>
    <w:rsid w:val="00C840C1"/>
    <w:rsid w:val="00C84593"/>
    <w:rsid w:val="00C849DC"/>
    <w:rsid w:val="00C84BEE"/>
    <w:rsid w:val="00C85093"/>
    <w:rsid w:val="00C86455"/>
    <w:rsid w:val="00C8671A"/>
    <w:rsid w:val="00C867C3"/>
    <w:rsid w:val="00C903D2"/>
    <w:rsid w:val="00C90995"/>
    <w:rsid w:val="00C90E1E"/>
    <w:rsid w:val="00C90EDD"/>
    <w:rsid w:val="00C9288C"/>
    <w:rsid w:val="00C928DD"/>
    <w:rsid w:val="00C92AE0"/>
    <w:rsid w:val="00C92BDD"/>
    <w:rsid w:val="00C93591"/>
    <w:rsid w:val="00C93B6F"/>
    <w:rsid w:val="00C940D0"/>
    <w:rsid w:val="00C94988"/>
    <w:rsid w:val="00C94A69"/>
    <w:rsid w:val="00C952DE"/>
    <w:rsid w:val="00C9576D"/>
    <w:rsid w:val="00C957B6"/>
    <w:rsid w:val="00C959B9"/>
    <w:rsid w:val="00C961C3"/>
    <w:rsid w:val="00C967F7"/>
    <w:rsid w:val="00C96CF2"/>
    <w:rsid w:val="00C96FD0"/>
    <w:rsid w:val="00C971FC"/>
    <w:rsid w:val="00C97E22"/>
    <w:rsid w:val="00C97F6A"/>
    <w:rsid w:val="00CA07C8"/>
    <w:rsid w:val="00CA0823"/>
    <w:rsid w:val="00CA14D1"/>
    <w:rsid w:val="00CA1688"/>
    <w:rsid w:val="00CA1824"/>
    <w:rsid w:val="00CA19BB"/>
    <w:rsid w:val="00CA270B"/>
    <w:rsid w:val="00CA2A41"/>
    <w:rsid w:val="00CA3782"/>
    <w:rsid w:val="00CA3BE8"/>
    <w:rsid w:val="00CA3F9D"/>
    <w:rsid w:val="00CA467A"/>
    <w:rsid w:val="00CA46D9"/>
    <w:rsid w:val="00CA473C"/>
    <w:rsid w:val="00CA497B"/>
    <w:rsid w:val="00CA4ADB"/>
    <w:rsid w:val="00CA52BC"/>
    <w:rsid w:val="00CA55BE"/>
    <w:rsid w:val="00CA5C85"/>
    <w:rsid w:val="00CA619B"/>
    <w:rsid w:val="00CA6433"/>
    <w:rsid w:val="00CA6842"/>
    <w:rsid w:val="00CA6F49"/>
    <w:rsid w:val="00CA70B9"/>
    <w:rsid w:val="00CA74C6"/>
    <w:rsid w:val="00CA752A"/>
    <w:rsid w:val="00CB003D"/>
    <w:rsid w:val="00CB0564"/>
    <w:rsid w:val="00CB066D"/>
    <w:rsid w:val="00CB0E79"/>
    <w:rsid w:val="00CB0F26"/>
    <w:rsid w:val="00CB110F"/>
    <w:rsid w:val="00CB2335"/>
    <w:rsid w:val="00CB23C9"/>
    <w:rsid w:val="00CB25D6"/>
    <w:rsid w:val="00CB28D1"/>
    <w:rsid w:val="00CB2C90"/>
    <w:rsid w:val="00CB3619"/>
    <w:rsid w:val="00CB3788"/>
    <w:rsid w:val="00CB3CAD"/>
    <w:rsid w:val="00CB437C"/>
    <w:rsid w:val="00CB4483"/>
    <w:rsid w:val="00CB4902"/>
    <w:rsid w:val="00CB4D8F"/>
    <w:rsid w:val="00CB4F7C"/>
    <w:rsid w:val="00CB514D"/>
    <w:rsid w:val="00CB566F"/>
    <w:rsid w:val="00CB58B3"/>
    <w:rsid w:val="00CB5F75"/>
    <w:rsid w:val="00CB637E"/>
    <w:rsid w:val="00CB65B0"/>
    <w:rsid w:val="00CB65D7"/>
    <w:rsid w:val="00CB67F0"/>
    <w:rsid w:val="00CB68B5"/>
    <w:rsid w:val="00CB6AD1"/>
    <w:rsid w:val="00CB6C72"/>
    <w:rsid w:val="00CB7882"/>
    <w:rsid w:val="00CB78FD"/>
    <w:rsid w:val="00CB7E1C"/>
    <w:rsid w:val="00CC0244"/>
    <w:rsid w:val="00CC1992"/>
    <w:rsid w:val="00CC1A84"/>
    <w:rsid w:val="00CC2437"/>
    <w:rsid w:val="00CC24ED"/>
    <w:rsid w:val="00CC25F6"/>
    <w:rsid w:val="00CC26CB"/>
    <w:rsid w:val="00CC279C"/>
    <w:rsid w:val="00CC2F7B"/>
    <w:rsid w:val="00CC2FE7"/>
    <w:rsid w:val="00CC385C"/>
    <w:rsid w:val="00CC3B64"/>
    <w:rsid w:val="00CC42EE"/>
    <w:rsid w:val="00CC44EE"/>
    <w:rsid w:val="00CC479D"/>
    <w:rsid w:val="00CC4990"/>
    <w:rsid w:val="00CC4A5F"/>
    <w:rsid w:val="00CC4E4B"/>
    <w:rsid w:val="00CC4FD4"/>
    <w:rsid w:val="00CC528A"/>
    <w:rsid w:val="00CC5325"/>
    <w:rsid w:val="00CC54FD"/>
    <w:rsid w:val="00CC60E8"/>
    <w:rsid w:val="00CC627D"/>
    <w:rsid w:val="00CC6CF9"/>
    <w:rsid w:val="00CC72C5"/>
    <w:rsid w:val="00CC78C4"/>
    <w:rsid w:val="00CC7DE9"/>
    <w:rsid w:val="00CC7E17"/>
    <w:rsid w:val="00CD036E"/>
    <w:rsid w:val="00CD10D5"/>
    <w:rsid w:val="00CD1183"/>
    <w:rsid w:val="00CD1279"/>
    <w:rsid w:val="00CD13E8"/>
    <w:rsid w:val="00CD15F5"/>
    <w:rsid w:val="00CD1A79"/>
    <w:rsid w:val="00CD1AFC"/>
    <w:rsid w:val="00CD1E37"/>
    <w:rsid w:val="00CD257F"/>
    <w:rsid w:val="00CD2906"/>
    <w:rsid w:val="00CD2E1F"/>
    <w:rsid w:val="00CD2E8F"/>
    <w:rsid w:val="00CD3382"/>
    <w:rsid w:val="00CD37FC"/>
    <w:rsid w:val="00CD38CA"/>
    <w:rsid w:val="00CD3EBF"/>
    <w:rsid w:val="00CD422D"/>
    <w:rsid w:val="00CD4432"/>
    <w:rsid w:val="00CD4924"/>
    <w:rsid w:val="00CD4F7C"/>
    <w:rsid w:val="00CD5791"/>
    <w:rsid w:val="00CD5CCE"/>
    <w:rsid w:val="00CD6FE1"/>
    <w:rsid w:val="00CD761E"/>
    <w:rsid w:val="00CD77FE"/>
    <w:rsid w:val="00CD7D2D"/>
    <w:rsid w:val="00CD7E56"/>
    <w:rsid w:val="00CE0098"/>
    <w:rsid w:val="00CE0755"/>
    <w:rsid w:val="00CE0D3F"/>
    <w:rsid w:val="00CE1391"/>
    <w:rsid w:val="00CE2AA3"/>
    <w:rsid w:val="00CE2E5E"/>
    <w:rsid w:val="00CE47B6"/>
    <w:rsid w:val="00CE4A1D"/>
    <w:rsid w:val="00CE4C82"/>
    <w:rsid w:val="00CE5D57"/>
    <w:rsid w:val="00CE63E6"/>
    <w:rsid w:val="00CE6B31"/>
    <w:rsid w:val="00CE7CF8"/>
    <w:rsid w:val="00CF0482"/>
    <w:rsid w:val="00CF06C6"/>
    <w:rsid w:val="00CF0FD5"/>
    <w:rsid w:val="00CF13D4"/>
    <w:rsid w:val="00CF149C"/>
    <w:rsid w:val="00CF15B3"/>
    <w:rsid w:val="00CF179D"/>
    <w:rsid w:val="00CF2EFB"/>
    <w:rsid w:val="00CF3107"/>
    <w:rsid w:val="00CF42C0"/>
    <w:rsid w:val="00CF45B0"/>
    <w:rsid w:val="00CF50E5"/>
    <w:rsid w:val="00CF5178"/>
    <w:rsid w:val="00CF565F"/>
    <w:rsid w:val="00CF5F28"/>
    <w:rsid w:val="00CF61AF"/>
    <w:rsid w:val="00CF688C"/>
    <w:rsid w:val="00CF6927"/>
    <w:rsid w:val="00CF762B"/>
    <w:rsid w:val="00CF7842"/>
    <w:rsid w:val="00CF7F4A"/>
    <w:rsid w:val="00CF7FB4"/>
    <w:rsid w:val="00D0027D"/>
    <w:rsid w:val="00D007DD"/>
    <w:rsid w:val="00D00897"/>
    <w:rsid w:val="00D00A3E"/>
    <w:rsid w:val="00D01947"/>
    <w:rsid w:val="00D02B77"/>
    <w:rsid w:val="00D03551"/>
    <w:rsid w:val="00D0394B"/>
    <w:rsid w:val="00D045AB"/>
    <w:rsid w:val="00D045D2"/>
    <w:rsid w:val="00D04BA6"/>
    <w:rsid w:val="00D04DC5"/>
    <w:rsid w:val="00D04F34"/>
    <w:rsid w:val="00D050CA"/>
    <w:rsid w:val="00D054D8"/>
    <w:rsid w:val="00D05510"/>
    <w:rsid w:val="00D05864"/>
    <w:rsid w:val="00D05DA4"/>
    <w:rsid w:val="00D05E78"/>
    <w:rsid w:val="00D06210"/>
    <w:rsid w:val="00D063DD"/>
    <w:rsid w:val="00D0678D"/>
    <w:rsid w:val="00D06870"/>
    <w:rsid w:val="00D07018"/>
    <w:rsid w:val="00D102D4"/>
    <w:rsid w:val="00D10FF9"/>
    <w:rsid w:val="00D1130C"/>
    <w:rsid w:val="00D11C1D"/>
    <w:rsid w:val="00D12384"/>
    <w:rsid w:val="00D12953"/>
    <w:rsid w:val="00D13355"/>
    <w:rsid w:val="00D14837"/>
    <w:rsid w:val="00D149C8"/>
    <w:rsid w:val="00D14AE5"/>
    <w:rsid w:val="00D14B20"/>
    <w:rsid w:val="00D14EB3"/>
    <w:rsid w:val="00D15024"/>
    <w:rsid w:val="00D153C1"/>
    <w:rsid w:val="00D1545C"/>
    <w:rsid w:val="00D16100"/>
    <w:rsid w:val="00D1657F"/>
    <w:rsid w:val="00D1778F"/>
    <w:rsid w:val="00D17CB4"/>
    <w:rsid w:val="00D17E6D"/>
    <w:rsid w:val="00D201DB"/>
    <w:rsid w:val="00D20299"/>
    <w:rsid w:val="00D202CE"/>
    <w:rsid w:val="00D203E9"/>
    <w:rsid w:val="00D207B8"/>
    <w:rsid w:val="00D20A1A"/>
    <w:rsid w:val="00D20FE9"/>
    <w:rsid w:val="00D210D0"/>
    <w:rsid w:val="00D212E2"/>
    <w:rsid w:val="00D21663"/>
    <w:rsid w:val="00D21BE3"/>
    <w:rsid w:val="00D22742"/>
    <w:rsid w:val="00D227A8"/>
    <w:rsid w:val="00D22CC5"/>
    <w:rsid w:val="00D22D80"/>
    <w:rsid w:val="00D23252"/>
    <w:rsid w:val="00D235C6"/>
    <w:rsid w:val="00D23EA6"/>
    <w:rsid w:val="00D23FAD"/>
    <w:rsid w:val="00D24163"/>
    <w:rsid w:val="00D24BDB"/>
    <w:rsid w:val="00D25618"/>
    <w:rsid w:val="00D257BB"/>
    <w:rsid w:val="00D25AE9"/>
    <w:rsid w:val="00D25B6D"/>
    <w:rsid w:val="00D25CB9"/>
    <w:rsid w:val="00D26A7E"/>
    <w:rsid w:val="00D270CB"/>
    <w:rsid w:val="00D271D5"/>
    <w:rsid w:val="00D2726A"/>
    <w:rsid w:val="00D2732B"/>
    <w:rsid w:val="00D27741"/>
    <w:rsid w:val="00D27D30"/>
    <w:rsid w:val="00D27EA9"/>
    <w:rsid w:val="00D305EC"/>
    <w:rsid w:val="00D30AF7"/>
    <w:rsid w:val="00D30D81"/>
    <w:rsid w:val="00D30FDA"/>
    <w:rsid w:val="00D32155"/>
    <w:rsid w:val="00D321BF"/>
    <w:rsid w:val="00D328B3"/>
    <w:rsid w:val="00D32A90"/>
    <w:rsid w:val="00D33259"/>
    <w:rsid w:val="00D334FE"/>
    <w:rsid w:val="00D3360B"/>
    <w:rsid w:val="00D339CF"/>
    <w:rsid w:val="00D3479D"/>
    <w:rsid w:val="00D34B16"/>
    <w:rsid w:val="00D350A2"/>
    <w:rsid w:val="00D3555D"/>
    <w:rsid w:val="00D358A0"/>
    <w:rsid w:val="00D35B85"/>
    <w:rsid w:val="00D364B4"/>
    <w:rsid w:val="00D400F9"/>
    <w:rsid w:val="00D408EA"/>
    <w:rsid w:val="00D40A15"/>
    <w:rsid w:val="00D40D72"/>
    <w:rsid w:val="00D4126C"/>
    <w:rsid w:val="00D41476"/>
    <w:rsid w:val="00D4151C"/>
    <w:rsid w:val="00D41AF1"/>
    <w:rsid w:val="00D4208F"/>
    <w:rsid w:val="00D421F0"/>
    <w:rsid w:val="00D4282A"/>
    <w:rsid w:val="00D431E2"/>
    <w:rsid w:val="00D4352D"/>
    <w:rsid w:val="00D43D00"/>
    <w:rsid w:val="00D43E91"/>
    <w:rsid w:val="00D443FB"/>
    <w:rsid w:val="00D44613"/>
    <w:rsid w:val="00D447CE"/>
    <w:rsid w:val="00D453D3"/>
    <w:rsid w:val="00D45BA9"/>
    <w:rsid w:val="00D4637C"/>
    <w:rsid w:val="00D46455"/>
    <w:rsid w:val="00D4671F"/>
    <w:rsid w:val="00D468AC"/>
    <w:rsid w:val="00D46E83"/>
    <w:rsid w:val="00D506A7"/>
    <w:rsid w:val="00D50DA5"/>
    <w:rsid w:val="00D52542"/>
    <w:rsid w:val="00D5329B"/>
    <w:rsid w:val="00D539C8"/>
    <w:rsid w:val="00D53B61"/>
    <w:rsid w:val="00D53E60"/>
    <w:rsid w:val="00D54295"/>
    <w:rsid w:val="00D545C5"/>
    <w:rsid w:val="00D5485E"/>
    <w:rsid w:val="00D557E6"/>
    <w:rsid w:val="00D56329"/>
    <w:rsid w:val="00D56621"/>
    <w:rsid w:val="00D5682D"/>
    <w:rsid w:val="00D56DE3"/>
    <w:rsid w:val="00D570BC"/>
    <w:rsid w:val="00D573EA"/>
    <w:rsid w:val="00D579A6"/>
    <w:rsid w:val="00D60D2B"/>
    <w:rsid w:val="00D61150"/>
    <w:rsid w:val="00D61457"/>
    <w:rsid w:val="00D616DC"/>
    <w:rsid w:val="00D61A22"/>
    <w:rsid w:val="00D61D9E"/>
    <w:rsid w:val="00D621AA"/>
    <w:rsid w:val="00D62EF8"/>
    <w:rsid w:val="00D6300D"/>
    <w:rsid w:val="00D631D2"/>
    <w:rsid w:val="00D637D9"/>
    <w:rsid w:val="00D639E1"/>
    <w:rsid w:val="00D63D4E"/>
    <w:rsid w:val="00D64123"/>
    <w:rsid w:val="00D65906"/>
    <w:rsid w:val="00D65B7C"/>
    <w:rsid w:val="00D66024"/>
    <w:rsid w:val="00D668E6"/>
    <w:rsid w:val="00D66DC1"/>
    <w:rsid w:val="00D66EF0"/>
    <w:rsid w:val="00D66F25"/>
    <w:rsid w:val="00D66FC5"/>
    <w:rsid w:val="00D6706B"/>
    <w:rsid w:val="00D6741D"/>
    <w:rsid w:val="00D677C4"/>
    <w:rsid w:val="00D679C2"/>
    <w:rsid w:val="00D67C57"/>
    <w:rsid w:val="00D7015A"/>
    <w:rsid w:val="00D7088D"/>
    <w:rsid w:val="00D7095B"/>
    <w:rsid w:val="00D711C5"/>
    <w:rsid w:val="00D71663"/>
    <w:rsid w:val="00D7169F"/>
    <w:rsid w:val="00D720BD"/>
    <w:rsid w:val="00D720F1"/>
    <w:rsid w:val="00D72354"/>
    <w:rsid w:val="00D7252F"/>
    <w:rsid w:val="00D72CCE"/>
    <w:rsid w:val="00D73319"/>
    <w:rsid w:val="00D7477C"/>
    <w:rsid w:val="00D74926"/>
    <w:rsid w:val="00D75ACC"/>
    <w:rsid w:val="00D75C7B"/>
    <w:rsid w:val="00D75F30"/>
    <w:rsid w:val="00D76F19"/>
    <w:rsid w:val="00D774C7"/>
    <w:rsid w:val="00D77828"/>
    <w:rsid w:val="00D77EFF"/>
    <w:rsid w:val="00D80583"/>
    <w:rsid w:val="00D806D3"/>
    <w:rsid w:val="00D807F1"/>
    <w:rsid w:val="00D8088C"/>
    <w:rsid w:val="00D80C09"/>
    <w:rsid w:val="00D81005"/>
    <w:rsid w:val="00D8167D"/>
    <w:rsid w:val="00D81873"/>
    <w:rsid w:val="00D81B81"/>
    <w:rsid w:val="00D81CC4"/>
    <w:rsid w:val="00D82C72"/>
    <w:rsid w:val="00D82EE9"/>
    <w:rsid w:val="00D832B5"/>
    <w:rsid w:val="00D833CD"/>
    <w:rsid w:val="00D83A2E"/>
    <w:rsid w:val="00D8453D"/>
    <w:rsid w:val="00D84687"/>
    <w:rsid w:val="00D84C68"/>
    <w:rsid w:val="00D84D5F"/>
    <w:rsid w:val="00D854A2"/>
    <w:rsid w:val="00D856CB"/>
    <w:rsid w:val="00D85BA2"/>
    <w:rsid w:val="00D85DC3"/>
    <w:rsid w:val="00D85DEE"/>
    <w:rsid w:val="00D86957"/>
    <w:rsid w:val="00D86A93"/>
    <w:rsid w:val="00D86AD5"/>
    <w:rsid w:val="00D86C5D"/>
    <w:rsid w:val="00D86F68"/>
    <w:rsid w:val="00D8720C"/>
    <w:rsid w:val="00D8786E"/>
    <w:rsid w:val="00D87E0F"/>
    <w:rsid w:val="00D87EF5"/>
    <w:rsid w:val="00D90267"/>
    <w:rsid w:val="00D905A3"/>
    <w:rsid w:val="00D90A72"/>
    <w:rsid w:val="00D90D40"/>
    <w:rsid w:val="00D9104C"/>
    <w:rsid w:val="00D91111"/>
    <w:rsid w:val="00D917C7"/>
    <w:rsid w:val="00D91CA2"/>
    <w:rsid w:val="00D92719"/>
    <w:rsid w:val="00D92844"/>
    <w:rsid w:val="00D92A52"/>
    <w:rsid w:val="00D92CB8"/>
    <w:rsid w:val="00D92D7A"/>
    <w:rsid w:val="00D94248"/>
    <w:rsid w:val="00D94CD4"/>
    <w:rsid w:val="00D95300"/>
    <w:rsid w:val="00D95C9B"/>
    <w:rsid w:val="00D95D9F"/>
    <w:rsid w:val="00D960C7"/>
    <w:rsid w:val="00D962ED"/>
    <w:rsid w:val="00D96631"/>
    <w:rsid w:val="00D96987"/>
    <w:rsid w:val="00D96B28"/>
    <w:rsid w:val="00D96D87"/>
    <w:rsid w:val="00DA00FE"/>
    <w:rsid w:val="00DA0D97"/>
    <w:rsid w:val="00DA10B6"/>
    <w:rsid w:val="00DA11A7"/>
    <w:rsid w:val="00DA12F4"/>
    <w:rsid w:val="00DA249E"/>
    <w:rsid w:val="00DA2AFF"/>
    <w:rsid w:val="00DA2B04"/>
    <w:rsid w:val="00DA2E89"/>
    <w:rsid w:val="00DA2F07"/>
    <w:rsid w:val="00DA3752"/>
    <w:rsid w:val="00DA3DEC"/>
    <w:rsid w:val="00DA4461"/>
    <w:rsid w:val="00DA47C4"/>
    <w:rsid w:val="00DA4B31"/>
    <w:rsid w:val="00DA4CF9"/>
    <w:rsid w:val="00DA4F8C"/>
    <w:rsid w:val="00DA5DB6"/>
    <w:rsid w:val="00DA5DC0"/>
    <w:rsid w:val="00DA62C1"/>
    <w:rsid w:val="00DA6389"/>
    <w:rsid w:val="00DA6630"/>
    <w:rsid w:val="00DA747F"/>
    <w:rsid w:val="00DA7691"/>
    <w:rsid w:val="00DB0054"/>
    <w:rsid w:val="00DB1681"/>
    <w:rsid w:val="00DB1D0E"/>
    <w:rsid w:val="00DB20FD"/>
    <w:rsid w:val="00DB2595"/>
    <w:rsid w:val="00DB2CCB"/>
    <w:rsid w:val="00DB327D"/>
    <w:rsid w:val="00DB3688"/>
    <w:rsid w:val="00DB46F2"/>
    <w:rsid w:val="00DB493E"/>
    <w:rsid w:val="00DB4DE4"/>
    <w:rsid w:val="00DB649E"/>
    <w:rsid w:val="00DB64EE"/>
    <w:rsid w:val="00DB657E"/>
    <w:rsid w:val="00DB65C0"/>
    <w:rsid w:val="00DB74B1"/>
    <w:rsid w:val="00DB7C11"/>
    <w:rsid w:val="00DC031E"/>
    <w:rsid w:val="00DC0424"/>
    <w:rsid w:val="00DC0475"/>
    <w:rsid w:val="00DC062C"/>
    <w:rsid w:val="00DC09CA"/>
    <w:rsid w:val="00DC1023"/>
    <w:rsid w:val="00DC1386"/>
    <w:rsid w:val="00DC144A"/>
    <w:rsid w:val="00DC181C"/>
    <w:rsid w:val="00DC2440"/>
    <w:rsid w:val="00DC2A42"/>
    <w:rsid w:val="00DC30F3"/>
    <w:rsid w:val="00DC3574"/>
    <w:rsid w:val="00DC40C3"/>
    <w:rsid w:val="00DC4278"/>
    <w:rsid w:val="00DC492B"/>
    <w:rsid w:val="00DC4A00"/>
    <w:rsid w:val="00DC4A83"/>
    <w:rsid w:val="00DC4E58"/>
    <w:rsid w:val="00DC54A4"/>
    <w:rsid w:val="00DC5625"/>
    <w:rsid w:val="00DC58E0"/>
    <w:rsid w:val="00DC6260"/>
    <w:rsid w:val="00DC6A61"/>
    <w:rsid w:val="00DC6B76"/>
    <w:rsid w:val="00DC6C22"/>
    <w:rsid w:val="00DC73BC"/>
    <w:rsid w:val="00DC7688"/>
    <w:rsid w:val="00DD0EAB"/>
    <w:rsid w:val="00DD0F6F"/>
    <w:rsid w:val="00DD1335"/>
    <w:rsid w:val="00DD19B8"/>
    <w:rsid w:val="00DD1F39"/>
    <w:rsid w:val="00DD24E0"/>
    <w:rsid w:val="00DD28B9"/>
    <w:rsid w:val="00DD2D6E"/>
    <w:rsid w:val="00DD33A0"/>
    <w:rsid w:val="00DD3AC2"/>
    <w:rsid w:val="00DD3C69"/>
    <w:rsid w:val="00DD3C82"/>
    <w:rsid w:val="00DD3D72"/>
    <w:rsid w:val="00DD3EDE"/>
    <w:rsid w:val="00DD5C09"/>
    <w:rsid w:val="00DD69E3"/>
    <w:rsid w:val="00DD7653"/>
    <w:rsid w:val="00DD782F"/>
    <w:rsid w:val="00DD783B"/>
    <w:rsid w:val="00DD790D"/>
    <w:rsid w:val="00DD7934"/>
    <w:rsid w:val="00DE0A40"/>
    <w:rsid w:val="00DE0BA3"/>
    <w:rsid w:val="00DE0EBF"/>
    <w:rsid w:val="00DE1653"/>
    <w:rsid w:val="00DE2C8F"/>
    <w:rsid w:val="00DE2C98"/>
    <w:rsid w:val="00DE2D8D"/>
    <w:rsid w:val="00DE31D3"/>
    <w:rsid w:val="00DE32FD"/>
    <w:rsid w:val="00DE371F"/>
    <w:rsid w:val="00DE3CC2"/>
    <w:rsid w:val="00DE6364"/>
    <w:rsid w:val="00DE6818"/>
    <w:rsid w:val="00DE6929"/>
    <w:rsid w:val="00DE6B71"/>
    <w:rsid w:val="00DE7C34"/>
    <w:rsid w:val="00DE7D7D"/>
    <w:rsid w:val="00DF00A8"/>
    <w:rsid w:val="00DF06B7"/>
    <w:rsid w:val="00DF0E04"/>
    <w:rsid w:val="00DF1826"/>
    <w:rsid w:val="00DF1AF3"/>
    <w:rsid w:val="00DF1E1A"/>
    <w:rsid w:val="00DF1FE0"/>
    <w:rsid w:val="00DF210C"/>
    <w:rsid w:val="00DF3036"/>
    <w:rsid w:val="00DF4E52"/>
    <w:rsid w:val="00DF4EB5"/>
    <w:rsid w:val="00DF5187"/>
    <w:rsid w:val="00DF53AF"/>
    <w:rsid w:val="00DF58B4"/>
    <w:rsid w:val="00DF5957"/>
    <w:rsid w:val="00DF5F24"/>
    <w:rsid w:val="00DF655F"/>
    <w:rsid w:val="00DF6D5D"/>
    <w:rsid w:val="00DF759D"/>
    <w:rsid w:val="00DF75DF"/>
    <w:rsid w:val="00DF75F3"/>
    <w:rsid w:val="00DF767E"/>
    <w:rsid w:val="00DF78B3"/>
    <w:rsid w:val="00DF7BAE"/>
    <w:rsid w:val="00DF7E6D"/>
    <w:rsid w:val="00E00B42"/>
    <w:rsid w:val="00E00F82"/>
    <w:rsid w:val="00E014D2"/>
    <w:rsid w:val="00E01802"/>
    <w:rsid w:val="00E01914"/>
    <w:rsid w:val="00E019B4"/>
    <w:rsid w:val="00E02483"/>
    <w:rsid w:val="00E02AF7"/>
    <w:rsid w:val="00E0326E"/>
    <w:rsid w:val="00E04357"/>
    <w:rsid w:val="00E04835"/>
    <w:rsid w:val="00E04F3F"/>
    <w:rsid w:val="00E0546F"/>
    <w:rsid w:val="00E05BA4"/>
    <w:rsid w:val="00E05EE8"/>
    <w:rsid w:val="00E05EEA"/>
    <w:rsid w:val="00E06117"/>
    <w:rsid w:val="00E06CC5"/>
    <w:rsid w:val="00E06DA8"/>
    <w:rsid w:val="00E074B0"/>
    <w:rsid w:val="00E079C3"/>
    <w:rsid w:val="00E07A34"/>
    <w:rsid w:val="00E07C44"/>
    <w:rsid w:val="00E07EB2"/>
    <w:rsid w:val="00E07ECF"/>
    <w:rsid w:val="00E10904"/>
    <w:rsid w:val="00E10BC8"/>
    <w:rsid w:val="00E112A2"/>
    <w:rsid w:val="00E112A5"/>
    <w:rsid w:val="00E1170A"/>
    <w:rsid w:val="00E11963"/>
    <w:rsid w:val="00E122E1"/>
    <w:rsid w:val="00E1255D"/>
    <w:rsid w:val="00E1289F"/>
    <w:rsid w:val="00E12D3B"/>
    <w:rsid w:val="00E1353E"/>
    <w:rsid w:val="00E13BD4"/>
    <w:rsid w:val="00E13EE0"/>
    <w:rsid w:val="00E144DC"/>
    <w:rsid w:val="00E14569"/>
    <w:rsid w:val="00E14703"/>
    <w:rsid w:val="00E150B9"/>
    <w:rsid w:val="00E15772"/>
    <w:rsid w:val="00E15A39"/>
    <w:rsid w:val="00E15DAA"/>
    <w:rsid w:val="00E15FD6"/>
    <w:rsid w:val="00E16016"/>
    <w:rsid w:val="00E16116"/>
    <w:rsid w:val="00E16D69"/>
    <w:rsid w:val="00E17FC4"/>
    <w:rsid w:val="00E2041E"/>
    <w:rsid w:val="00E2056E"/>
    <w:rsid w:val="00E205A5"/>
    <w:rsid w:val="00E20EB3"/>
    <w:rsid w:val="00E21A3F"/>
    <w:rsid w:val="00E221DD"/>
    <w:rsid w:val="00E222A4"/>
    <w:rsid w:val="00E222D3"/>
    <w:rsid w:val="00E22C20"/>
    <w:rsid w:val="00E23E08"/>
    <w:rsid w:val="00E23EBF"/>
    <w:rsid w:val="00E24359"/>
    <w:rsid w:val="00E24459"/>
    <w:rsid w:val="00E246D4"/>
    <w:rsid w:val="00E251C0"/>
    <w:rsid w:val="00E259B6"/>
    <w:rsid w:val="00E25F5E"/>
    <w:rsid w:val="00E2648E"/>
    <w:rsid w:val="00E26F87"/>
    <w:rsid w:val="00E3015C"/>
    <w:rsid w:val="00E302FF"/>
    <w:rsid w:val="00E3031B"/>
    <w:rsid w:val="00E3066D"/>
    <w:rsid w:val="00E3127B"/>
    <w:rsid w:val="00E3137A"/>
    <w:rsid w:val="00E3145A"/>
    <w:rsid w:val="00E323E2"/>
    <w:rsid w:val="00E32B75"/>
    <w:rsid w:val="00E33154"/>
    <w:rsid w:val="00E33688"/>
    <w:rsid w:val="00E33BEE"/>
    <w:rsid w:val="00E33CED"/>
    <w:rsid w:val="00E34401"/>
    <w:rsid w:val="00E34719"/>
    <w:rsid w:val="00E347B2"/>
    <w:rsid w:val="00E34AC2"/>
    <w:rsid w:val="00E3556D"/>
    <w:rsid w:val="00E36BAE"/>
    <w:rsid w:val="00E372AE"/>
    <w:rsid w:val="00E372F7"/>
    <w:rsid w:val="00E37331"/>
    <w:rsid w:val="00E374CF"/>
    <w:rsid w:val="00E375D1"/>
    <w:rsid w:val="00E40217"/>
    <w:rsid w:val="00E40A2D"/>
    <w:rsid w:val="00E41A3A"/>
    <w:rsid w:val="00E42AD3"/>
    <w:rsid w:val="00E42AE6"/>
    <w:rsid w:val="00E42BE0"/>
    <w:rsid w:val="00E4301F"/>
    <w:rsid w:val="00E43872"/>
    <w:rsid w:val="00E438E1"/>
    <w:rsid w:val="00E44AE9"/>
    <w:rsid w:val="00E451F3"/>
    <w:rsid w:val="00E45F48"/>
    <w:rsid w:val="00E473F1"/>
    <w:rsid w:val="00E4752B"/>
    <w:rsid w:val="00E478C9"/>
    <w:rsid w:val="00E50005"/>
    <w:rsid w:val="00E5009F"/>
    <w:rsid w:val="00E5035B"/>
    <w:rsid w:val="00E50972"/>
    <w:rsid w:val="00E50AEC"/>
    <w:rsid w:val="00E50E53"/>
    <w:rsid w:val="00E51305"/>
    <w:rsid w:val="00E5144E"/>
    <w:rsid w:val="00E51EA5"/>
    <w:rsid w:val="00E51F9A"/>
    <w:rsid w:val="00E52193"/>
    <w:rsid w:val="00E524FA"/>
    <w:rsid w:val="00E527F8"/>
    <w:rsid w:val="00E528E8"/>
    <w:rsid w:val="00E529F5"/>
    <w:rsid w:val="00E52D53"/>
    <w:rsid w:val="00E530B8"/>
    <w:rsid w:val="00E532CA"/>
    <w:rsid w:val="00E5354C"/>
    <w:rsid w:val="00E53B97"/>
    <w:rsid w:val="00E54721"/>
    <w:rsid w:val="00E54D53"/>
    <w:rsid w:val="00E554E8"/>
    <w:rsid w:val="00E56D0C"/>
    <w:rsid w:val="00E56F13"/>
    <w:rsid w:val="00E57523"/>
    <w:rsid w:val="00E57F4D"/>
    <w:rsid w:val="00E60171"/>
    <w:rsid w:val="00E60978"/>
    <w:rsid w:val="00E60FF7"/>
    <w:rsid w:val="00E612B7"/>
    <w:rsid w:val="00E61894"/>
    <w:rsid w:val="00E61F8B"/>
    <w:rsid w:val="00E62214"/>
    <w:rsid w:val="00E6245C"/>
    <w:rsid w:val="00E62B35"/>
    <w:rsid w:val="00E62C34"/>
    <w:rsid w:val="00E62D90"/>
    <w:rsid w:val="00E63140"/>
    <w:rsid w:val="00E633DC"/>
    <w:rsid w:val="00E646D2"/>
    <w:rsid w:val="00E64760"/>
    <w:rsid w:val="00E64864"/>
    <w:rsid w:val="00E64BA0"/>
    <w:rsid w:val="00E65309"/>
    <w:rsid w:val="00E6533D"/>
    <w:rsid w:val="00E655E2"/>
    <w:rsid w:val="00E65A51"/>
    <w:rsid w:val="00E65CD8"/>
    <w:rsid w:val="00E66603"/>
    <w:rsid w:val="00E66915"/>
    <w:rsid w:val="00E66DC4"/>
    <w:rsid w:val="00E66E11"/>
    <w:rsid w:val="00E67700"/>
    <w:rsid w:val="00E67D22"/>
    <w:rsid w:val="00E711EA"/>
    <w:rsid w:val="00E715D0"/>
    <w:rsid w:val="00E71851"/>
    <w:rsid w:val="00E72028"/>
    <w:rsid w:val="00E7221E"/>
    <w:rsid w:val="00E72EC8"/>
    <w:rsid w:val="00E735A9"/>
    <w:rsid w:val="00E735FE"/>
    <w:rsid w:val="00E73ACF"/>
    <w:rsid w:val="00E74ECC"/>
    <w:rsid w:val="00E75863"/>
    <w:rsid w:val="00E760AA"/>
    <w:rsid w:val="00E7627E"/>
    <w:rsid w:val="00E76EB1"/>
    <w:rsid w:val="00E77186"/>
    <w:rsid w:val="00E776F0"/>
    <w:rsid w:val="00E7782D"/>
    <w:rsid w:val="00E800C6"/>
    <w:rsid w:val="00E80640"/>
    <w:rsid w:val="00E807F1"/>
    <w:rsid w:val="00E80F80"/>
    <w:rsid w:val="00E81085"/>
    <w:rsid w:val="00E8157E"/>
    <w:rsid w:val="00E815FC"/>
    <w:rsid w:val="00E81736"/>
    <w:rsid w:val="00E81994"/>
    <w:rsid w:val="00E81ED7"/>
    <w:rsid w:val="00E82586"/>
    <w:rsid w:val="00E826C4"/>
    <w:rsid w:val="00E82A2B"/>
    <w:rsid w:val="00E82D58"/>
    <w:rsid w:val="00E82F1F"/>
    <w:rsid w:val="00E82FC6"/>
    <w:rsid w:val="00E830F1"/>
    <w:rsid w:val="00E83154"/>
    <w:rsid w:val="00E837F9"/>
    <w:rsid w:val="00E83A20"/>
    <w:rsid w:val="00E83B64"/>
    <w:rsid w:val="00E84301"/>
    <w:rsid w:val="00E84357"/>
    <w:rsid w:val="00E84C24"/>
    <w:rsid w:val="00E84D69"/>
    <w:rsid w:val="00E84F1E"/>
    <w:rsid w:val="00E850C3"/>
    <w:rsid w:val="00E85535"/>
    <w:rsid w:val="00E856C5"/>
    <w:rsid w:val="00E85C7C"/>
    <w:rsid w:val="00E86488"/>
    <w:rsid w:val="00E86DAD"/>
    <w:rsid w:val="00E870F0"/>
    <w:rsid w:val="00E90228"/>
    <w:rsid w:val="00E907F4"/>
    <w:rsid w:val="00E90D82"/>
    <w:rsid w:val="00E90DCC"/>
    <w:rsid w:val="00E90F4A"/>
    <w:rsid w:val="00E9145C"/>
    <w:rsid w:val="00E919A6"/>
    <w:rsid w:val="00E926C6"/>
    <w:rsid w:val="00E928C3"/>
    <w:rsid w:val="00E9351C"/>
    <w:rsid w:val="00E94F63"/>
    <w:rsid w:val="00E95A44"/>
    <w:rsid w:val="00E95A66"/>
    <w:rsid w:val="00E95BB8"/>
    <w:rsid w:val="00E95F4E"/>
    <w:rsid w:val="00E962CA"/>
    <w:rsid w:val="00E963A4"/>
    <w:rsid w:val="00E963FF"/>
    <w:rsid w:val="00E96556"/>
    <w:rsid w:val="00E969F1"/>
    <w:rsid w:val="00E96D10"/>
    <w:rsid w:val="00E96E5D"/>
    <w:rsid w:val="00E9710C"/>
    <w:rsid w:val="00E9798A"/>
    <w:rsid w:val="00E979F7"/>
    <w:rsid w:val="00EA0266"/>
    <w:rsid w:val="00EA0968"/>
    <w:rsid w:val="00EA1477"/>
    <w:rsid w:val="00EA1D58"/>
    <w:rsid w:val="00EA26A0"/>
    <w:rsid w:val="00EA3000"/>
    <w:rsid w:val="00EA327C"/>
    <w:rsid w:val="00EA3725"/>
    <w:rsid w:val="00EA3936"/>
    <w:rsid w:val="00EA44F5"/>
    <w:rsid w:val="00EA4D49"/>
    <w:rsid w:val="00EA513F"/>
    <w:rsid w:val="00EA591B"/>
    <w:rsid w:val="00EA5961"/>
    <w:rsid w:val="00EA5CD1"/>
    <w:rsid w:val="00EA5E2A"/>
    <w:rsid w:val="00EA6D84"/>
    <w:rsid w:val="00EA6F9F"/>
    <w:rsid w:val="00EA734E"/>
    <w:rsid w:val="00EA7710"/>
    <w:rsid w:val="00EA7D38"/>
    <w:rsid w:val="00EB05B6"/>
    <w:rsid w:val="00EB0731"/>
    <w:rsid w:val="00EB07A3"/>
    <w:rsid w:val="00EB093B"/>
    <w:rsid w:val="00EB0FEE"/>
    <w:rsid w:val="00EB1015"/>
    <w:rsid w:val="00EB11AE"/>
    <w:rsid w:val="00EB15DC"/>
    <w:rsid w:val="00EB18A7"/>
    <w:rsid w:val="00EB19BD"/>
    <w:rsid w:val="00EB2020"/>
    <w:rsid w:val="00EB26AF"/>
    <w:rsid w:val="00EB27D5"/>
    <w:rsid w:val="00EB28E9"/>
    <w:rsid w:val="00EB29BC"/>
    <w:rsid w:val="00EB2A3B"/>
    <w:rsid w:val="00EB2E09"/>
    <w:rsid w:val="00EB31A7"/>
    <w:rsid w:val="00EB336B"/>
    <w:rsid w:val="00EB3653"/>
    <w:rsid w:val="00EB3F65"/>
    <w:rsid w:val="00EB425D"/>
    <w:rsid w:val="00EB45FA"/>
    <w:rsid w:val="00EB5094"/>
    <w:rsid w:val="00EB578A"/>
    <w:rsid w:val="00EB5D47"/>
    <w:rsid w:val="00EB5F16"/>
    <w:rsid w:val="00EB6454"/>
    <w:rsid w:val="00EB6AFD"/>
    <w:rsid w:val="00EB6C7D"/>
    <w:rsid w:val="00EB70E5"/>
    <w:rsid w:val="00EB75BC"/>
    <w:rsid w:val="00EB7763"/>
    <w:rsid w:val="00EB7914"/>
    <w:rsid w:val="00EB7AC2"/>
    <w:rsid w:val="00EB7C8E"/>
    <w:rsid w:val="00EB7E72"/>
    <w:rsid w:val="00EC0116"/>
    <w:rsid w:val="00EC02BE"/>
    <w:rsid w:val="00EC056C"/>
    <w:rsid w:val="00EC0A11"/>
    <w:rsid w:val="00EC1416"/>
    <w:rsid w:val="00EC146E"/>
    <w:rsid w:val="00EC1B1A"/>
    <w:rsid w:val="00EC1C15"/>
    <w:rsid w:val="00EC1D82"/>
    <w:rsid w:val="00EC1E1D"/>
    <w:rsid w:val="00EC21CA"/>
    <w:rsid w:val="00EC35DE"/>
    <w:rsid w:val="00EC3EDF"/>
    <w:rsid w:val="00EC4B9D"/>
    <w:rsid w:val="00EC53E6"/>
    <w:rsid w:val="00EC543A"/>
    <w:rsid w:val="00EC5975"/>
    <w:rsid w:val="00EC5F64"/>
    <w:rsid w:val="00EC6130"/>
    <w:rsid w:val="00EC6766"/>
    <w:rsid w:val="00EC6B27"/>
    <w:rsid w:val="00EC6BF6"/>
    <w:rsid w:val="00EC74A6"/>
    <w:rsid w:val="00EC758A"/>
    <w:rsid w:val="00EC7AE3"/>
    <w:rsid w:val="00EC7E08"/>
    <w:rsid w:val="00ED0F4E"/>
    <w:rsid w:val="00ED1075"/>
    <w:rsid w:val="00ED1971"/>
    <w:rsid w:val="00ED1993"/>
    <w:rsid w:val="00ED19E8"/>
    <w:rsid w:val="00ED1A17"/>
    <w:rsid w:val="00ED1A58"/>
    <w:rsid w:val="00ED1E9A"/>
    <w:rsid w:val="00ED1FCD"/>
    <w:rsid w:val="00ED1FF7"/>
    <w:rsid w:val="00ED2563"/>
    <w:rsid w:val="00ED2A12"/>
    <w:rsid w:val="00ED2A4C"/>
    <w:rsid w:val="00ED2B3B"/>
    <w:rsid w:val="00ED2BDC"/>
    <w:rsid w:val="00ED312C"/>
    <w:rsid w:val="00ED395D"/>
    <w:rsid w:val="00ED4371"/>
    <w:rsid w:val="00ED583E"/>
    <w:rsid w:val="00ED5CE5"/>
    <w:rsid w:val="00ED6DFC"/>
    <w:rsid w:val="00ED710A"/>
    <w:rsid w:val="00ED75CF"/>
    <w:rsid w:val="00ED762B"/>
    <w:rsid w:val="00ED7C90"/>
    <w:rsid w:val="00EE067C"/>
    <w:rsid w:val="00EE0E5B"/>
    <w:rsid w:val="00EE11D4"/>
    <w:rsid w:val="00EE1275"/>
    <w:rsid w:val="00EE1597"/>
    <w:rsid w:val="00EE16AD"/>
    <w:rsid w:val="00EE1D7D"/>
    <w:rsid w:val="00EE1DA1"/>
    <w:rsid w:val="00EE2031"/>
    <w:rsid w:val="00EE2D3E"/>
    <w:rsid w:val="00EE35DE"/>
    <w:rsid w:val="00EE370C"/>
    <w:rsid w:val="00EE4924"/>
    <w:rsid w:val="00EE641B"/>
    <w:rsid w:val="00EE6C29"/>
    <w:rsid w:val="00EE715E"/>
    <w:rsid w:val="00EE7204"/>
    <w:rsid w:val="00EE7232"/>
    <w:rsid w:val="00EE754A"/>
    <w:rsid w:val="00EE7A5E"/>
    <w:rsid w:val="00EE7F4F"/>
    <w:rsid w:val="00EF002E"/>
    <w:rsid w:val="00EF0377"/>
    <w:rsid w:val="00EF039F"/>
    <w:rsid w:val="00EF0491"/>
    <w:rsid w:val="00EF05F3"/>
    <w:rsid w:val="00EF0CEF"/>
    <w:rsid w:val="00EF119B"/>
    <w:rsid w:val="00EF11CE"/>
    <w:rsid w:val="00EF120E"/>
    <w:rsid w:val="00EF13FE"/>
    <w:rsid w:val="00EF1488"/>
    <w:rsid w:val="00EF1801"/>
    <w:rsid w:val="00EF1A7E"/>
    <w:rsid w:val="00EF1ECC"/>
    <w:rsid w:val="00EF2143"/>
    <w:rsid w:val="00EF256E"/>
    <w:rsid w:val="00EF2C6E"/>
    <w:rsid w:val="00EF3159"/>
    <w:rsid w:val="00EF384D"/>
    <w:rsid w:val="00EF4569"/>
    <w:rsid w:val="00EF4B37"/>
    <w:rsid w:val="00EF4F51"/>
    <w:rsid w:val="00EF51DF"/>
    <w:rsid w:val="00EF51FC"/>
    <w:rsid w:val="00EF61CD"/>
    <w:rsid w:val="00EF6960"/>
    <w:rsid w:val="00EF6C4A"/>
    <w:rsid w:val="00EF6D95"/>
    <w:rsid w:val="00EF74D6"/>
    <w:rsid w:val="00EF7D4C"/>
    <w:rsid w:val="00F0083A"/>
    <w:rsid w:val="00F0088A"/>
    <w:rsid w:val="00F00DB1"/>
    <w:rsid w:val="00F01BC1"/>
    <w:rsid w:val="00F01DA0"/>
    <w:rsid w:val="00F01E26"/>
    <w:rsid w:val="00F02BB9"/>
    <w:rsid w:val="00F02E7D"/>
    <w:rsid w:val="00F03706"/>
    <w:rsid w:val="00F05E11"/>
    <w:rsid w:val="00F060ED"/>
    <w:rsid w:val="00F062AC"/>
    <w:rsid w:val="00F068A0"/>
    <w:rsid w:val="00F06FD7"/>
    <w:rsid w:val="00F070A4"/>
    <w:rsid w:val="00F0745D"/>
    <w:rsid w:val="00F0756C"/>
    <w:rsid w:val="00F076DB"/>
    <w:rsid w:val="00F10983"/>
    <w:rsid w:val="00F10C63"/>
    <w:rsid w:val="00F112AD"/>
    <w:rsid w:val="00F115CA"/>
    <w:rsid w:val="00F121CB"/>
    <w:rsid w:val="00F124CD"/>
    <w:rsid w:val="00F12787"/>
    <w:rsid w:val="00F12B84"/>
    <w:rsid w:val="00F12C33"/>
    <w:rsid w:val="00F12D2B"/>
    <w:rsid w:val="00F136A0"/>
    <w:rsid w:val="00F140B4"/>
    <w:rsid w:val="00F146C4"/>
    <w:rsid w:val="00F147E1"/>
    <w:rsid w:val="00F152AB"/>
    <w:rsid w:val="00F15824"/>
    <w:rsid w:val="00F158E2"/>
    <w:rsid w:val="00F15AA3"/>
    <w:rsid w:val="00F15BE9"/>
    <w:rsid w:val="00F16342"/>
    <w:rsid w:val="00F166FC"/>
    <w:rsid w:val="00F1693D"/>
    <w:rsid w:val="00F16A13"/>
    <w:rsid w:val="00F17101"/>
    <w:rsid w:val="00F175F6"/>
    <w:rsid w:val="00F177DC"/>
    <w:rsid w:val="00F17AC1"/>
    <w:rsid w:val="00F17E8E"/>
    <w:rsid w:val="00F2092E"/>
    <w:rsid w:val="00F20A25"/>
    <w:rsid w:val="00F20B06"/>
    <w:rsid w:val="00F20D6E"/>
    <w:rsid w:val="00F21433"/>
    <w:rsid w:val="00F222D9"/>
    <w:rsid w:val="00F225F8"/>
    <w:rsid w:val="00F22810"/>
    <w:rsid w:val="00F23002"/>
    <w:rsid w:val="00F23521"/>
    <w:rsid w:val="00F2359F"/>
    <w:rsid w:val="00F23BA9"/>
    <w:rsid w:val="00F241D5"/>
    <w:rsid w:val="00F2486D"/>
    <w:rsid w:val="00F24A6F"/>
    <w:rsid w:val="00F24B47"/>
    <w:rsid w:val="00F25573"/>
    <w:rsid w:val="00F25733"/>
    <w:rsid w:val="00F25A5B"/>
    <w:rsid w:val="00F25E05"/>
    <w:rsid w:val="00F263C4"/>
    <w:rsid w:val="00F26B85"/>
    <w:rsid w:val="00F26F08"/>
    <w:rsid w:val="00F2710C"/>
    <w:rsid w:val="00F27189"/>
    <w:rsid w:val="00F274F9"/>
    <w:rsid w:val="00F2783D"/>
    <w:rsid w:val="00F301B4"/>
    <w:rsid w:val="00F30865"/>
    <w:rsid w:val="00F314CA"/>
    <w:rsid w:val="00F31547"/>
    <w:rsid w:val="00F31F31"/>
    <w:rsid w:val="00F31F85"/>
    <w:rsid w:val="00F3334A"/>
    <w:rsid w:val="00F33A4D"/>
    <w:rsid w:val="00F34F34"/>
    <w:rsid w:val="00F3519E"/>
    <w:rsid w:val="00F35350"/>
    <w:rsid w:val="00F35720"/>
    <w:rsid w:val="00F35C7D"/>
    <w:rsid w:val="00F35D14"/>
    <w:rsid w:val="00F35E37"/>
    <w:rsid w:val="00F361F5"/>
    <w:rsid w:val="00F36868"/>
    <w:rsid w:val="00F36CF6"/>
    <w:rsid w:val="00F37737"/>
    <w:rsid w:val="00F4022D"/>
    <w:rsid w:val="00F405ED"/>
    <w:rsid w:val="00F40BDA"/>
    <w:rsid w:val="00F41633"/>
    <w:rsid w:val="00F419C8"/>
    <w:rsid w:val="00F41C30"/>
    <w:rsid w:val="00F422FB"/>
    <w:rsid w:val="00F4235A"/>
    <w:rsid w:val="00F42F73"/>
    <w:rsid w:val="00F4352C"/>
    <w:rsid w:val="00F435DD"/>
    <w:rsid w:val="00F43806"/>
    <w:rsid w:val="00F43EA9"/>
    <w:rsid w:val="00F4480D"/>
    <w:rsid w:val="00F44A54"/>
    <w:rsid w:val="00F44FE7"/>
    <w:rsid w:val="00F45F48"/>
    <w:rsid w:val="00F46D51"/>
    <w:rsid w:val="00F46DC9"/>
    <w:rsid w:val="00F47051"/>
    <w:rsid w:val="00F47064"/>
    <w:rsid w:val="00F4775A"/>
    <w:rsid w:val="00F47DFA"/>
    <w:rsid w:val="00F504D5"/>
    <w:rsid w:val="00F5078F"/>
    <w:rsid w:val="00F514DF"/>
    <w:rsid w:val="00F52226"/>
    <w:rsid w:val="00F52CC2"/>
    <w:rsid w:val="00F53779"/>
    <w:rsid w:val="00F540A3"/>
    <w:rsid w:val="00F54796"/>
    <w:rsid w:val="00F5639C"/>
    <w:rsid w:val="00F56533"/>
    <w:rsid w:val="00F56757"/>
    <w:rsid w:val="00F569F5"/>
    <w:rsid w:val="00F56DC6"/>
    <w:rsid w:val="00F5727D"/>
    <w:rsid w:val="00F600B0"/>
    <w:rsid w:val="00F60C1E"/>
    <w:rsid w:val="00F61083"/>
    <w:rsid w:val="00F614E9"/>
    <w:rsid w:val="00F61830"/>
    <w:rsid w:val="00F61F2B"/>
    <w:rsid w:val="00F62353"/>
    <w:rsid w:val="00F625EA"/>
    <w:rsid w:val="00F62EC1"/>
    <w:rsid w:val="00F632F0"/>
    <w:rsid w:val="00F63C68"/>
    <w:rsid w:val="00F640CA"/>
    <w:rsid w:val="00F6433E"/>
    <w:rsid w:val="00F6435F"/>
    <w:rsid w:val="00F64F85"/>
    <w:rsid w:val="00F650C6"/>
    <w:rsid w:val="00F6570E"/>
    <w:rsid w:val="00F65D41"/>
    <w:rsid w:val="00F65FA8"/>
    <w:rsid w:val="00F6641D"/>
    <w:rsid w:val="00F6654F"/>
    <w:rsid w:val="00F670C5"/>
    <w:rsid w:val="00F671E1"/>
    <w:rsid w:val="00F672F3"/>
    <w:rsid w:val="00F677E4"/>
    <w:rsid w:val="00F677E9"/>
    <w:rsid w:val="00F67E52"/>
    <w:rsid w:val="00F70AF9"/>
    <w:rsid w:val="00F70F5D"/>
    <w:rsid w:val="00F71282"/>
    <w:rsid w:val="00F717A9"/>
    <w:rsid w:val="00F717D7"/>
    <w:rsid w:val="00F724FC"/>
    <w:rsid w:val="00F727ED"/>
    <w:rsid w:val="00F72893"/>
    <w:rsid w:val="00F72B2F"/>
    <w:rsid w:val="00F72F75"/>
    <w:rsid w:val="00F73E44"/>
    <w:rsid w:val="00F7412B"/>
    <w:rsid w:val="00F744CB"/>
    <w:rsid w:val="00F74885"/>
    <w:rsid w:val="00F7539A"/>
    <w:rsid w:val="00F753C7"/>
    <w:rsid w:val="00F75D7F"/>
    <w:rsid w:val="00F769F5"/>
    <w:rsid w:val="00F76B28"/>
    <w:rsid w:val="00F76F81"/>
    <w:rsid w:val="00F776C9"/>
    <w:rsid w:val="00F77968"/>
    <w:rsid w:val="00F77C20"/>
    <w:rsid w:val="00F77DAA"/>
    <w:rsid w:val="00F808A3"/>
    <w:rsid w:val="00F808C8"/>
    <w:rsid w:val="00F80E08"/>
    <w:rsid w:val="00F810DE"/>
    <w:rsid w:val="00F81447"/>
    <w:rsid w:val="00F817F6"/>
    <w:rsid w:val="00F8210B"/>
    <w:rsid w:val="00F8240F"/>
    <w:rsid w:val="00F82581"/>
    <w:rsid w:val="00F82F71"/>
    <w:rsid w:val="00F8319D"/>
    <w:rsid w:val="00F83BF7"/>
    <w:rsid w:val="00F83CF7"/>
    <w:rsid w:val="00F84CFC"/>
    <w:rsid w:val="00F84EE2"/>
    <w:rsid w:val="00F852AC"/>
    <w:rsid w:val="00F855BB"/>
    <w:rsid w:val="00F85A38"/>
    <w:rsid w:val="00F8618F"/>
    <w:rsid w:val="00F86742"/>
    <w:rsid w:val="00F86E62"/>
    <w:rsid w:val="00F87873"/>
    <w:rsid w:val="00F8797F"/>
    <w:rsid w:val="00F9024B"/>
    <w:rsid w:val="00F90368"/>
    <w:rsid w:val="00F90801"/>
    <w:rsid w:val="00F90CEE"/>
    <w:rsid w:val="00F90FD1"/>
    <w:rsid w:val="00F91066"/>
    <w:rsid w:val="00F91420"/>
    <w:rsid w:val="00F91516"/>
    <w:rsid w:val="00F9192B"/>
    <w:rsid w:val="00F91BBC"/>
    <w:rsid w:val="00F9200E"/>
    <w:rsid w:val="00F92102"/>
    <w:rsid w:val="00F9219E"/>
    <w:rsid w:val="00F92456"/>
    <w:rsid w:val="00F927F6"/>
    <w:rsid w:val="00F928A7"/>
    <w:rsid w:val="00F92EBB"/>
    <w:rsid w:val="00F93C72"/>
    <w:rsid w:val="00F93E69"/>
    <w:rsid w:val="00F946C5"/>
    <w:rsid w:val="00F94832"/>
    <w:rsid w:val="00F94D2D"/>
    <w:rsid w:val="00F94E29"/>
    <w:rsid w:val="00F951A8"/>
    <w:rsid w:val="00F954DC"/>
    <w:rsid w:val="00F9668C"/>
    <w:rsid w:val="00F969ED"/>
    <w:rsid w:val="00F973B8"/>
    <w:rsid w:val="00F97777"/>
    <w:rsid w:val="00FA074C"/>
    <w:rsid w:val="00FA0C0F"/>
    <w:rsid w:val="00FA1054"/>
    <w:rsid w:val="00FA1715"/>
    <w:rsid w:val="00FA189F"/>
    <w:rsid w:val="00FA1985"/>
    <w:rsid w:val="00FA24D6"/>
    <w:rsid w:val="00FA2EB3"/>
    <w:rsid w:val="00FA33EA"/>
    <w:rsid w:val="00FA3B20"/>
    <w:rsid w:val="00FA3B31"/>
    <w:rsid w:val="00FA3F36"/>
    <w:rsid w:val="00FA4BDA"/>
    <w:rsid w:val="00FA4E6A"/>
    <w:rsid w:val="00FA56B9"/>
    <w:rsid w:val="00FA5849"/>
    <w:rsid w:val="00FA6021"/>
    <w:rsid w:val="00FA6E71"/>
    <w:rsid w:val="00FA7041"/>
    <w:rsid w:val="00FB09F2"/>
    <w:rsid w:val="00FB1AF5"/>
    <w:rsid w:val="00FB1F32"/>
    <w:rsid w:val="00FB2621"/>
    <w:rsid w:val="00FB28A9"/>
    <w:rsid w:val="00FB3319"/>
    <w:rsid w:val="00FB38C1"/>
    <w:rsid w:val="00FB39D8"/>
    <w:rsid w:val="00FB4749"/>
    <w:rsid w:val="00FB496B"/>
    <w:rsid w:val="00FB4AF0"/>
    <w:rsid w:val="00FB4EEC"/>
    <w:rsid w:val="00FB5305"/>
    <w:rsid w:val="00FB5539"/>
    <w:rsid w:val="00FB580A"/>
    <w:rsid w:val="00FB5BF0"/>
    <w:rsid w:val="00FB5CDA"/>
    <w:rsid w:val="00FB5D0B"/>
    <w:rsid w:val="00FB6219"/>
    <w:rsid w:val="00FB6344"/>
    <w:rsid w:val="00FB6DD5"/>
    <w:rsid w:val="00FC05BE"/>
    <w:rsid w:val="00FC0BB0"/>
    <w:rsid w:val="00FC18C6"/>
    <w:rsid w:val="00FC1D66"/>
    <w:rsid w:val="00FC20A3"/>
    <w:rsid w:val="00FC2965"/>
    <w:rsid w:val="00FC2AA2"/>
    <w:rsid w:val="00FC2BFC"/>
    <w:rsid w:val="00FC2FEF"/>
    <w:rsid w:val="00FC4821"/>
    <w:rsid w:val="00FC4E0A"/>
    <w:rsid w:val="00FC507A"/>
    <w:rsid w:val="00FC5721"/>
    <w:rsid w:val="00FC5F58"/>
    <w:rsid w:val="00FC6563"/>
    <w:rsid w:val="00FC675B"/>
    <w:rsid w:val="00FC703C"/>
    <w:rsid w:val="00FC7057"/>
    <w:rsid w:val="00FC70C1"/>
    <w:rsid w:val="00FC7C5E"/>
    <w:rsid w:val="00FD0107"/>
    <w:rsid w:val="00FD03E0"/>
    <w:rsid w:val="00FD0552"/>
    <w:rsid w:val="00FD0E3F"/>
    <w:rsid w:val="00FD1636"/>
    <w:rsid w:val="00FD1CDC"/>
    <w:rsid w:val="00FD1F7B"/>
    <w:rsid w:val="00FD1FFB"/>
    <w:rsid w:val="00FD25DF"/>
    <w:rsid w:val="00FD2A36"/>
    <w:rsid w:val="00FD2EE6"/>
    <w:rsid w:val="00FD3AA6"/>
    <w:rsid w:val="00FD3C99"/>
    <w:rsid w:val="00FD45B6"/>
    <w:rsid w:val="00FD468C"/>
    <w:rsid w:val="00FD54F3"/>
    <w:rsid w:val="00FD55D5"/>
    <w:rsid w:val="00FD5B38"/>
    <w:rsid w:val="00FD5B9A"/>
    <w:rsid w:val="00FD5BAB"/>
    <w:rsid w:val="00FD5C6A"/>
    <w:rsid w:val="00FD5CC6"/>
    <w:rsid w:val="00FD61D3"/>
    <w:rsid w:val="00FD64A9"/>
    <w:rsid w:val="00FD6621"/>
    <w:rsid w:val="00FD7256"/>
    <w:rsid w:val="00FE058D"/>
    <w:rsid w:val="00FE0629"/>
    <w:rsid w:val="00FE08F5"/>
    <w:rsid w:val="00FE23DF"/>
    <w:rsid w:val="00FE2A57"/>
    <w:rsid w:val="00FE2EA6"/>
    <w:rsid w:val="00FE2F85"/>
    <w:rsid w:val="00FE2FFD"/>
    <w:rsid w:val="00FE310F"/>
    <w:rsid w:val="00FE369C"/>
    <w:rsid w:val="00FE3FFA"/>
    <w:rsid w:val="00FE45FA"/>
    <w:rsid w:val="00FE477F"/>
    <w:rsid w:val="00FE4CEE"/>
    <w:rsid w:val="00FE53AC"/>
    <w:rsid w:val="00FE5BD3"/>
    <w:rsid w:val="00FE6258"/>
    <w:rsid w:val="00FE675A"/>
    <w:rsid w:val="00FE6F80"/>
    <w:rsid w:val="00FE71EB"/>
    <w:rsid w:val="00FE78F3"/>
    <w:rsid w:val="00FE7EF6"/>
    <w:rsid w:val="00FF0141"/>
    <w:rsid w:val="00FF0863"/>
    <w:rsid w:val="00FF13B4"/>
    <w:rsid w:val="00FF1535"/>
    <w:rsid w:val="00FF1B0C"/>
    <w:rsid w:val="00FF249F"/>
    <w:rsid w:val="00FF2991"/>
    <w:rsid w:val="00FF309C"/>
    <w:rsid w:val="00FF3DCD"/>
    <w:rsid w:val="00FF4251"/>
    <w:rsid w:val="00FF45C6"/>
    <w:rsid w:val="00FF4E5B"/>
    <w:rsid w:val="00FF50BD"/>
    <w:rsid w:val="00FF51E9"/>
    <w:rsid w:val="00FF5A40"/>
    <w:rsid w:val="00FF5B70"/>
    <w:rsid w:val="00FF5CDC"/>
    <w:rsid w:val="00FF64F5"/>
    <w:rsid w:val="00FF6EA9"/>
    <w:rsid w:val="00FF6FAA"/>
    <w:rsid w:val="00FF7441"/>
    <w:rsid w:val="00FF771D"/>
    <w:rsid w:val="00FF77B0"/>
    <w:rsid w:val="00FF7D61"/>
    <w:rsid w:val="01C963F3"/>
    <w:rsid w:val="03D2559C"/>
    <w:rsid w:val="03FF60FC"/>
    <w:rsid w:val="04461F7D"/>
    <w:rsid w:val="05FC4268"/>
    <w:rsid w:val="062067FE"/>
    <w:rsid w:val="06266FFF"/>
    <w:rsid w:val="06284BD2"/>
    <w:rsid w:val="075D70AD"/>
    <w:rsid w:val="09604EC2"/>
    <w:rsid w:val="09664528"/>
    <w:rsid w:val="097841D0"/>
    <w:rsid w:val="0A2148F3"/>
    <w:rsid w:val="0B3F7726"/>
    <w:rsid w:val="0BB37857"/>
    <w:rsid w:val="0BEB6F2D"/>
    <w:rsid w:val="0BFA364D"/>
    <w:rsid w:val="0C377F75"/>
    <w:rsid w:val="0CCD4738"/>
    <w:rsid w:val="0D6F054E"/>
    <w:rsid w:val="0D725B91"/>
    <w:rsid w:val="0E144B5A"/>
    <w:rsid w:val="0E796FC4"/>
    <w:rsid w:val="10187834"/>
    <w:rsid w:val="111451B1"/>
    <w:rsid w:val="11FC3C7B"/>
    <w:rsid w:val="12C60155"/>
    <w:rsid w:val="12E8676D"/>
    <w:rsid w:val="136441CE"/>
    <w:rsid w:val="139B1477"/>
    <w:rsid w:val="14332AA2"/>
    <w:rsid w:val="14BC3B96"/>
    <w:rsid w:val="154E257F"/>
    <w:rsid w:val="15627617"/>
    <w:rsid w:val="157955E3"/>
    <w:rsid w:val="15D849FF"/>
    <w:rsid w:val="16024AD5"/>
    <w:rsid w:val="16030A6E"/>
    <w:rsid w:val="16225C7A"/>
    <w:rsid w:val="163E6560"/>
    <w:rsid w:val="16E93A50"/>
    <w:rsid w:val="16FA468B"/>
    <w:rsid w:val="17B15508"/>
    <w:rsid w:val="180E47ED"/>
    <w:rsid w:val="184B0E55"/>
    <w:rsid w:val="18730A0F"/>
    <w:rsid w:val="18AB63FB"/>
    <w:rsid w:val="194938DF"/>
    <w:rsid w:val="19734677"/>
    <w:rsid w:val="199724DC"/>
    <w:rsid w:val="1A886929"/>
    <w:rsid w:val="1AB561B1"/>
    <w:rsid w:val="1B1D15CE"/>
    <w:rsid w:val="1C0E2F29"/>
    <w:rsid w:val="1CE43C8A"/>
    <w:rsid w:val="1CFD0C67"/>
    <w:rsid w:val="1D8443E2"/>
    <w:rsid w:val="1D8B05A9"/>
    <w:rsid w:val="1DD3548B"/>
    <w:rsid w:val="1DED21D8"/>
    <w:rsid w:val="1EBF49AE"/>
    <w:rsid w:val="1F0E3DA5"/>
    <w:rsid w:val="1F716AA7"/>
    <w:rsid w:val="1FB931AC"/>
    <w:rsid w:val="204136C0"/>
    <w:rsid w:val="208D2D81"/>
    <w:rsid w:val="20AB0863"/>
    <w:rsid w:val="20C55B80"/>
    <w:rsid w:val="20CE49AC"/>
    <w:rsid w:val="20EF2BFD"/>
    <w:rsid w:val="21503035"/>
    <w:rsid w:val="215D5CEE"/>
    <w:rsid w:val="21EA3909"/>
    <w:rsid w:val="22143D06"/>
    <w:rsid w:val="22C65A42"/>
    <w:rsid w:val="22F75C0D"/>
    <w:rsid w:val="23A72E9A"/>
    <w:rsid w:val="248F4E23"/>
    <w:rsid w:val="24900168"/>
    <w:rsid w:val="249B4BA3"/>
    <w:rsid w:val="25114177"/>
    <w:rsid w:val="255D5E59"/>
    <w:rsid w:val="2601765A"/>
    <w:rsid w:val="267F67D1"/>
    <w:rsid w:val="27207FB4"/>
    <w:rsid w:val="277E3593"/>
    <w:rsid w:val="27A241E5"/>
    <w:rsid w:val="27AC5280"/>
    <w:rsid w:val="281178FD"/>
    <w:rsid w:val="28332D0A"/>
    <w:rsid w:val="289522DC"/>
    <w:rsid w:val="290F7096"/>
    <w:rsid w:val="29E17ECF"/>
    <w:rsid w:val="29E4351B"/>
    <w:rsid w:val="2B05199B"/>
    <w:rsid w:val="2C3D0F42"/>
    <w:rsid w:val="2C7F7652"/>
    <w:rsid w:val="2C9D1F3E"/>
    <w:rsid w:val="2D177764"/>
    <w:rsid w:val="2D2F28DA"/>
    <w:rsid w:val="2E026A60"/>
    <w:rsid w:val="2F2D74C3"/>
    <w:rsid w:val="2F7013AD"/>
    <w:rsid w:val="2FFB511A"/>
    <w:rsid w:val="301D46EF"/>
    <w:rsid w:val="30532B78"/>
    <w:rsid w:val="320700FC"/>
    <w:rsid w:val="32723FB1"/>
    <w:rsid w:val="32AF5D7F"/>
    <w:rsid w:val="35541A83"/>
    <w:rsid w:val="35C91DF7"/>
    <w:rsid w:val="361F1F7B"/>
    <w:rsid w:val="367A4403"/>
    <w:rsid w:val="36C531BE"/>
    <w:rsid w:val="372907BF"/>
    <w:rsid w:val="37E8067A"/>
    <w:rsid w:val="38194CD8"/>
    <w:rsid w:val="38C26B8B"/>
    <w:rsid w:val="399D4251"/>
    <w:rsid w:val="39E9692C"/>
    <w:rsid w:val="3A2F2590"/>
    <w:rsid w:val="3A2F58CC"/>
    <w:rsid w:val="3BA313E5"/>
    <w:rsid w:val="3C2679C3"/>
    <w:rsid w:val="3DB03FCF"/>
    <w:rsid w:val="3EBC63BD"/>
    <w:rsid w:val="3F964E60"/>
    <w:rsid w:val="41335680"/>
    <w:rsid w:val="417D6644"/>
    <w:rsid w:val="421F113C"/>
    <w:rsid w:val="42C817D4"/>
    <w:rsid w:val="42E47C90"/>
    <w:rsid w:val="43805C0B"/>
    <w:rsid w:val="4389537A"/>
    <w:rsid w:val="447A578E"/>
    <w:rsid w:val="44827761"/>
    <w:rsid w:val="449851D6"/>
    <w:rsid w:val="44E67CEF"/>
    <w:rsid w:val="450C3D2C"/>
    <w:rsid w:val="464221BB"/>
    <w:rsid w:val="46623CEE"/>
    <w:rsid w:val="466B0DF4"/>
    <w:rsid w:val="46A32120"/>
    <w:rsid w:val="46F81F5C"/>
    <w:rsid w:val="472F6C59"/>
    <w:rsid w:val="47380523"/>
    <w:rsid w:val="47D204E7"/>
    <w:rsid w:val="47DE5D05"/>
    <w:rsid w:val="48967C7F"/>
    <w:rsid w:val="48C40D8F"/>
    <w:rsid w:val="49137521"/>
    <w:rsid w:val="498D67EF"/>
    <w:rsid w:val="49A90785"/>
    <w:rsid w:val="4A7364C9"/>
    <w:rsid w:val="4AAE405D"/>
    <w:rsid w:val="4B12356C"/>
    <w:rsid w:val="4B3C2D5F"/>
    <w:rsid w:val="4C104E92"/>
    <w:rsid w:val="4CCA2544"/>
    <w:rsid w:val="4D897DB2"/>
    <w:rsid w:val="4E19114B"/>
    <w:rsid w:val="4E21448E"/>
    <w:rsid w:val="4F786330"/>
    <w:rsid w:val="4F952A3E"/>
    <w:rsid w:val="5004130D"/>
    <w:rsid w:val="50527546"/>
    <w:rsid w:val="5080549C"/>
    <w:rsid w:val="50DD7E13"/>
    <w:rsid w:val="515B7CB7"/>
    <w:rsid w:val="518A6447"/>
    <w:rsid w:val="52B4142D"/>
    <w:rsid w:val="52FB4980"/>
    <w:rsid w:val="532F251A"/>
    <w:rsid w:val="536057A0"/>
    <w:rsid w:val="53B316E5"/>
    <w:rsid w:val="544C637F"/>
    <w:rsid w:val="5495528E"/>
    <w:rsid w:val="54EF2BF0"/>
    <w:rsid w:val="55071592"/>
    <w:rsid w:val="55120D38"/>
    <w:rsid w:val="557761E3"/>
    <w:rsid w:val="55991F01"/>
    <w:rsid w:val="56283CC0"/>
    <w:rsid w:val="571921A6"/>
    <w:rsid w:val="57C13842"/>
    <w:rsid w:val="582869A9"/>
    <w:rsid w:val="583B6311"/>
    <w:rsid w:val="585711D8"/>
    <w:rsid w:val="588E5593"/>
    <w:rsid w:val="590E2F58"/>
    <w:rsid w:val="5A4E03B9"/>
    <w:rsid w:val="5B982A0A"/>
    <w:rsid w:val="5B9A423C"/>
    <w:rsid w:val="5C6C4B26"/>
    <w:rsid w:val="5E6F4DA2"/>
    <w:rsid w:val="5EAC7607"/>
    <w:rsid w:val="5ED209B4"/>
    <w:rsid w:val="5EDB41E5"/>
    <w:rsid w:val="5F49114F"/>
    <w:rsid w:val="5F993BEE"/>
    <w:rsid w:val="60BD055D"/>
    <w:rsid w:val="61251748"/>
    <w:rsid w:val="61285F53"/>
    <w:rsid w:val="61A66D2D"/>
    <w:rsid w:val="621B4377"/>
    <w:rsid w:val="6235591B"/>
    <w:rsid w:val="62532AF1"/>
    <w:rsid w:val="631B2E02"/>
    <w:rsid w:val="646031C3"/>
    <w:rsid w:val="653335CB"/>
    <w:rsid w:val="6562503C"/>
    <w:rsid w:val="66210A79"/>
    <w:rsid w:val="66483FDB"/>
    <w:rsid w:val="665C6035"/>
    <w:rsid w:val="66860EDB"/>
    <w:rsid w:val="672F1572"/>
    <w:rsid w:val="6739419F"/>
    <w:rsid w:val="674A33CB"/>
    <w:rsid w:val="67CA033E"/>
    <w:rsid w:val="67E54135"/>
    <w:rsid w:val="680C1784"/>
    <w:rsid w:val="687716F6"/>
    <w:rsid w:val="692760E4"/>
    <w:rsid w:val="69A578CA"/>
    <w:rsid w:val="6A130CD7"/>
    <w:rsid w:val="6AC975E8"/>
    <w:rsid w:val="6C040369"/>
    <w:rsid w:val="6C4B5AA9"/>
    <w:rsid w:val="6C5D792C"/>
    <w:rsid w:val="6C7C39A9"/>
    <w:rsid w:val="6D2A0812"/>
    <w:rsid w:val="6D346FC3"/>
    <w:rsid w:val="6E146BD3"/>
    <w:rsid w:val="6E9323E7"/>
    <w:rsid w:val="6FE6044F"/>
    <w:rsid w:val="706933FF"/>
    <w:rsid w:val="71431EA2"/>
    <w:rsid w:val="71F9675B"/>
    <w:rsid w:val="730218E9"/>
    <w:rsid w:val="73072696"/>
    <w:rsid w:val="73BC0AEF"/>
    <w:rsid w:val="73FD028C"/>
    <w:rsid w:val="74DB6895"/>
    <w:rsid w:val="755F74C6"/>
    <w:rsid w:val="758F3DCE"/>
    <w:rsid w:val="76742AFE"/>
    <w:rsid w:val="78034139"/>
    <w:rsid w:val="788C2CFF"/>
    <w:rsid w:val="78C642A1"/>
    <w:rsid w:val="79EB6A00"/>
    <w:rsid w:val="7A63452D"/>
    <w:rsid w:val="7A8C5157"/>
    <w:rsid w:val="7BE61DA8"/>
    <w:rsid w:val="7BEF3783"/>
    <w:rsid w:val="7BEF74D5"/>
    <w:rsid w:val="7C1903CF"/>
    <w:rsid w:val="7C5424EB"/>
    <w:rsid w:val="7D2D7ED0"/>
    <w:rsid w:val="7EE84304"/>
    <w:rsid w:val="7F7B1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nhideWhenUsed="0"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0"/>
    <w:autoRedefine/>
    <w:qFormat/>
    <w:uiPriority w:val="0"/>
    <w:pPr>
      <w:keepNext/>
      <w:jc w:val="center"/>
      <w:outlineLvl w:val="0"/>
    </w:pPr>
    <w:rPr>
      <w:bCs/>
      <w:sz w:val="44"/>
      <w:szCs w:val="20"/>
    </w:rPr>
  </w:style>
  <w:style w:type="paragraph" w:styleId="3">
    <w:name w:val="heading 2"/>
    <w:basedOn w:val="1"/>
    <w:next w:val="1"/>
    <w:link w:val="51"/>
    <w:autoRedefine/>
    <w:qFormat/>
    <w:uiPriority w:val="0"/>
    <w:pPr>
      <w:keepNext/>
      <w:keepLines/>
      <w:spacing w:line="360" w:lineRule="auto"/>
      <w:outlineLvl w:val="1"/>
    </w:pPr>
    <w:rPr>
      <w:rFonts w:ascii="Arial" w:hAnsi="Arial" w:eastAsia="方正小标宋简体"/>
      <w:b/>
      <w:bCs/>
      <w:sz w:val="44"/>
      <w:szCs w:val="32"/>
    </w:rPr>
  </w:style>
  <w:style w:type="paragraph" w:styleId="4">
    <w:name w:val="heading 3"/>
    <w:basedOn w:val="1"/>
    <w:next w:val="1"/>
    <w:link w:val="52"/>
    <w:autoRedefine/>
    <w:qFormat/>
    <w:uiPriority w:val="0"/>
    <w:pPr>
      <w:keepNext/>
      <w:keepLines/>
      <w:spacing w:before="260" w:after="260" w:line="416" w:lineRule="auto"/>
      <w:outlineLvl w:val="2"/>
    </w:pPr>
    <w:rPr>
      <w:rFonts w:eastAsia="黑体"/>
      <w:b/>
      <w:bCs/>
      <w:sz w:val="32"/>
      <w:szCs w:val="32"/>
    </w:rPr>
  </w:style>
  <w:style w:type="paragraph" w:styleId="5">
    <w:name w:val="heading 4"/>
    <w:basedOn w:val="1"/>
    <w:next w:val="1"/>
    <w:link w:val="53"/>
    <w:autoRedefine/>
    <w:qFormat/>
    <w:uiPriority w:val="0"/>
    <w:pPr>
      <w:keepNext/>
      <w:keepLines/>
      <w:spacing w:line="560" w:lineRule="exact"/>
      <w:outlineLvl w:val="3"/>
    </w:pPr>
    <w:rPr>
      <w:rFonts w:ascii="Arial" w:hAnsi="Arial" w:eastAsia="黑体"/>
      <w:b/>
      <w:bCs/>
      <w:sz w:val="28"/>
      <w:szCs w:val="28"/>
    </w:rPr>
  </w:style>
  <w:style w:type="paragraph" w:styleId="6">
    <w:name w:val="heading 5"/>
    <w:basedOn w:val="1"/>
    <w:next w:val="1"/>
    <w:link w:val="54"/>
    <w:autoRedefine/>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7">
    <w:name w:val="heading 6"/>
    <w:basedOn w:val="1"/>
    <w:next w:val="1"/>
    <w:link w:val="55"/>
    <w:autoRedefine/>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8">
    <w:name w:val="heading 7"/>
    <w:basedOn w:val="1"/>
    <w:next w:val="1"/>
    <w:link w:val="56"/>
    <w:autoRedefine/>
    <w:qFormat/>
    <w:uiPriority w:val="0"/>
    <w:pPr>
      <w:keepNext/>
      <w:keepLines/>
      <w:adjustRightInd w:val="0"/>
      <w:spacing w:before="240" w:after="64" w:line="320" w:lineRule="atLeast"/>
      <w:jc w:val="left"/>
      <w:textAlignment w:val="baseline"/>
      <w:outlineLvl w:val="6"/>
    </w:pPr>
    <w:rPr>
      <w:b/>
      <w:bCs/>
      <w:kern w:val="0"/>
      <w:sz w:val="24"/>
    </w:rPr>
  </w:style>
  <w:style w:type="paragraph" w:styleId="9">
    <w:name w:val="heading 8"/>
    <w:basedOn w:val="1"/>
    <w:next w:val="1"/>
    <w:link w:val="57"/>
    <w:autoRedefine/>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0">
    <w:name w:val="heading 9"/>
    <w:basedOn w:val="1"/>
    <w:next w:val="1"/>
    <w:link w:val="58"/>
    <w:autoRedefine/>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44">
    <w:name w:val="Default Paragraph Font"/>
    <w:autoRedefine/>
    <w:semiHidden/>
    <w:unhideWhenUsed/>
    <w:qFormat/>
    <w:uiPriority w:val="1"/>
  </w:style>
  <w:style w:type="table" w:default="1" w:styleId="42">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unhideWhenUsed/>
    <w:qFormat/>
    <w:uiPriority w:val="39"/>
    <w:pPr>
      <w:ind w:left="2520" w:leftChars="1200"/>
    </w:pPr>
    <w:rPr>
      <w:rFonts w:asciiTheme="minorHAnsi" w:hAnsiTheme="minorHAnsi" w:eastAsiaTheme="minorEastAsia" w:cstheme="minorBidi"/>
      <w:szCs w:val="22"/>
    </w:rPr>
  </w:style>
  <w:style w:type="paragraph" w:styleId="12">
    <w:name w:val="Normal Indent"/>
    <w:basedOn w:val="1"/>
    <w:autoRedefine/>
    <w:qFormat/>
    <w:uiPriority w:val="0"/>
    <w:pPr>
      <w:widowControl/>
      <w:ind w:firstLine="420"/>
      <w:jc w:val="left"/>
    </w:pPr>
    <w:rPr>
      <w:kern w:val="0"/>
      <w:sz w:val="20"/>
      <w:szCs w:val="20"/>
    </w:rPr>
  </w:style>
  <w:style w:type="paragraph" w:styleId="13">
    <w:name w:val="Document Map"/>
    <w:basedOn w:val="1"/>
    <w:link w:val="82"/>
    <w:autoRedefine/>
    <w:semiHidden/>
    <w:qFormat/>
    <w:uiPriority w:val="0"/>
    <w:pPr>
      <w:shd w:val="clear" w:color="auto" w:fill="000080"/>
    </w:pPr>
  </w:style>
  <w:style w:type="paragraph" w:styleId="14">
    <w:name w:val="annotation text"/>
    <w:basedOn w:val="1"/>
    <w:link w:val="66"/>
    <w:autoRedefine/>
    <w:qFormat/>
    <w:uiPriority w:val="0"/>
    <w:pPr>
      <w:jc w:val="left"/>
    </w:pPr>
  </w:style>
  <w:style w:type="paragraph" w:styleId="15">
    <w:name w:val="Salutation"/>
    <w:basedOn w:val="1"/>
    <w:next w:val="1"/>
    <w:link w:val="71"/>
    <w:autoRedefine/>
    <w:qFormat/>
    <w:uiPriority w:val="0"/>
    <w:rPr>
      <w:rFonts w:ascii="仿宋_GB2312" w:eastAsia="仿宋_GB2312"/>
      <w:sz w:val="24"/>
    </w:rPr>
  </w:style>
  <w:style w:type="paragraph" w:styleId="16">
    <w:name w:val="Body Text"/>
    <w:basedOn w:val="1"/>
    <w:next w:val="17"/>
    <w:link w:val="60"/>
    <w:autoRedefine/>
    <w:qFormat/>
    <w:uiPriority w:val="0"/>
    <w:pPr>
      <w:spacing w:after="120"/>
    </w:pPr>
  </w:style>
  <w:style w:type="paragraph" w:styleId="17">
    <w:name w:val="Body Text First Indent"/>
    <w:basedOn w:val="1"/>
    <w:next w:val="1"/>
    <w:autoRedefine/>
    <w:qFormat/>
    <w:uiPriority w:val="0"/>
    <w:pPr>
      <w:ind w:firstLine="420" w:firstLineChars="100"/>
    </w:pPr>
    <w:rPr>
      <w:rFonts w:ascii="Calibri" w:hAnsi="Calibri"/>
      <w:szCs w:val="22"/>
    </w:rPr>
  </w:style>
  <w:style w:type="paragraph" w:styleId="18">
    <w:name w:val="Body Text Indent"/>
    <w:basedOn w:val="1"/>
    <w:link w:val="63"/>
    <w:autoRedefine/>
    <w:qFormat/>
    <w:uiPriority w:val="0"/>
    <w:pPr>
      <w:spacing w:after="120"/>
      <w:ind w:left="420" w:leftChars="200"/>
    </w:pPr>
  </w:style>
  <w:style w:type="paragraph" w:styleId="19">
    <w:name w:val="Block Text"/>
    <w:basedOn w:val="1"/>
    <w:autoRedefine/>
    <w:qFormat/>
    <w:uiPriority w:val="0"/>
    <w:pPr>
      <w:ind w:left="1171" w:right="91" w:hanging="1080"/>
    </w:pPr>
    <w:rPr>
      <w:rFonts w:eastAsia="楷体_GB2312"/>
      <w:szCs w:val="20"/>
    </w:rPr>
  </w:style>
  <w:style w:type="paragraph" w:styleId="20">
    <w:name w:val="toc 5"/>
    <w:basedOn w:val="1"/>
    <w:next w:val="1"/>
    <w:autoRedefine/>
    <w:unhideWhenUsed/>
    <w:qFormat/>
    <w:uiPriority w:val="39"/>
    <w:pPr>
      <w:adjustRightInd w:val="0"/>
      <w:snapToGrid w:val="0"/>
      <w:spacing w:line="360" w:lineRule="auto"/>
      <w:ind w:left="150" w:leftChars="150"/>
    </w:pPr>
    <w:rPr>
      <w:rFonts w:asciiTheme="minorHAnsi" w:hAnsiTheme="minorHAnsi" w:eastAsiaTheme="minorEastAsia" w:cstheme="minorBidi"/>
      <w:sz w:val="28"/>
      <w:szCs w:val="22"/>
    </w:rPr>
  </w:style>
  <w:style w:type="paragraph" w:styleId="21">
    <w:name w:val="toc 3"/>
    <w:basedOn w:val="1"/>
    <w:next w:val="1"/>
    <w:autoRedefine/>
    <w:unhideWhenUsed/>
    <w:qFormat/>
    <w:uiPriority w:val="39"/>
    <w:pPr>
      <w:adjustRightInd w:val="0"/>
      <w:snapToGrid w:val="0"/>
      <w:spacing w:line="360" w:lineRule="auto"/>
      <w:ind w:left="50" w:leftChars="50"/>
    </w:pPr>
    <w:rPr>
      <w:rFonts w:eastAsiaTheme="minorEastAsia"/>
      <w:b/>
      <w:sz w:val="28"/>
    </w:rPr>
  </w:style>
  <w:style w:type="paragraph" w:styleId="22">
    <w:name w:val="Plain Text"/>
    <w:basedOn w:val="1"/>
    <w:link w:val="65"/>
    <w:autoRedefine/>
    <w:qFormat/>
    <w:uiPriority w:val="0"/>
    <w:rPr>
      <w:rFonts w:ascii="宋体" w:hAnsi="Courier New" w:cs="Courier New"/>
      <w:szCs w:val="21"/>
    </w:rPr>
  </w:style>
  <w:style w:type="paragraph" w:styleId="23">
    <w:name w:val="toc 8"/>
    <w:basedOn w:val="1"/>
    <w:next w:val="1"/>
    <w:autoRedefine/>
    <w:unhideWhenUsed/>
    <w:qFormat/>
    <w:uiPriority w:val="39"/>
    <w:pPr>
      <w:ind w:left="2940" w:leftChars="1400"/>
    </w:pPr>
    <w:rPr>
      <w:rFonts w:asciiTheme="minorHAnsi" w:hAnsiTheme="minorHAnsi" w:eastAsiaTheme="minorEastAsia" w:cstheme="minorBidi"/>
      <w:szCs w:val="22"/>
    </w:rPr>
  </w:style>
  <w:style w:type="paragraph" w:styleId="24">
    <w:name w:val="Date"/>
    <w:basedOn w:val="1"/>
    <w:next w:val="1"/>
    <w:link w:val="76"/>
    <w:autoRedefine/>
    <w:qFormat/>
    <w:uiPriority w:val="0"/>
    <w:rPr>
      <w:sz w:val="24"/>
      <w:szCs w:val="20"/>
    </w:rPr>
  </w:style>
  <w:style w:type="paragraph" w:styleId="25">
    <w:name w:val="Body Text Indent 2"/>
    <w:basedOn w:val="1"/>
    <w:link w:val="73"/>
    <w:autoRedefine/>
    <w:qFormat/>
    <w:uiPriority w:val="0"/>
    <w:pPr>
      <w:spacing w:after="120" w:line="480" w:lineRule="auto"/>
      <w:ind w:left="420" w:leftChars="200"/>
    </w:pPr>
  </w:style>
  <w:style w:type="paragraph" w:styleId="26">
    <w:name w:val="Balloon Text"/>
    <w:basedOn w:val="1"/>
    <w:link w:val="90"/>
    <w:autoRedefine/>
    <w:qFormat/>
    <w:uiPriority w:val="0"/>
    <w:rPr>
      <w:sz w:val="18"/>
      <w:szCs w:val="18"/>
    </w:rPr>
  </w:style>
  <w:style w:type="paragraph" w:styleId="27">
    <w:name w:val="footer"/>
    <w:basedOn w:val="1"/>
    <w:link w:val="61"/>
    <w:autoRedefine/>
    <w:qFormat/>
    <w:uiPriority w:val="0"/>
    <w:pPr>
      <w:tabs>
        <w:tab w:val="center" w:pos="4153"/>
        <w:tab w:val="right" w:pos="8306"/>
      </w:tabs>
      <w:snapToGrid w:val="0"/>
      <w:jc w:val="left"/>
    </w:pPr>
    <w:rPr>
      <w:sz w:val="18"/>
      <w:szCs w:val="18"/>
    </w:rPr>
  </w:style>
  <w:style w:type="paragraph" w:styleId="28">
    <w:name w:val="header"/>
    <w:basedOn w:val="1"/>
    <w:link w:val="62"/>
    <w:autoRedefine/>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autoRedefine/>
    <w:qFormat/>
    <w:uiPriority w:val="39"/>
    <w:pPr>
      <w:spacing w:line="360" w:lineRule="auto"/>
    </w:pPr>
    <w:rPr>
      <w:rFonts w:eastAsia="黑体" w:asciiTheme="minorEastAsia" w:hAnsiTheme="minorEastAsia"/>
      <w:b/>
      <w:sz w:val="32"/>
      <w:szCs w:val="21"/>
    </w:rPr>
  </w:style>
  <w:style w:type="paragraph" w:styleId="30">
    <w:name w:val="toc 4"/>
    <w:basedOn w:val="1"/>
    <w:next w:val="1"/>
    <w:autoRedefine/>
    <w:unhideWhenUsed/>
    <w:qFormat/>
    <w:uiPriority w:val="39"/>
    <w:pPr>
      <w:adjustRightInd w:val="0"/>
      <w:snapToGrid w:val="0"/>
      <w:spacing w:line="360" w:lineRule="auto"/>
      <w:ind w:left="100" w:leftChars="100"/>
    </w:pPr>
    <w:rPr>
      <w:rFonts w:asciiTheme="minorHAnsi" w:hAnsiTheme="minorHAnsi" w:eastAsiaTheme="minorEastAsia" w:cstheme="minorBidi"/>
      <w:sz w:val="28"/>
      <w:szCs w:val="22"/>
    </w:rPr>
  </w:style>
  <w:style w:type="paragraph" w:styleId="31">
    <w:name w:val="Subtitle"/>
    <w:basedOn w:val="1"/>
    <w:next w:val="1"/>
    <w:link w:val="143"/>
    <w:autoRedefine/>
    <w:qFormat/>
    <w:uiPriority w:val="0"/>
    <w:pPr>
      <w:spacing w:before="240" w:after="60" w:line="312" w:lineRule="auto"/>
      <w:jc w:val="center"/>
      <w:outlineLvl w:val="1"/>
    </w:pPr>
    <w:rPr>
      <w:rFonts w:ascii="等线 Light" w:hAnsi="等线 Light"/>
      <w:b/>
      <w:bCs/>
      <w:kern w:val="28"/>
      <w:sz w:val="32"/>
      <w:szCs w:val="32"/>
    </w:rPr>
  </w:style>
  <w:style w:type="paragraph" w:styleId="32">
    <w:name w:val="toc 6"/>
    <w:basedOn w:val="1"/>
    <w:next w:val="1"/>
    <w:autoRedefine/>
    <w:qFormat/>
    <w:uiPriority w:val="39"/>
    <w:pPr>
      <w:ind w:left="2100"/>
    </w:pPr>
    <w:rPr>
      <w:szCs w:val="20"/>
    </w:rPr>
  </w:style>
  <w:style w:type="paragraph" w:styleId="33">
    <w:name w:val="Body Text Indent 3"/>
    <w:basedOn w:val="1"/>
    <w:link w:val="75"/>
    <w:autoRedefine/>
    <w:qFormat/>
    <w:uiPriority w:val="0"/>
    <w:pPr>
      <w:spacing w:after="120"/>
      <w:ind w:left="420" w:leftChars="200"/>
    </w:pPr>
    <w:rPr>
      <w:sz w:val="16"/>
      <w:szCs w:val="16"/>
    </w:rPr>
  </w:style>
  <w:style w:type="paragraph" w:styleId="34">
    <w:name w:val="toc 2"/>
    <w:basedOn w:val="1"/>
    <w:next w:val="1"/>
    <w:autoRedefine/>
    <w:unhideWhenUsed/>
    <w:qFormat/>
    <w:uiPriority w:val="39"/>
    <w:pPr>
      <w:spacing w:line="360" w:lineRule="auto"/>
    </w:pPr>
    <w:rPr>
      <w:rFonts w:eastAsiaTheme="minorEastAsia"/>
      <w:b/>
      <w:sz w:val="28"/>
    </w:rPr>
  </w:style>
  <w:style w:type="paragraph" w:styleId="35">
    <w:name w:val="toc 9"/>
    <w:basedOn w:val="1"/>
    <w:next w:val="1"/>
    <w:autoRedefine/>
    <w:unhideWhenUsed/>
    <w:qFormat/>
    <w:uiPriority w:val="39"/>
    <w:pPr>
      <w:ind w:left="3360" w:leftChars="1600"/>
    </w:pPr>
    <w:rPr>
      <w:rFonts w:asciiTheme="minorHAnsi" w:hAnsiTheme="minorHAnsi" w:eastAsiaTheme="minorEastAsia" w:cstheme="minorBidi"/>
      <w:szCs w:val="22"/>
    </w:rPr>
  </w:style>
  <w:style w:type="paragraph" w:styleId="36">
    <w:name w:val="Body Text 2"/>
    <w:basedOn w:val="1"/>
    <w:link w:val="72"/>
    <w:autoRedefine/>
    <w:qFormat/>
    <w:uiPriority w:val="0"/>
    <w:pPr>
      <w:spacing w:after="120" w:line="480" w:lineRule="auto"/>
    </w:pPr>
  </w:style>
  <w:style w:type="paragraph" w:styleId="37">
    <w:name w:val="HTML Preformatted"/>
    <w:basedOn w:val="1"/>
    <w:link w:val="7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38">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39">
    <w:name w:val="index 1"/>
    <w:basedOn w:val="1"/>
    <w:next w:val="1"/>
    <w:autoRedefine/>
    <w:qFormat/>
    <w:uiPriority w:val="0"/>
    <w:pPr>
      <w:spacing w:line="220" w:lineRule="exact"/>
      <w:jc w:val="center"/>
    </w:pPr>
    <w:rPr>
      <w:rFonts w:ascii="仿宋_GB2312" w:eastAsia="仿宋_GB2312"/>
      <w:szCs w:val="20"/>
    </w:rPr>
  </w:style>
  <w:style w:type="paragraph" w:styleId="40">
    <w:name w:val="Title"/>
    <w:basedOn w:val="1"/>
    <w:link w:val="107"/>
    <w:autoRedefine/>
    <w:qFormat/>
    <w:uiPriority w:val="0"/>
    <w:pPr>
      <w:jc w:val="center"/>
      <w:outlineLvl w:val="0"/>
    </w:pPr>
    <w:rPr>
      <w:rFonts w:asciiTheme="minorHAnsi" w:hAnsiTheme="minorHAnsi" w:eastAsiaTheme="minorEastAsia" w:cstheme="minorBidi"/>
      <w:b/>
      <w:sz w:val="32"/>
      <w:szCs w:val="22"/>
    </w:rPr>
  </w:style>
  <w:style w:type="paragraph" w:styleId="41">
    <w:name w:val="annotation subject"/>
    <w:basedOn w:val="14"/>
    <w:next w:val="14"/>
    <w:link w:val="89"/>
    <w:autoRedefine/>
    <w:qFormat/>
    <w:uiPriority w:val="0"/>
    <w:rPr>
      <w:b/>
      <w:bCs/>
    </w:rPr>
  </w:style>
  <w:style w:type="table" w:styleId="43">
    <w:name w:val="Table Grid"/>
    <w:basedOn w:val="4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Strong"/>
    <w:autoRedefine/>
    <w:qFormat/>
    <w:uiPriority w:val="22"/>
    <w:rPr>
      <w:b/>
      <w:bCs/>
    </w:rPr>
  </w:style>
  <w:style w:type="character" w:styleId="46">
    <w:name w:val="page number"/>
    <w:basedOn w:val="44"/>
    <w:autoRedefine/>
    <w:qFormat/>
    <w:uiPriority w:val="0"/>
  </w:style>
  <w:style w:type="character" w:styleId="47">
    <w:name w:val="FollowedHyperlink"/>
    <w:autoRedefine/>
    <w:qFormat/>
    <w:uiPriority w:val="0"/>
    <w:rPr>
      <w:color w:val="800080"/>
      <w:u w:val="single"/>
    </w:rPr>
  </w:style>
  <w:style w:type="character" w:styleId="48">
    <w:name w:val="Hyperlink"/>
    <w:autoRedefine/>
    <w:qFormat/>
    <w:uiPriority w:val="99"/>
    <w:rPr>
      <w:color w:val="136EC2"/>
      <w:u w:val="single"/>
    </w:rPr>
  </w:style>
  <w:style w:type="character" w:styleId="49">
    <w:name w:val="annotation reference"/>
    <w:autoRedefine/>
    <w:qFormat/>
    <w:uiPriority w:val="0"/>
    <w:rPr>
      <w:sz w:val="21"/>
      <w:szCs w:val="21"/>
    </w:rPr>
  </w:style>
  <w:style w:type="character" w:customStyle="1" w:styleId="50">
    <w:name w:val="标题 1 Char"/>
    <w:basedOn w:val="44"/>
    <w:link w:val="2"/>
    <w:autoRedefine/>
    <w:qFormat/>
    <w:uiPriority w:val="0"/>
    <w:rPr>
      <w:bCs/>
      <w:kern w:val="2"/>
      <w:sz w:val="44"/>
    </w:rPr>
  </w:style>
  <w:style w:type="character" w:customStyle="1" w:styleId="51">
    <w:name w:val="标题 2 Char"/>
    <w:basedOn w:val="44"/>
    <w:link w:val="3"/>
    <w:autoRedefine/>
    <w:qFormat/>
    <w:uiPriority w:val="0"/>
    <w:rPr>
      <w:rFonts w:ascii="Arial" w:hAnsi="Arial" w:eastAsia="方正小标宋简体"/>
      <w:b/>
      <w:bCs/>
      <w:kern w:val="2"/>
      <w:sz w:val="44"/>
      <w:szCs w:val="32"/>
    </w:rPr>
  </w:style>
  <w:style w:type="character" w:customStyle="1" w:styleId="52">
    <w:name w:val="标题 3 Char"/>
    <w:basedOn w:val="44"/>
    <w:link w:val="4"/>
    <w:autoRedefine/>
    <w:qFormat/>
    <w:uiPriority w:val="0"/>
    <w:rPr>
      <w:rFonts w:eastAsia="黑体"/>
      <w:b/>
      <w:bCs/>
      <w:kern w:val="2"/>
      <w:sz w:val="32"/>
      <w:szCs w:val="32"/>
    </w:rPr>
  </w:style>
  <w:style w:type="character" w:customStyle="1" w:styleId="53">
    <w:name w:val="标题 4 Char"/>
    <w:basedOn w:val="44"/>
    <w:link w:val="5"/>
    <w:autoRedefine/>
    <w:qFormat/>
    <w:uiPriority w:val="0"/>
    <w:rPr>
      <w:rFonts w:ascii="Arial" w:hAnsi="Arial" w:eastAsia="黑体"/>
      <w:b/>
      <w:bCs/>
      <w:kern w:val="2"/>
      <w:sz w:val="28"/>
      <w:szCs w:val="28"/>
    </w:rPr>
  </w:style>
  <w:style w:type="character" w:customStyle="1" w:styleId="54">
    <w:name w:val="标题 5 Char"/>
    <w:basedOn w:val="44"/>
    <w:link w:val="6"/>
    <w:autoRedefine/>
    <w:qFormat/>
    <w:uiPriority w:val="0"/>
    <w:rPr>
      <w:rFonts w:ascii="Times New Roman" w:hAnsi="Times New Roman" w:eastAsia="宋体" w:cs="Times New Roman"/>
      <w:b/>
      <w:bCs/>
      <w:kern w:val="0"/>
      <w:sz w:val="28"/>
      <w:szCs w:val="28"/>
    </w:rPr>
  </w:style>
  <w:style w:type="character" w:customStyle="1" w:styleId="55">
    <w:name w:val="标题 6 Char"/>
    <w:basedOn w:val="44"/>
    <w:link w:val="7"/>
    <w:autoRedefine/>
    <w:qFormat/>
    <w:uiPriority w:val="0"/>
    <w:rPr>
      <w:rFonts w:ascii="Arial" w:hAnsi="Arial" w:eastAsia="黑体" w:cs="Times New Roman"/>
      <w:b/>
      <w:bCs/>
      <w:kern w:val="0"/>
      <w:sz w:val="24"/>
      <w:szCs w:val="24"/>
    </w:rPr>
  </w:style>
  <w:style w:type="character" w:customStyle="1" w:styleId="56">
    <w:name w:val="标题 7 Char"/>
    <w:basedOn w:val="44"/>
    <w:link w:val="8"/>
    <w:autoRedefine/>
    <w:qFormat/>
    <w:uiPriority w:val="0"/>
    <w:rPr>
      <w:rFonts w:ascii="Times New Roman" w:hAnsi="Times New Roman" w:eastAsia="宋体" w:cs="Times New Roman"/>
      <w:b/>
      <w:bCs/>
      <w:kern w:val="0"/>
      <w:sz w:val="24"/>
      <w:szCs w:val="24"/>
    </w:rPr>
  </w:style>
  <w:style w:type="character" w:customStyle="1" w:styleId="57">
    <w:name w:val="标题 8 Char"/>
    <w:basedOn w:val="44"/>
    <w:link w:val="9"/>
    <w:autoRedefine/>
    <w:qFormat/>
    <w:uiPriority w:val="0"/>
    <w:rPr>
      <w:rFonts w:ascii="Arial" w:hAnsi="Arial" w:eastAsia="黑体" w:cs="Times New Roman"/>
      <w:kern w:val="0"/>
      <w:sz w:val="24"/>
      <w:szCs w:val="24"/>
    </w:rPr>
  </w:style>
  <w:style w:type="character" w:customStyle="1" w:styleId="58">
    <w:name w:val="标题 9 Char"/>
    <w:basedOn w:val="44"/>
    <w:link w:val="10"/>
    <w:autoRedefine/>
    <w:qFormat/>
    <w:uiPriority w:val="0"/>
    <w:rPr>
      <w:rFonts w:ascii="Arial" w:hAnsi="Arial" w:eastAsia="黑体" w:cs="Times New Roman"/>
      <w:kern w:val="0"/>
      <w:szCs w:val="21"/>
    </w:rPr>
  </w:style>
  <w:style w:type="paragraph" w:customStyle="1" w:styleId="59">
    <w:name w:val="表格内容"/>
    <w:basedOn w:val="16"/>
    <w:autoRedefine/>
    <w:qFormat/>
    <w:uiPriority w:val="0"/>
    <w:pPr>
      <w:suppressLineNumbers/>
      <w:suppressAutoHyphens/>
      <w:jc w:val="left"/>
    </w:pPr>
    <w:rPr>
      <w:rFonts w:cs="Tahoma"/>
      <w:kern w:val="0"/>
      <w:sz w:val="24"/>
    </w:rPr>
  </w:style>
  <w:style w:type="character" w:customStyle="1" w:styleId="60">
    <w:name w:val="正文文本 Char"/>
    <w:basedOn w:val="44"/>
    <w:link w:val="16"/>
    <w:autoRedefine/>
    <w:qFormat/>
    <w:uiPriority w:val="0"/>
    <w:rPr>
      <w:rFonts w:ascii="Times New Roman" w:hAnsi="Times New Roman" w:eastAsia="宋体" w:cs="Times New Roman"/>
      <w:szCs w:val="24"/>
    </w:rPr>
  </w:style>
  <w:style w:type="character" w:customStyle="1" w:styleId="61">
    <w:name w:val="页脚 Char"/>
    <w:basedOn w:val="44"/>
    <w:link w:val="27"/>
    <w:autoRedefine/>
    <w:qFormat/>
    <w:uiPriority w:val="99"/>
    <w:rPr>
      <w:rFonts w:ascii="Times New Roman" w:hAnsi="Times New Roman" w:eastAsia="宋体" w:cs="Times New Roman"/>
      <w:sz w:val="18"/>
      <w:szCs w:val="18"/>
    </w:rPr>
  </w:style>
  <w:style w:type="character" w:customStyle="1" w:styleId="62">
    <w:name w:val="页眉 Char"/>
    <w:basedOn w:val="44"/>
    <w:link w:val="28"/>
    <w:autoRedefine/>
    <w:qFormat/>
    <w:uiPriority w:val="99"/>
    <w:rPr>
      <w:rFonts w:ascii="Times New Roman" w:hAnsi="Times New Roman" w:eastAsia="宋体" w:cs="Times New Roman"/>
      <w:sz w:val="18"/>
      <w:szCs w:val="18"/>
    </w:rPr>
  </w:style>
  <w:style w:type="character" w:customStyle="1" w:styleId="63">
    <w:name w:val="正文文本缩进 Char"/>
    <w:basedOn w:val="44"/>
    <w:link w:val="18"/>
    <w:autoRedefine/>
    <w:qFormat/>
    <w:uiPriority w:val="0"/>
    <w:rPr>
      <w:rFonts w:ascii="Times New Roman" w:hAnsi="Times New Roman" w:eastAsia="宋体" w:cs="Times New Roman"/>
      <w:szCs w:val="24"/>
    </w:rPr>
  </w:style>
  <w:style w:type="paragraph" w:customStyle="1" w:styleId="64">
    <w:name w:val="Char Char Char Char Char Char Char"/>
    <w:basedOn w:val="1"/>
    <w:autoRedefine/>
    <w:qFormat/>
    <w:uiPriority w:val="0"/>
    <w:pPr>
      <w:snapToGrid w:val="0"/>
      <w:spacing w:line="360" w:lineRule="auto"/>
      <w:ind w:firstLine="200" w:firstLineChars="200"/>
    </w:pPr>
    <w:rPr>
      <w:rFonts w:eastAsia="仿宋_GB2312"/>
      <w:sz w:val="24"/>
    </w:rPr>
  </w:style>
  <w:style w:type="character" w:customStyle="1" w:styleId="65">
    <w:name w:val="纯文本 Char"/>
    <w:basedOn w:val="44"/>
    <w:link w:val="22"/>
    <w:autoRedefine/>
    <w:qFormat/>
    <w:uiPriority w:val="0"/>
    <w:rPr>
      <w:rFonts w:ascii="宋体" w:hAnsi="Courier New" w:eastAsia="宋体" w:cs="Courier New"/>
      <w:szCs w:val="21"/>
    </w:rPr>
  </w:style>
  <w:style w:type="character" w:customStyle="1" w:styleId="66">
    <w:name w:val="批注文字 Char"/>
    <w:basedOn w:val="44"/>
    <w:link w:val="14"/>
    <w:autoRedefine/>
    <w:qFormat/>
    <w:uiPriority w:val="0"/>
    <w:rPr>
      <w:rFonts w:ascii="Times New Roman" w:hAnsi="Times New Roman" w:eastAsia="宋体" w:cs="Times New Roman"/>
      <w:szCs w:val="24"/>
    </w:rPr>
  </w:style>
  <w:style w:type="paragraph" w:customStyle="1" w:styleId="67">
    <w:name w:val="Char Char Char Char Char Char Char1"/>
    <w:basedOn w:val="1"/>
    <w:autoRedefine/>
    <w:qFormat/>
    <w:uiPriority w:val="0"/>
    <w:pPr>
      <w:snapToGrid w:val="0"/>
      <w:spacing w:line="360" w:lineRule="auto"/>
      <w:ind w:firstLine="200" w:firstLineChars="200"/>
    </w:pPr>
    <w:rPr>
      <w:rFonts w:eastAsia="仿宋_GB2312"/>
      <w:sz w:val="24"/>
    </w:rPr>
  </w:style>
  <w:style w:type="paragraph" w:customStyle="1" w:styleId="68">
    <w:name w:val="Char Char Char"/>
    <w:basedOn w:val="1"/>
    <w:autoRedefine/>
    <w:qFormat/>
    <w:uiPriority w:val="0"/>
    <w:rPr>
      <w:rFonts w:ascii="宋体" w:hAnsi="宋体"/>
      <w:b/>
      <w:sz w:val="28"/>
      <w:szCs w:val="28"/>
    </w:rPr>
  </w:style>
  <w:style w:type="paragraph" w:customStyle="1" w:styleId="69">
    <w:name w:val="Char Char1 Char Char Char Char Char Char Char Char 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character" w:customStyle="1" w:styleId="70">
    <w:name w:val="HTML 预设格式 Char"/>
    <w:basedOn w:val="44"/>
    <w:link w:val="37"/>
    <w:autoRedefine/>
    <w:qFormat/>
    <w:uiPriority w:val="0"/>
    <w:rPr>
      <w:rFonts w:ascii="Arial" w:hAnsi="Arial" w:eastAsia="宋体" w:cs="Arial"/>
      <w:kern w:val="0"/>
      <w:sz w:val="24"/>
      <w:szCs w:val="24"/>
    </w:rPr>
  </w:style>
  <w:style w:type="character" w:customStyle="1" w:styleId="71">
    <w:name w:val="称呼 Char"/>
    <w:basedOn w:val="44"/>
    <w:link w:val="15"/>
    <w:autoRedefine/>
    <w:qFormat/>
    <w:uiPriority w:val="0"/>
    <w:rPr>
      <w:rFonts w:ascii="仿宋_GB2312" w:hAnsi="Times New Roman" w:eastAsia="仿宋_GB2312" w:cs="Times New Roman"/>
      <w:sz w:val="24"/>
      <w:szCs w:val="24"/>
    </w:rPr>
  </w:style>
  <w:style w:type="character" w:customStyle="1" w:styleId="72">
    <w:name w:val="正文文本 2 Char"/>
    <w:basedOn w:val="44"/>
    <w:link w:val="36"/>
    <w:autoRedefine/>
    <w:qFormat/>
    <w:uiPriority w:val="0"/>
    <w:rPr>
      <w:rFonts w:ascii="Times New Roman" w:hAnsi="Times New Roman" w:eastAsia="宋体" w:cs="Times New Roman"/>
      <w:szCs w:val="24"/>
    </w:rPr>
  </w:style>
  <w:style w:type="character" w:customStyle="1" w:styleId="73">
    <w:name w:val="正文文本缩进 2 Char"/>
    <w:basedOn w:val="44"/>
    <w:link w:val="25"/>
    <w:autoRedefine/>
    <w:qFormat/>
    <w:uiPriority w:val="0"/>
    <w:rPr>
      <w:rFonts w:ascii="Times New Roman" w:hAnsi="Times New Roman" w:eastAsia="宋体" w:cs="Times New Roman"/>
      <w:szCs w:val="24"/>
    </w:rPr>
  </w:style>
  <w:style w:type="paragraph" w:customStyle="1" w:styleId="74">
    <w:name w:val="Char"/>
    <w:basedOn w:val="1"/>
    <w:autoRedefine/>
    <w:qFormat/>
    <w:uiPriority w:val="0"/>
    <w:pPr>
      <w:tabs>
        <w:tab w:val="left" w:pos="360"/>
      </w:tabs>
      <w:ind w:left="360" w:hanging="360" w:hangingChars="200"/>
    </w:pPr>
    <w:rPr>
      <w:sz w:val="24"/>
    </w:rPr>
  </w:style>
  <w:style w:type="character" w:customStyle="1" w:styleId="75">
    <w:name w:val="正文文本缩进 3 Char"/>
    <w:basedOn w:val="44"/>
    <w:link w:val="33"/>
    <w:autoRedefine/>
    <w:qFormat/>
    <w:uiPriority w:val="0"/>
    <w:rPr>
      <w:rFonts w:ascii="Times New Roman" w:hAnsi="Times New Roman" w:eastAsia="宋体" w:cs="Times New Roman"/>
      <w:sz w:val="16"/>
      <w:szCs w:val="16"/>
    </w:rPr>
  </w:style>
  <w:style w:type="character" w:customStyle="1" w:styleId="76">
    <w:name w:val="日期 Char"/>
    <w:basedOn w:val="44"/>
    <w:link w:val="24"/>
    <w:autoRedefine/>
    <w:qFormat/>
    <w:uiPriority w:val="0"/>
    <w:rPr>
      <w:rFonts w:ascii="Times New Roman" w:hAnsi="Times New Roman" w:eastAsia="宋体" w:cs="Times New Roman"/>
      <w:sz w:val="24"/>
      <w:szCs w:val="20"/>
    </w:rPr>
  </w:style>
  <w:style w:type="paragraph" w:customStyle="1" w:styleId="77">
    <w:name w:val="样式1"/>
    <w:basedOn w:val="1"/>
    <w:link w:val="109"/>
    <w:autoRedefine/>
    <w:qFormat/>
    <w:uiPriority w:val="0"/>
    <w:pPr>
      <w:tabs>
        <w:tab w:val="left" w:pos="360"/>
      </w:tabs>
      <w:adjustRightInd w:val="0"/>
      <w:ind w:left="360" w:hanging="360"/>
      <w:textAlignment w:val="baseline"/>
    </w:pPr>
    <w:rPr>
      <w:rFonts w:ascii="宋体" w:hAnsi="宋体"/>
      <w:kern w:val="0"/>
      <w:szCs w:val="21"/>
    </w:rPr>
  </w:style>
  <w:style w:type="character" w:customStyle="1" w:styleId="78">
    <w:name w:val="p0 Char"/>
    <w:link w:val="79"/>
    <w:autoRedefine/>
    <w:qFormat/>
    <w:uiPriority w:val="0"/>
    <w:rPr>
      <w:rFonts w:eastAsia="宋体"/>
      <w:szCs w:val="21"/>
    </w:rPr>
  </w:style>
  <w:style w:type="paragraph" w:customStyle="1" w:styleId="79">
    <w:name w:val="p0"/>
    <w:basedOn w:val="1"/>
    <w:link w:val="78"/>
    <w:autoRedefine/>
    <w:qFormat/>
    <w:uiPriority w:val="0"/>
    <w:pPr>
      <w:widowControl/>
    </w:pPr>
    <w:rPr>
      <w:rFonts w:asciiTheme="minorHAnsi" w:hAnsiTheme="minorHAnsi" w:cstheme="minorBidi"/>
      <w:szCs w:val="21"/>
    </w:rPr>
  </w:style>
  <w:style w:type="paragraph" w:customStyle="1" w:styleId="80">
    <w:name w:val="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81">
    <w:name w:val="Char Char1 Char Char Char Char Char1 Char Char Char Char"/>
    <w:basedOn w:val="13"/>
    <w:autoRedefine/>
    <w:qFormat/>
    <w:uiPriority w:val="0"/>
    <w:rPr>
      <w:rFonts w:ascii="Tahoma" w:hAnsi="Tahoma"/>
    </w:rPr>
  </w:style>
  <w:style w:type="character" w:customStyle="1" w:styleId="82">
    <w:name w:val="文档结构图 Char"/>
    <w:basedOn w:val="44"/>
    <w:link w:val="13"/>
    <w:autoRedefine/>
    <w:semiHidden/>
    <w:qFormat/>
    <w:uiPriority w:val="0"/>
    <w:rPr>
      <w:rFonts w:ascii="Times New Roman" w:hAnsi="Times New Roman" w:eastAsia="宋体" w:cs="Times New Roman"/>
      <w:szCs w:val="24"/>
      <w:shd w:val="clear" w:color="auto" w:fill="000080"/>
    </w:rPr>
  </w:style>
  <w:style w:type="paragraph" w:customStyle="1" w:styleId="83">
    <w:name w:val="样式 样式 样式 样式 标题 2 + 宋体 五号 非加粗 黑色 + 段前: 6 磅 段后: 0 磅 行距: 单倍行距 + 段前:..."/>
    <w:basedOn w:val="1"/>
    <w:autoRedefine/>
    <w:qFormat/>
    <w:uiPriority w:val="0"/>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84">
    <w:name w:val="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85">
    <w:name w:val="Default"/>
    <w:autoRedefine/>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86">
    <w:name w:val="1"/>
    <w:basedOn w:val="1"/>
    <w:autoRedefine/>
    <w:qFormat/>
    <w:uiPriority w:val="0"/>
    <w:pPr>
      <w:spacing w:afterLines="50" w:line="360" w:lineRule="auto"/>
    </w:pPr>
    <w:rPr>
      <w:rFonts w:ascii="宋体" w:hAnsi="宋体"/>
      <w:b/>
      <w:sz w:val="30"/>
      <w:szCs w:val="21"/>
    </w:rPr>
  </w:style>
  <w:style w:type="paragraph" w:customStyle="1" w:styleId="87">
    <w:name w:val="样式 标题 2 + 宋体 五号 行距: 单倍行距"/>
    <w:basedOn w:val="3"/>
    <w:autoRedefine/>
    <w:qFormat/>
    <w:uiPriority w:val="0"/>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88">
    <w:name w:val="标题 1 +"/>
    <w:basedOn w:val="2"/>
    <w:next w:val="1"/>
    <w:autoRedefine/>
    <w:qFormat/>
    <w:uiPriority w:val="0"/>
    <w:pPr>
      <w:keepLines/>
      <w:spacing w:line="600" w:lineRule="auto"/>
    </w:pPr>
    <w:rPr>
      <w:rFonts w:eastAsia="黑体"/>
      <w:kern w:val="0"/>
      <w:sz w:val="32"/>
      <w:szCs w:val="32"/>
    </w:rPr>
  </w:style>
  <w:style w:type="character" w:customStyle="1" w:styleId="89">
    <w:name w:val="批注主题 Char"/>
    <w:basedOn w:val="66"/>
    <w:link w:val="41"/>
    <w:autoRedefine/>
    <w:qFormat/>
    <w:uiPriority w:val="0"/>
    <w:rPr>
      <w:rFonts w:ascii="Times New Roman" w:hAnsi="Times New Roman" w:eastAsia="宋体" w:cs="Times New Roman"/>
      <w:b/>
      <w:bCs/>
      <w:szCs w:val="24"/>
    </w:rPr>
  </w:style>
  <w:style w:type="character" w:customStyle="1" w:styleId="90">
    <w:name w:val="批注框文本 Char"/>
    <w:basedOn w:val="44"/>
    <w:link w:val="26"/>
    <w:autoRedefine/>
    <w:qFormat/>
    <w:uiPriority w:val="0"/>
    <w:rPr>
      <w:rFonts w:ascii="Times New Roman" w:hAnsi="Times New Roman" w:eastAsia="宋体" w:cs="Times New Roman"/>
      <w:sz w:val="18"/>
      <w:szCs w:val="18"/>
    </w:rPr>
  </w:style>
  <w:style w:type="paragraph" w:customStyle="1" w:styleId="91">
    <w:name w:val="样式 标题 2 + Times New Roman 四号 非加粗 段前: 5 磅 段后: 0 磅 行距: 固定值 20..."/>
    <w:basedOn w:val="3"/>
    <w:autoRedefine/>
    <w:qFormat/>
    <w:uiPriority w:val="0"/>
    <w:pPr>
      <w:spacing w:before="100" w:line="400" w:lineRule="exact"/>
    </w:pPr>
    <w:rPr>
      <w:rFonts w:ascii="Times New Roman" w:hAnsi="Times New Roman" w:eastAsia="黑体"/>
      <w:b w:val="0"/>
      <w:bCs w:val="0"/>
      <w:sz w:val="28"/>
      <w:szCs w:val="20"/>
    </w:rPr>
  </w:style>
  <w:style w:type="paragraph" w:customStyle="1" w:styleId="92">
    <w:name w:val="p15"/>
    <w:basedOn w:val="1"/>
    <w:autoRedefine/>
    <w:qFormat/>
    <w:uiPriority w:val="0"/>
    <w:pPr>
      <w:widowControl/>
      <w:spacing w:line="220" w:lineRule="atLeast"/>
      <w:jc w:val="center"/>
    </w:pPr>
    <w:rPr>
      <w:rFonts w:ascii="仿宋_GB2312" w:hAnsi="宋体" w:eastAsia="仿宋_GB2312" w:cs="宋体"/>
      <w:kern w:val="0"/>
      <w:szCs w:val="21"/>
    </w:rPr>
  </w:style>
  <w:style w:type="paragraph" w:customStyle="1" w:styleId="93">
    <w:name w:val="Char1 Char Char Char 字元 Char Char 字元 Char 字元 Char1 Char Char Char"/>
    <w:basedOn w:val="1"/>
    <w:autoRedefine/>
    <w:qFormat/>
    <w:uiPriority w:val="0"/>
    <w:rPr>
      <w:szCs w:val="20"/>
    </w:rPr>
  </w:style>
  <w:style w:type="paragraph" w:customStyle="1" w:styleId="94">
    <w:name w:val="p16"/>
    <w:basedOn w:val="1"/>
    <w:autoRedefine/>
    <w:qFormat/>
    <w:uiPriority w:val="0"/>
    <w:pPr>
      <w:widowControl/>
      <w:jc w:val="left"/>
    </w:pPr>
    <w:rPr>
      <w:kern w:val="0"/>
      <w:szCs w:val="21"/>
    </w:rPr>
  </w:style>
  <w:style w:type="paragraph" w:customStyle="1" w:styleId="95">
    <w:name w:val="xl31"/>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96">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97">
    <w:name w:val="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8">
    <w:name w:val="xl25"/>
    <w:basedOn w:val="1"/>
    <w:autoRedefine/>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99">
    <w:name w:val="Char Char Char1 Char"/>
    <w:basedOn w:val="1"/>
    <w:autoRedefine/>
    <w:qFormat/>
    <w:uiPriority w:val="0"/>
    <w:pPr>
      <w:tabs>
        <w:tab w:val="left" w:pos="360"/>
      </w:tabs>
      <w:snapToGrid w:val="0"/>
      <w:spacing w:line="360" w:lineRule="auto"/>
    </w:pPr>
    <w:rPr>
      <w:rFonts w:eastAsia="仿宋_GB2312" w:cs="宋体"/>
      <w:sz w:val="24"/>
    </w:rPr>
  </w:style>
  <w:style w:type="paragraph" w:styleId="100">
    <w:name w:val="List Paragraph"/>
    <w:basedOn w:val="1"/>
    <w:link w:val="106"/>
    <w:autoRedefine/>
    <w:qFormat/>
    <w:uiPriority w:val="34"/>
    <w:pPr>
      <w:ind w:firstLine="420" w:firstLineChars="200"/>
    </w:pPr>
  </w:style>
  <w:style w:type="character" w:customStyle="1" w:styleId="101">
    <w:name w:val="fontstyle01"/>
    <w:basedOn w:val="44"/>
    <w:autoRedefine/>
    <w:qFormat/>
    <w:uiPriority w:val="0"/>
    <w:rPr>
      <w:rFonts w:hint="eastAsia" w:ascii="宋体" w:hAnsi="宋体" w:eastAsia="宋体"/>
      <w:color w:val="000000"/>
      <w:sz w:val="24"/>
      <w:szCs w:val="24"/>
    </w:rPr>
  </w:style>
  <w:style w:type="character" w:customStyle="1" w:styleId="102">
    <w:name w:val="fontstyle11"/>
    <w:basedOn w:val="44"/>
    <w:autoRedefine/>
    <w:qFormat/>
    <w:uiPriority w:val="0"/>
    <w:rPr>
      <w:rFonts w:hint="default" w:ascii="TimesNewRomanPSMT" w:hAnsi="TimesNewRomanPSMT"/>
      <w:color w:val="000000"/>
      <w:sz w:val="24"/>
      <w:szCs w:val="24"/>
    </w:rPr>
  </w:style>
  <w:style w:type="paragraph" w:customStyle="1" w:styleId="103">
    <w:name w:val="TOC 标题1"/>
    <w:basedOn w:val="2"/>
    <w:next w:val="1"/>
    <w:autoRedefine/>
    <w:semiHidden/>
    <w:unhideWhenUsed/>
    <w:qFormat/>
    <w:uiPriority w:val="39"/>
    <w:pPr>
      <w:keepLines/>
      <w:widowControl/>
      <w:spacing w:before="480" w:line="276" w:lineRule="auto"/>
      <w:jc w:val="left"/>
      <w:outlineLvl w:val="9"/>
    </w:pPr>
    <w:rPr>
      <w:rFonts w:asciiTheme="majorHAnsi" w:hAnsiTheme="majorHAnsi" w:eastAsiaTheme="majorEastAsia" w:cstheme="majorBidi"/>
      <w:color w:val="2F5597" w:themeColor="accent1" w:themeShade="BF"/>
      <w:kern w:val="0"/>
      <w:sz w:val="28"/>
      <w:szCs w:val="28"/>
    </w:rPr>
  </w:style>
  <w:style w:type="character" w:customStyle="1" w:styleId="104">
    <w:name w:val="fontstyle21"/>
    <w:basedOn w:val="44"/>
    <w:autoRedefine/>
    <w:qFormat/>
    <w:uiPriority w:val="0"/>
    <w:rPr>
      <w:rFonts w:hint="eastAsia" w:ascii="宋体" w:hAnsi="宋体" w:eastAsia="宋体"/>
      <w:color w:val="993300"/>
      <w:sz w:val="24"/>
      <w:szCs w:val="24"/>
    </w:rPr>
  </w:style>
  <w:style w:type="character" w:customStyle="1" w:styleId="105">
    <w:name w:val="fontstyle31"/>
    <w:basedOn w:val="44"/>
    <w:autoRedefine/>
    <w:qFormat/>
    <w:uiPriority w:val="0"/>
    <w:rPr>
      <w:rFonts w:hint="default" w:ascii="Arial" w:hAnsi="Arial" w:cs="Arial"/>
      <w:color w:val="993300"/>
      <w:sz w:val="24"/>
      <w:szCs w:val="24"/>
    </w:rPr>
  </w:style>
  <w:style w:type="character" w:customStyle="1" w:styleId="106">
    <w:name w:val="列出段落 Char"/>
    <w:link w:val="100"/>
    <w:autoRedefine/>
    <w:qFormat/>
    <w:uiPriority w:val="0"/>
    <w:rPr>
      <w:rFonts w:ascii="Times New Roman" w:hAnsi="Times New Roman" w:eastAsia="宋体" w:cs="Times New Roman"/>
      <w:szCs w:val="24"/>
    </w:rPr>
  </w:style>
  <w:style w:type="character" w:customStyle="1" w:styleId="107">
    <w:name w:val="标题 Char"/>
    <w:link w:val="40"/>
    <w:autoRedefine/>
    <w:qFormat/>
    <w:uiPriority w:val="0"/>
    <w:rPr>
      <w:b/>
      <w:sz w:val="32"/>
    </w:rPr>
  </w:style>
  <w:style w:type="character" w:customStyle="1" w:styleId="108">
    <w:name w:val="标题 Char1"/>
    <w:basedOn w:val="44"/>
    <w:autoRedefine/>
    <w:qFormat/>
    <w:uiPriority w:val="10"/>
    <w:rPr>
      <w:rFonts w:eastAsia="宋体" w:asciiTheme="majorHAnsi" w:hAnsiTheme="majorHAnsi" w:cstheme="majorBidi"/>
      <w:b/>
      <w:bCs/>
      <w:sz w:val="32"/>
      <w:szCs w:val="32"/>
    </w:rPr>
  </w:style>
  <w:style w:type="character" w:customStyle="1" w:styleId="109">
    <w:name w:val="样式1 Char Char"/>
    <w:link w:val="77"/>
    <w:autoRedefine/>
    <w:qFormat/>
    <w:uiPriority w:val="0"/>
    <w:rPr>
      <w:rFonts w:ascii="宋体" w:hAnsi="宋体" w:eastAsia="宋体" w:cs="Times New Roman"/>
      <w:kern w:val="0"/>
      <w:szCs w:val="21"/>
    </w:rPr>
  </w:style>
  <w:style w:type="character" w:customStyle="1" w:styleId="110">
    <w:name w:val="纯文本 Char1"/>
    <w:autoRedefine/>
    <w:semiHidden/>
    <w:qFormat/>
    <w:locked/>
    <w:uiPriority w:val="0"/>
    <w:rPr>
      <w:rFonts w:ascii="宋体" w:hAnsi="Courier New" w:eastAsia="宋体" w:cs="Courier New"/>
      <w:kern w:val="2"/>
      <w:sz w:val="21"/>
      <w:szCs w:val="21"/>
      <w:lang w:val="en-US" w:eastAsia="zh-CN" w:bidi="ar-SA"/>
    </w:rPr>
  </w:style>
  <w:style w:type="paragraph" w:customStyle="1" w:styleId="111">
    <w:name w:val="正文文字缩进"/>
    <w:autoRedefine/>
    <w:qFormat/>
    <w:uiPriority w:val="0"/>
    <w:pPr>
      <w:spacing w:line="351" w:lineRule="atLeast"/>
      <w:ind w:firstLine="555"/>
      <w:textAlignment w:val="baseline"/>
    </w:pPr>
    <w:rPr>
      <w:rFonts w:ascii="Times New Roman" w:hAnsi="Times New Roman" w:eastAsia="宋体" w:cs="Times New Roman"/>
      <w:color w:val="000000"/>
      <w:sz w:val="28"/>
      <w:lang w:val="en-US" w:eastAsia="zh-CN" w:bidi="ar-SA"/>
    </w:rPr>
  </w:style>
  <w:style w:type="character" w:customStyle="1" w:styleId="112">
    <w:name w:val="批注文字 字符"/>
    <w:autoRedefine/>
    <w:qFormat/>
    <w:uiPriority w:val="0"/>
    <w:rPr>
      <w:sz w:val="24"/>
      <w:szCs w:val="24"/>
    </w:rPr>
  </w:style>
  <w:style w:type="character" w:customStyle="1" w:styleId="113">
    <w:name w:val="纯文本 字符"/>
    <w:autoRedefine/>
    <w:qFormat/>
    <w:locked/>
    <w:uiPriority w:val="0"/>
    <w:rPr>
      <w:rFonts w:ascii="宋体" w:hAnsi="Courier New" w:eastAsia="宋体" w:cs="Courier New"/>
      <w:kern w:val="2"/>
      <w:sz w:val="24"/>
      <w:szCs w:val="21"/>
      <w:lang w:val="en-US" w:eastAsia="zh-CN" w:bidi="ar-SA"/>
    </w:rPr>
  </w:style>
  <w:style w:type="paragraph" w:customStyle="1" w:styleId="114">
    <w:name w:val="列出段落1"/>
    <w:basedOn w:val="1"/>
    <w:autoRedefine/>
    <w:qFormat/>
    <w:uiPriority w:val="0"/>
    <w:pPr>
      <w:ind w:firstLine="420" w:firstLineChars="200"/>
    </w:pPr>
    <w:rPr>
      <w:kern w:val="0"/>
      <w:sz w:val="24"/>
    </w:rPr>
  </w:style>
  <w:style w:type="character" w:customStyle="1" w:styleId="115">
    <w:name w:val="标题 1 字符"/>
    <w:autoRedefine/>
    <w:qFormat/>
    <w:uiPriority w:val="0"/>
    <w:rPr>
      <w:b/>
      <w:bCs/>
      <w:kern w:val="44"/>
      <w:sz w:val="44"/>
      <w:szCs w:val="44"/>
    </w:rPr>
  </w:style>
  <w:style w:type="character" w:customStyle="1" w:styleId="116">
    <w:name w:val="标题 2 字符"/>
    <w:autoRedefine/>
    <w:qFormat/>
    <w:uiPriority w:val="0"/>
    <w:rPr>
      <w:rFonts w:ascii="Arial" w:hAnsi="Arial" w:eastAsia="黑体"/>
      <w:b/>
      <w:sz w:val="32"/>
    </w:rPr>
  </w:style>
  <w:style w:type="character" w:customStyle="1" w:styleId="117">
    <w:name w:val="标题 4 字符"/>
    <w:autoRedefine/>
    <w:qFormat/>
    <w:uiPriority w:val="0"/>
    <w:rPr>
      <w:rFonts w:ascii="Arial" w:hAnsi="Arial" w:eastAsia="黑体" w:cs="Arial"/>
      <w:b/>
      <w:bCs/>
      <w:kern w:val="2"/>
      <w:sz w:val="28"/>
      <w:szCs w:val="28"/>
    </w:rPr>
  </w:style>
  <w:style w:type="character" w:customStyle="1" w:styleId="118">
    <w:name w:val="文档结构图 字符"/>
    <w:autoRedefine/>
    <w:semiHidden/>
    <w:qFormat/>
    <w:uiPriority w:val="0"/>
    <w:rPr>
      <w:sz w:val="24"/>
      <w:szCs w:val="24"/>
      <w:shd w:val="clear" w:color="auto" w:fill="000080"/>
    </w:rPr>
  </w:style>
  <w:style w:type="character" w:customStyle="1" w:styleId="119">
    <w:name w:val="正文文本 字符"/>
    <w:autoRedefine/>
    <w:qFormat/>
    <w:uiPriority w:val="0"/>
    <w:rPr>
      <w:sz w:val="21"/>
      <w:szCs w:val="24"/>
    </w:rPr>
  </w:style>
  <w:style w:type="character" w:customStyle="1" w:styleId="120">
    <w:name w:val="正文文本缩进 字符"/>
    <w:autoRedefine/>
    <w:qFormat/>
    <w:uiPriority w:val="0"/>
    <w:rPr>
      <w:sz w:val="24"/>
      <w:szCs w:val="24"/>
    </w:rPr>
  </w:style>
  <w:style w:type="character" w:customStyle="1" w:styleId="121">
    <w:name w:val="正文文本缩进 2 字符"/>
    <w:autoRedefine/>
    <w:qFormat/>
    <w:uiPriority w:val="0"/>
    <w:rPr>
      <w:sz w:val="24"/>
      <w:szCs w:val="24"/>
    </w:rPr>
  </w:style>
  <w:style w:type="character" w:customStyle="1" w:styleId="122">
    <w:name w:val="批注框文本 字符"/>
    <w:autoRedefine/>
    <w:qFormat/>
    <w:locked/>
    <w:uiPriority w:val="0"/>
    <w:rPr>
      <w:rFonts w:cs="Times New Roman"/>
      <w:sz w:val="18"/>
      <w:szCs w:val="18"/>
    </w:rPr>
  </w:style>
  <w:style w:type="character" w:customStyle="1" w:styleId="123">
    <w:name w:val="页脚 字符"/>
    <w:autoRedefine/>
    <w:qFormat/>
    <w:locked/>
    <w:uiPriority w:val="0"/>
    <w:rPr>
      <w:rFonts w:cs="Times New Roman"/>
      <w:sz w:val="18"/>
      <w:szCs w:val="18"/>
    </w:rPr>
  </w:style>
  <w:style w:type="character" w:customStyle="1" w:styleId="124">
    <w:name w:val="页眉 字符"/>
    <w:autoRedefine/>
    <w:qFormat/>
    <w:locked/>
    <w:uiPriority w:val="0"/>
    <w:rPr>
      <w:rFonts w:cs="Times New Roman"/>
      <w:sz w:val="18"/>
      <w:szCs w:val="18"/>
    </w:rPr>
  </w:style>
  <w:style w:type="paragraph" w:customStyle="1" w:styleId="125">
    <w:name w:val="_Style 122"/>
    <w:basedOn w:val="1"/>
    <w:next w:val="1"/>
    <w:autoRedefine/>
    <w:qFormat/>
    <w:uiPriority w:val="39"/>
    <w:pPr>
      <w:ind w:left="420" w:leftChars="200"/>
    </w:pPr>
    <w:rPr>
      <w:kern w:val="0"/>
      <w:sz w:val="24"/>
    </w:rPr>
  </w:style>
  <w:style w:type="character" w:customStyle="1" w:styleId="126">
    <w:name w:val="正文文本 2 字符"/>
    <w:autoRedefine/>
    <w:qFormat/>
    <w:uiPriority w:val="0"/>
    <w:rPr>
      <w:sz w:val="21"/>
      <w:szCs w:val="24"/>
    </w:rPr>
  </w:style>
  <w:style w:type="character" w:customStyle="1" w:styleId="127">
    <w:name w:val="标题 字符"/>
    <w:autoRedefine/>
    <w:qFormat/>
    <w:uiPriority w:val="0"/>
    <w:rPr>
      <w:rFonts w:ascii="Calibri Light" w:hAnsi="Calibri Light"/>
      <w:b/>
      <w:bCs/>
      <w:kern w:val="2"/>
      <w:sz w:val="32"/>
      <w:szCs w:val="32"/>
    </w:rPr>
  </w:style>
  <w:style w:type="character" w:customStyle="1" w:styleId="128">
    <w:name w:val="apple-style-span"/>
    <w:autoRedefine/>
    <w:qFormat/>
    <w:uiPriority w:val="0"/>
  </w:style>
  <w:style w:type="character" w:customStyle="1" w:styleId="129">
    <w:name w:val="样式 (中文) 仿宋_GB2312 三号"/>
    <w:autoRedefine/>
    <w:qFormat/>
    <w:uiPriority w:val="0"/>
    <w:rPr>
      <w:rFonts w:hint="eastAsia" w:ascii="仿宋_GB2312" w:eastAsia="仿宋_GB2312"/>
      <w:sz w:val="32"/>
    </w:rPr>
  </w:style>
  <w:style w:type="character" w:customStyle="1" w:styleId="130">
    <w:name w:val="1111111199999 Char"/>
    <w:link w:val="131"/>
    <w:autoRedefine/>
    <w:qFormat/>
    <w:locked/>
    <w:uiPriority w:val="0"/>
    <w:rPr>
      <w:sz w:val="21"/>
    </w:rPr>
  </w:style>
  <w:style w:type="paragraph" w:customStyle="1" w:styleId="131">
    <w:name w:val="1111111199999"/>
    <w:basedOn w:val="1"/>
    <w:link w:val="130"/>
    <w:autoRedefine/>
    <w:qFormat/>
    <w:uiPriority w:val="0"/>
    <w:pPr>
      <w:widowControl/>
      <w:spacing w:beforeLines="50" w:line="240" w:lineRule="exact"/>
      <w:ind w:firstLine="514" w:firstLineChars="214"/>
      <w:jc w:val="left"/>
    </w:pPr>
    <w:rPr>
      <w:rFonts w:asciiTheme="minorHAnsi" w:hAnsiTheme="minorHAnsi" w:eastAsiaTheme="minorEastAsia" w:cstheme="minorBidi"/>
      <w:kern w:val="0"/>
      <w:szCs w:val="20"/>
    </w:rPr>
  </w:style>
  <w:style w:type="character" w:customStyle="1" w:styleId="132">
    <w:name w:val="Char Char3"/>
    <w:autoRedefine/>
    <w:qFormat/>
    <w:locked/>
    <w:uiPriority w:val="0"/>
    <w:rPr>
      <w:rFonts w:ascii="宋体" w:hAnsi="宋体" w:eastAsia="宋体"/>
      <w:sz w:val="18"/>
      <w:szCs w:val="18"/>
      <w:lang w:val="en-US" w:eastAsia="zh-CN" w:bidi="ar-SA"/>
    </w:rPr>
  </w:style>
  <w:style w:type="character" w:customStyle="1" w:styleId="133">
    <w:name w:val="Char Char4"/>
    <w:autoRedefine/>
    <w:qFormat/>
    <w:locked/>
    <w:uiPriority w:val="0"/>
    <w:rPr>
      <w:rFonts w:ascii="宋体" w:hAnsi="Courier New" w:eastAsia="宋体"/>
      <w:kern w:val="2"/>
      <w:sz w:val="21"/>
      <w:lang w:bidi="ar-SA"/>
    </w:rPr>
  </w:style>
  <w:style w:type="character" w:customStyle="1" w:styleId="134">
    <w:name w:val="List Paragraph Char"/>
    <w:link w:val="135"/>
    <w:autoRedefine/>
    <w:qFormat/>
    <w:locked/>
    <w:uiPriority w:val="0"/>
    <w:rPr>
      <w:rFonts w:ascii="Calibri" w:hAnsi="Calibri"/>
      <w:sz w:val="22"/>
      <w:lang w:eastAsia="en-US"/>
    </w:rPr>
  </w:style>
  <w:style w:type="paragraph" w:customStyle="1" w:styleId="135">
    <w:name w:val="列出段落111"/>
    <w:basedOn w:val="1"/>
    <w:link w:val="134"/>
    <w:autoRedefine/>
    <w:qFormat/>
    <w:uiPriority w:val="0"/>
    <w:pPr>
      <w:widowControl/>
      <w:ind w:left="720" w:firstLine="360"/>
      <w:jc w:val="left"/>
    </w:pPr>
    <w:rPr>
      <w:rFonts w:ascii="Calibri" w:hAnsi="Calibri" w:eastAsiaTheme="minorEastAsia" w:cstheme="minorBidi"/>
      <w:kern w:val="0"/>
      <w:sz w:val="22"/>
      <w:szCs w:val="20"/>
      <w:lang w:eastAsia="en-US"/>
    </w:rPr>
  </w:style>
  <w:style w:type="paragraph" w:customStyle="1" w:styleId="136">
    <w:name w:val="列出段落11"/>
    <w:basedOn w:val="1"/>
    <w:autoRedefine/>
    <w:qFormat/>
    <w:uiPriority w:val="0"/>
    <w:pPr>
      <w:widowControl/>
      <w:spacing w:line="351" w:lineRule="atLeast"/>
      <w:ind w:firstLine="420" w:firstLineChars="200"/>
      <w:textAlignment w:val="baseline"/>
    </w:pPr>
    <w:rPr>
      <w:color w:val="000000"/>
      <w:kern w:val="0"/>
      <w:sz w:val="20"/>
      <w:szCs w:val="20"/>
      <w:lang w:val="zh-CN"/>
    </w:rPr>
  </w:style>
  <w:style w:type="paragraph" w:customStyle="1" w:styleId="137">
    <w:name w:val="Char Char Char Char"/>
    <w:basedOn w:val="1"/>
    <w:autoRedefine/>
    <w:qFormat/>
    <w:uiPriority w:val="0"/>
    <w:rPr>
      <w:sz w:val="24"/>
      <w:szCs w:val="36"/>
    </w:rPr>
  </w:style>
  <w:style w:type="paragraph" w:customStyle="1" w:styleId="138">
    <w:name w:val="列出段落12"/>
    <w:basedOn w:val="1"/>
    <w:autoRedefine/>
    <w:qFormat/>
    <w:uiPriority w:val="0"/>
    <w:pPr>
      <w:widowControl/>
      <w:ind w:left="720" w:firstLine="360"/>
      <w:jc w:val="left"/>
    </w:pPr>
    <w:rPr>
      <w:rFonts w:ascii="Calibri" w:hAnsi="Calibri"/>
      <w:kern w:val="0"/>
      <w:sz w:val="22"/>
      <w:szCs w:val="20"/>
      <w:lang w:eastAsia="en-US"/>
    </w:rPr>
  </w:style>
  <w:style w:type="paragraph" w:customStyle="1" w:styleId="139">
    <w:name w:val="样式2"/>
    <w:basedOn w:val="2"/>
    <w:autoRedefine/>
    <w:qFormat/>
    <w:uiPriority w:val="0"/>
    <w:pPr>
      <w:keepLines/>
      <w:spacing w:before="340" w:after="330" w:line="640" w:lineRule="exact"/>
    </w:pPr>
    <w:rPr>
      <w:rFonts w:ascii="方正小标宋简体" w:hAnsi="华文中宋" w:eastAsia="方正小标宋简体"/>
      <w:b/>
      <w:kern w:val="44"/>
      <w:szCs w:val="44"/>
    </w:rPr>
  </w:style>
  <w:style w:type="paragraph" w:customStyle="1" w:styleId="140">
    <w:name w:val="样式3"/>
    <w:basedOn w:val="2"/>
    <w:autoRedefine/>
    <w:qFormat/>
    <w:uiPriority w:val="0"/>
    <w:pPr>
      <w:keepLines/>
      <w:spacing w:before="340" w:after="330" w:line="640" w:lineRule="exact"/>
    </w:pPr>
    <w:rPr>
      <w:rFonts w:ascii="方正小标宋简体" w:hAnsi="华文中宋" w:eastAsia="方正小标宋简体"/>
      <w:b/>
      <w:kern w:val="44"/>
      <w:szCs w:val="44"/>
    </w:rPr>
  </w:style>
  <w:style w:type="character" w:customStyle="1" w:styleId="141">
    <w:name w:val="批注主题 字符"/>
    <w:autoRedefine/>
    <w:qFormat/>
    <w:uiPriority w:val="0"/>
    <w:rPr>
      <w:b/>
      <w:bCs/>
      <w:sz w:val="24"/>
      <w:szCs w:val="24"/>
    </w:rPr>
  </w:style>
  <w:style w:type="character" w:customStyle="1" w:styleId="142">
    <w:name w:val="副标题 Char"/>
    <w:basedOn w:val="44"/>
    <w:autoRedefine/>
    <w:qFormat/>
    <w:uiPriority w:val="11"/>
    <w:rPr>
      <w:rFonts w:eastAsia="宋体" w:asciiTheme="majorHAnsi" w:hAnsiTheme="majorHAnsi" w:cstheme="majorBidi"/>
      <w:b/>
      <w:bCs/>
      <w:kern w:val="28"/>
      <w:sz w:val="32"/>
      <w:szCs w:val="32"/>
    </w:rPr>
  </w:style>
  <w:style w:type="character" w:customStyle="1" w:styleId="143">
    <w:name w:val="副标题 Char1"/>
    <w:link w:val="31"/>
    <w:autoRedefine/>
    <w:qFormat/>
    <w:uiPriority w:val="0"/>
    <w:rPr>
      <w:rFonts w:ascii="等线 Light" w:hAnsi="等线 Light" w:eastAsia="宋体" w:cs="Times New Roman"/>
      <w:b/>
      <w:bCs/>
      <w:kern w:val="28"/>
      <w:sz w:val="32"/>
      <w:szCs w:val="32"/>
    </w:rPr>
  </w:style>
  <w:style w:type="character" w:customStyle="1" w:styleId="144">
    <w:name w:val="未处理的提及1"/>
    <w:basedOn w:val="44"/>
    <w:autoRedefine/>
    <w:semiHidden/>
    <w:unhideWhenUsed/>
    <w:qFormat/>
    <w:uiPriority w:val="99"/>
    <w:rPr>
      <w:color w:val="605E5C"/>
      <w:shd w:val="clear" w:color="auto" w:fill="E1DFDD"/>
    </w:rPr>
  </w:style>
  <w:style w:type="character" w:customStyle="1" w:styleId="145">
    <w:name w:val="未处理的提及2"/>
    <w:basedOn w:val="44"/>
    <w:autoRedefine/>
    <w:semiHidden/>
    <w:unhideWhenUsed/>
    <w:qFormat/>
    <w:uiPriority w:val="99"/>
    <w:rPr>
      <w:color w:val="605E5C"/>
      <w:shd w:val="clear" w:color="auto" w:fill="E1DFDD"/>
    </w:rPr>
  </w:style>
  <w:style w:type="paragraph" w:customStyle="1" w:styleId="146">
    <w:name w:val="修订1"/>
    <w:autoRedefine/>
    <w:hidden/>
    <w:unhideWhenUsed/>
    <w:qFormat/>
    <w:uiPriority w:val="99"/>
    <w:rPr>
      <w:rFonts w:ascii="Times New Roman" w:hAnsi="Times New Roman" w:eastAsia="宋体" w:cs="Times New Roman"/>
      <w:kern w:val="2"/>
      <w:sz w:val="21"/>
      <w:szCs w:val="24"/>
      <w:lang w:val="en-US" w:eastAsia="zh-CN" w:bidi="ar-SA"/>
    </w:rPr>
  </w:style>
  <w:style w:type="paragraph" w:customStyle="1" w:styleId="147">
    <w:name w:val="修订2"/>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148">
    <w:name w:val="修订3"/>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149">
    <w:name w:val="未处理的提及3"/>
    <w:basedOn w:val="44"/>
    <w:autoRedefine/>
    <w:semiHidden/>
    <w:unhideWhenUsed/>
    <w:qFormat/>
    <w:uiPriority w:val="99"/>
    <w:rPr>
      <w:color w:val="605E5C"/>
      <w:shd w:val="clear" w:color="auto" w:fill="E1DFDD"/>
    </w:rPr>
  </w:style>
  <w:style w:type="paragraph" w:customStyle="1" w:styleId="150">
    <w:name w:val="TOC 标题2"/>
    <w:basedOn w:val="2"/>
    <w:next w:val="1"/>
    <w:autoRedefine/>
    <w:unhideWhenUsed/>
    <w:qFormat/>
    <w:uiPriority w:val="39"/>
    <w:pPr>
      <w:keepLines/>
      <w:widowControl/>
      <w:spacing w:before="240" w:line="259" w:lineRule="auto"/>
      <w:jc w:val="left"/>
      <w:outlineLvl w:val="9"/>
    </w:pPr>
    <w:rPr>
      <w:rFonts w:asciiTheme="majorHAnsi" w:hAnsiTheme="majorHAnsi" w:eastAsiaTheme="majorEastAsia" w:cstheme="majorBidi"/>
      <w:bCs w:val="0"/>
      <w:color w:val="2F5597" w:themeColor="accent1" w:themeShade="BF"/>
      <w:kern w:val="0"/>
      <w:sz w:val="32"/>
      <w:szCs w:val="32"/>
    </w:rPr>
  </w:style>
  <w:style w:type="paragraph" w:customStyle="1" w:styleId="151">
    <w:name w:val="修订4"/>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152">
    <w:name w:val="pf0"/>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153">
    <w:name w:val="cf01"/>
    <w:basedOn w:val="44"/>
    <w:autoRedefine/>
    <w:qFormat/>
    <w:uiPriority w:val="0"/>
    <w:rPr>
      <w:rFonts w:hint="eastAsia" w:ascii="Microsoft YaHei UI" w:hAnsi="Microsoft YaHei UI" w:eastAsia="Microsoft YaHei UI"/>
      <w:sz w:val="24"/>
      <w:szCs w:val="24"/>
    </w:rPr>
  </w:style>
  <w:style w:type="character" w:customStyle="1" w:styleId="154">
    <w:name w:val="未处理的提及4"/>
    <w:basedOn w:val="44"/>
    <w:autoRedefine/>
    <w:semiHidden/>
    <w:unhideWhenUsed/>
    <w:qFormat/>
    <w:uiPriority w:val="99"/>
    <w:rPr>
      <w:color w:val="605E5C"/>
      <w:shd w:val="clear" w:color="auto" w:fill="E1DFDD"/>
    </w:rPr>
  </w:style>
  <w:style w:type="character" w:customStyle="1" w:styleId="155">
    <w:name w:val="Unresolved Mention"/>
    <w:basedOn w:val="44"/>
    <w:autoRedefine/>
    <w:semiHidden/>
    <w:unhideWhenUsed/>
    <w:qFormat/>
    <w:uiPriority w:val="99"/>
    <w:rPr>
      <w:color w:val="605E5C"/>
      <w:shd w:val="clear" w:color="auto" w:fill="E1DFDD"/>
    </w:rPr>
  </w:style>
  <w:style w:type="paragraph" w:customStyle="1" w:styleId="156">
    <w:name w:val="_Style 24"/>
    <w:basedOn w:val="1"/>
    <w:autoRedefine/>
    <w:qFormat/>
    <w:uiPriority w:val="34"/>
    <w:pPr>
      <w:ind w:firstLine="420" w:firstLineChars="200"/>
    </w:pPr>
    <w:rPr>
      <w:rFonts w:ascii="Calibri" w:hAnsi="Calibri"/>
      <w:szCs w:val="22"/>
    </w:rPr>
  </w:style>
  <w:style w:type="table" w:customStyle="1" w:styleId="157">
    <w:name w:val="Table Normal"/>
    <w:autoRedefine/>
    <w:semiHidden/>
    <w:unhideWhenUsed/>
    <w:qFormat/>
    <w:uiPriority w:val="0"/>
    <w:tblPr>
      <w:tblCellMar>
        <w:top w:w="0" w:type="dxa"/>
        <w:left w:w="0" w:type="dxa"/>
        <w:bottom w:w="0" w:type="dxa"/>
        <w:right w:w="0" w:type="dxa"/>
      </w:tblCellMar>
    </w:tblPr>
  </w:style>
  <w:style w:type="paragraph" w:styleId="158">
    <w:name w:val="No Spacing"/>
    <w:basedOn w:val="1"/>
    <w:next w:val="1"/>
    <w:autoRedefine/>
    <w:qFormat/>
    <w:uiPriority w:val="1"/>
    <w:pPr>
      <w:spacing w:line="300" w:lineRule="exact"/>
    </w:pPr>
  </w:style>
  <w:style w:type="paragraph" w:customStyle="1" w:styleId="159">
    <w:name w:val="无缩进15"/>
    <w:basedOn w:val="1"/>
    <w:next w:val="1"/>
    <w:autoRedefine/>
    <w:qFormat/>
    <w:uiPriority w:val="0"/>
    <w:pPr>
      <w:spacing w:line="300" w:lineRule="exact"/>
      <w:ind w:firstLine="0" w:firstLineChars="0"/>
    </w:pPr>
  </w:style>
  <w:style w:type="paragraph" w:customStyle="1" w:styleId="160">
    <w:name w:val="表头（表下）"/>
    <w:basedOn w:val="1"/>
    <w:next w:val="1"/>
    <w:autoRedefine/>
    <w:qFormat/>
    <w:uiPriority w:val="0"/>
    <w:pPr>
      <w:spacing w:line="300" w:lineRule="exact"/>
      <w:ind w:firstLine="0" w:firstLineChars="0"/>
      <w:jc w:val="center"/>
    </w:pPr>
    <w:rPr>
      <w:b/>
    </w:rPr>
  </w:style>
  <w:style w:type="paragraph" w:customStyle="1" w:styleId="161">
    <w:name w:val="副标题（正））"/>
    <w:basedOn w:val="1"/>
    <w:next w:val="1"/>
    <w:autoRedefine/>
    <w:qFormat/>
    <w:uiPriority w:val="0"/>
    <w:pPr>
      <w:spacing w:line="360" w:lineRule="auto"/>
      <w:ind w:firstLine="0" w:firstLineChars="0"/>
      <w:jc w:val="center"/>
    </w:pPr>
    <w:rPr>
      <w:b/>
      <w:sz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header" Target="header10.xml"/><Relationship Id="rId12" Type="http://schemas.openxmlformats.org/officeDocument/2006/relationships/header" Target="header9.xml"/><Relationship Id="rId11" Type="http://schemas.openxmlformats.org/officeDocument/2006/relationships/header" Target="header8.xml"/><Relationship Id="rId10" Type="http://schemas.openxmlformats.org/officeDocument/2006/relationships/header" Target="head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CB17AC-F5E6-4A27-B6CF-2954D962219C}">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101</Pages>
  <Words>7122</Words>
  <Characters>40602</Characters>
  <Lines>338</Lines>
  <Paragraphs>95</Paragraphs>
  <TotalTime>2</TotalTime>
  <ScaleCrop>false</ScaleCrop>
  <LinksUpToDate>false</LinksUpToDate>
  <CharactersWithSpaces>47629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2022-08-25T03:15:00Z</dcterms:created>
  <dc:creator>admin</dc:creator>
  <cp:lastModifiedBy>孔阳</cp:lastModifiedBy>
  <cp:lastPrinted>2024-02-22T02:39:00Z</cp:lastPrinted>
  <dcterms:modified xsi:type="dcterms:W3CDTF">2024-04-02T09:31:05Z</dcterms:modified>
  <cp:revision>3355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8E16F46248B94341B8854743B89740C3_13</vt:lpwstr>
  </property>
</Properties>
</file>