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560" w:beforeLines="650" w:line="480" w:lineRule="auto"/>
        <w:jc w:val="center"/>
        <w:rPr>
          <w:rFonts w:ascii="方正小标宋简体" w:eastAsia="方正小标宋简体"/>
          <w:bCs/>
          <w:sz w:val="48"/>
          <w:szCs w:val="48"/>
        </w:rPr>
      </w:pPr>
      <w:r>
        <w:rPr>
          <w:rFonts w:hint="eastAsia" w:ascii="方正小标宋简体" w:eastAsia="方正小标宋简体"/>
          <w:sz w:val="48"/>
          <w:szCs w:val="48"/>
        </w:rPr>
        <w:t>军队物资类项目公开招标文件</w:t>
      </w:r>
    </w:p>
    <w:p>
      <w:pPr>
        <w:pStyle w:val="2"/>
        <w:rPr>
          <w:rFonts w:hint="eastAsia" w:ascii="方正小标宋简体" w:eastAsia="方正小标宋简体"/>
          <w:sz w:val="84"/>
          <w:szCs w:val="84"/>
        </w:rPr>
      </w:pPr>
      <w:bookmarkStart w:id="0" w:name="_Toc132190594"/>
      <w:bookmarkStart w:id="1" w:name="_Toc128397940"/>
      <w:bookmarkStart w:id="2" w:name="_Toc128150016"/>
      <w:bookmarkStart w:id="3" w:name="_Toc130887460"/>
    </w:p>
    <w:bookmarkEnd w:id="0"/>
    <w:bookmarkEnd w:id="1"/>
    <w:bookmarkEnd w:id="2"/>
    <w:bookmarkEnd w:id="3"/>
    <w:p>
      <w:pPr>
        <w:pStyle w:val="2"/>
        <w:jc w:val="center"/>
        <w:rPr>
          <w:rFonts w:hint="eastAsia" w:ascii="方正小标宋简体" w:eastAsia="方正小标宋简体"/>
          <w:sz w:val="84"/>
          <w:szCs w:val="84"/>
          <w:lang w:eastAsia="zh-CN"/>
        </w:rPr>
      </w:pPr>
      <w:bookmarkStart w:id="4" w:name="_Toc14392"/>
      <w:bookmarkStart w:id="5" w:name="_Toc22853"/>
      <w:bookmarkStart w:id="6" w:name="_Toc17984"/>
      <w:bookmarkStart w:id="7" w:name="_Toc18699"/>
      <w:r>
        <w:rPr>
          <w:rFonts w:hint="eastAsia" w:ascii="方正小标宋简体" w:eastAsia="方正小标宋简体"/>
          <w:sz w:val="84"/>
          <w:szCs w:val="84"/>
          <w:lang w:eastAsia="zh-CN"/>
        </w:rPr>
        <w:t>通用</w:t>
      </w:r>
      <w:r>
        <w:rPr>
          <w:rFonts w:hint="eastAsia" w:ascii="方正小标宋简体" w:hAnsi="Times New Roman" w:eastAsia="方正小标宋简体" w:cs="Times New Roman"/>
          <w:sz w:val="84"/>
          <w:szCs w:val="84"/>
          <w:lang w:eastAsia="zh-CN"/>
        </w:rPr>
        <w:t>部分</w:t>
      </w:r>
      <w:bookmarkEnd w:id="4"/>
      <w:bookmarkEnd w:id="5"/>
      <w:bookmarkEnd w:id="6"/>
      <w:bookmarkEnd w:id="7"/>
    </w:p>
    <w:p>
      <w:pPr>
        <w:pStyle w:val="16"/>
        <w:jc w:val="center"/>
        <w:rPr>
          <w:rFonts w:ascii="方正小标宋简体" w:eastAsia="方正小标宋简体"/>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r>
        <w:rPr>
          <w:b w:val="0"/>
          <w:bCs/>
          <w:color w:val="auto"/>
          <w:sz w:val="36"/>
          <w:szCs w:val="36"/>
        </w:rPr>
        <w:t>项目名称：</w:t>
      </w:r>
      <w:r>
        <w:rPr>
          <w:rFonts w:hint="eastAsia"/>
          <w:b w:val="0"/>
          <w:bCs/>
          <w:color w:val="auto"/>
          <w:sz w:val="36"/>
          <w:szCs w:val="36"/>
          <w:u w:val="single"/>
        </w:rPr>
        <w:t>电动骨组织手术设备</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r>
        <w:rPr>
          <w:b w:val="0"/>
          <w:bCs/>
          <w:color w:val="auto"/>
          <w:sz w:val="36"/>
          <w:szCs w:val="36"/>
        </w:rPr>
        <w:t>项目编号：</w:t>
      </w:r>
      <w:r>
        <w:rPr>
          <w:rFonts w:hint="eastAsia"/>
          <w:b w:val="0"/>
          <w:bCs/>
          <w:color w:val="auto"/>
          <w:sz w:val="36"/>
          <w:szCs w:val="36"/>
          <w:u w:val="single"/>
        </w:rPr>
        <w:t>2024-JL13(04)-W10028</w:t>
      </w:r>
    </w:p>
    <w:p>
      <w:pPr>
        <w:jc w:val="center"/>
        <w:rPr>
          <w:rFonts w:eastAsia="华文中宋"/>
          <w:b w:val="0"/>
          <w:bCs/>
          <w:color w:val="auto"/>
          <w:sz w:val="36"/>
          <w:szCs w:val="36"/>
        </w:rPr>
      </w:pPr>
    </w:p>
    <w:p>
      <w:pPr>
        <w:jc w:val="center"/>
        <w:rPr>
          <w:rFonts w:eastAsia="华文中宋"/>
          <w:b w:val="0"/>
          <w:bCs/>
          <w:color w:val="auto"/>
          <w:sz w:val="36"/>
          <w:szCs w:val="36"/>
        </w:rPr>
      </w:pPr>
    </w:p>
    <w:p>
      <w:pPr>
        <w:jc w:val="center"/>
        <w:rPr>
          <w:rFonts w:hint="eastAsia"/>
          <w:b w:val="0"/>
          <w:bCs/>
          <w:color w:val="auto"/>
          <w:sz w:val="36"/>
          <w:szCs w:val="36"/>
          <w:u w:val="single"/>
          <w:lang w:val="en-US" w:eastAsia="zh-CN"/>
        </w:rPr>
      </w:pPr>
    </w:p>
    <w:p>
      <w:pPr>
        <w:jc w:val="center"/>
        <w:rPr>
          <w:rFonts w:hint="eastAsia"/>
          <w:b w:val="0"/>
          <w:bCs/>
          <w:color w:val="auto"/>
          <w:sz w:val="36"/>
          <w:szCs w:val="36"/>
          <w:u w:val="single"/>
          <w:lang w:val="en-US" w:eastAsia="zh-CN"/>
        </w:rPr>
      </w:pPr>
    </w:p>
    <w:p>
      <w:pPr>
        <w:jc w:val="center"/>
        <w:rPr>
          <w:rFonts w:hint="default" w:eastAsia="宋体"/>
          <w:b w:val="0"/>
          <w:bCs/>
          <w:color w:val="auto"/>
          <w:sz w:val="36"/>
          <w:szCs w:val="36"/>
          <w:lang w:val="en-US" w:eastAsia="zh-CN"/>
        </w:rPr>
      </w:pPr>
      <w:r>
        <w:rPr>
          <w:rFonts w:hint="eastAsia"/>
          <w:b w:val="0"/>
          <w:bCs/>
          <w:color w:val="auto"/>
          <w:sz w:val="36"/>
          <w:szCs w:val="36"/>
          <w:u w:val="single"/>
          <w:lang w:val="en-US" w:eastAsia="zh-CN"/>
        </w:rPr>
        <w:t>物资采购中心</w:t>
      </w:r>
    </w:p>
    <w:p>
      <w:pPr>
        <w:jc w:val="center"/>
        <w:rPr>
          <w:b w:val="0"/>
          <w:bCs/>
          <w:color w:val="auto"/>
          <w:spacing w:val="-26"/>
          <w:sz w:val="36"/>
          <w:szCs w:val="36"/>
        </w:rPr>
      </w:pPr>
    </w:p>
    <w:p>
      <w:pPr>
        <w:jc w:val="center"/>
        <w:rPr>
          <w:rFonts w:hint="eastAsia"/>
          <w:b w:val="0"/>
          <w:bCs/>
          <w:color w:val="auto"/>
          <w:sz w:val="36"/>
          <w:szCs w:val="36"/>
        </w:rPr>
      </w:pPr>
      <w:r>
        <w:rPr>
          <w:rFonts w:hint="eastAsia"/>
          <w:b w:val="0"/>
          <w:bCs/>
          <w:color w:val="auto"/>
          <w:sz w:val="36"/>
          <w:szCs w:val="36"/>
          <w:u w:val="single"/>
          <w:lang w:val="en-US" w:eastAsia="zh-CN"/>
        </w:rPr>
        <w:t>2024</w:t>
      </w:r>
      <w:r>
        <w:rPr>
          <w:b w:val="0"/>
          <w:bCs/>
          <w:color w:val="auto"/>
          <w:sz w:val="36"/>
          <w:szCs w:val="36"/>
        </w:rPr>
        <w:t>年</w:t>
      </w:r>
    </w:p>
    <w:p>
      <w:pPr>
        <w:rPr>
          <w:rFonts w:hint="eastAsia"/>
          <w:b w:val="0"/>
          <w:bCs/>
          <w:sz w:val="36"/>
          <w:szCs w:val="36"/>
        </w:rPr>
      </w:pPr>
    </w:p>
    <w:p>
      <w:pPr>
        <w:keepNext w:val="0"/>
        <w:keepLines w:val="0"/>
        <w:pageBreakBefore w:val="0"/>
        <w:widowControl w:val="0"/>
        <w:kinsoku/>
        <w:wordWrap/>
        <w:overflowPunct/>
        <w:topLinePunct w:val="0"/>
        <w:autoSpaceDE/>
        <w:autoSpaceDN/>
        <w:bidi w:val="0"/>
        <w:adjustRightInd/>
        <w:snapToGrid/>
        <w:spacing w:before="0" w:after="0" w:afterLines="100" w:line="560" w:lineRule="exact"/>
        <w:jc w:val="center"/>
        <w:textAlignment w:val="auto"/>
        <w:rPr>
          <w:rFonts w:ascii="仿宋_GB2312" w:eastAsia="仿宋_GB2312"/>
          <w:b w:val="0"/>
          <w:bCs/>
          <w:color w:val="auto"/>
          <w:sz w:val="36"/>
          <w:szCs w:val="36"/>
        </w:rPr>
      </w:pPr>
      <w:r>
        <w:rPr>
          <w:rFonts w:hint="eastAsia"/>
          <w:b w:val="0"/>
          <w:bCs/>
          <w:sz w:val="36"/>
          <w:szCs w:val="36"/>
        </w:rPr>
        <w:t>特别提示：投标注意事项</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一、投标供应商应当诚实守信,不得虚假投标。请认真阅读通用部分第三章投标文件内容及格式中“供应商承诺声明”，并签字确认。评审委员会和采购机构视情核实投标资料真伪，一经核实虚假投标行为，将按照无效投标处理，并依法依规予以处罚，将违规情形报告采购管理部门。</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rPr>
        <w:t>二、投标供应商应当特别留意招标文件上载明的投标起始截止时间，提前或逾期送达的投标文件将被拒收，投标时授权代表须随身携带身份证、法定代表人授权证明</w:t>
      </w:r>
      <w:r>
        <w:rPr>
          <w:rFonts w:hint="eastAsia" w:ascii="仿宋_GB2312" w:eastAsia="仿宋_GB2312"/>
          <w:b w:val="0"/>
          <w:bCs/>
          <w:color w:val="auto"/>
          <w:szCs w:val="28"/>
          <w:lang w:val="en-US" w:eastAsia="zh-CN"/>
        </w:rPr>
        <w:t>和授权代表</w:t>
      </w:r>
      <w:r>
        <w:rPr>
          <w:rFonts w:hint="eastAsia" w:ascii="仿宋_GB2312" w:eastAsia="仿宋_GB2312"/>
          <w:b/>
          <w:bCs w:val="0"/>
          <w:color w:val="auto"/>
          <w:szCs w:val="28"/>
          <w:lang w:val="en-US" w:eastAsia="zh-CN"/>
        </w:rPr>
        <w:t>在投标前4个月内（不含投标当月）连续3个月由投标供应商缴纳社保证明材料。代缴社保证明材料不予认可。</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三、投标供应商以汇款或银行保函形式缴纳投标保证金，保证金应当由其银行账户汇出并在投标截止时间前到达采购机构指定账户。未按规定提交投标保证金或保函的，投标无效。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四、请仔细检查招标文件要求提交相关证书的有效期。</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六、带“★”号条款均为实质性响应指标要求，必须全部响应。若有一项带“★”条款未响应或不满足，均视为非实质性响应招标文件，按无效投标处理。</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七、《价格文件》一式三份，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4"/>
        <w:spacing w:line="560" w:lineRule="exact"/>
        <w:ind w:firstLine="560" w:firstLineChars="200"/>
        <w:jc w:val="both"/>
        <w:textAlignment w:val="auto"/>
        <w:rPr>
          <w:rFonts w:hint="eastAsia" w:ascii="仿宋_GB2312" w:eastAsia="仿宋_GB2312"/>
          <w:b w:val="0"/>
          <w:bCs/>
          <w:color w:val="auto"/>
          <w:szCs w:val="28"/>
        </w:rPr>
      </w:pPr>
      <w:r>
        <w:rPr>
          <w:rFonts w:hint="eastAsia" w:ascii="仿宋_GB2312" w:eastAsia="仿宋_GB2312"/>
          <w:b w:val="0"/>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lang w:val="en-US" w:eastAsia="zh-CN"/>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lang w:val="en-US" w:eastAsia="zh-CN"/>
        </w:rPr>
        <w:t>十</w:t>
      </w:r>
      <w:r>
        <w:rPr>
          <w:rFonts w:hint="eastAsia" w:ascii="仿宋_GB2312" w:eastAsia="仿宋_GB2312"/>
          <w:b w:val="0"/>
          <w:bCs/>
          <w:color w:val="auto"/>
          <w:szCs w:val="28"/>
        </w:rPr>
        <w:t>、投标供应商如有两个以上名称且在投标文件中同时出现的，应当提供其为同一单位的书面证明材料。</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一</w:t>
      </w:r>
      <w:r>
        <w:rPr>
          <w:rFonts w:hint="eastAsia" w:ascii="仿宋_GB2312" w:eastAsia="仿宋_GB2312"/>
          <w:b w:val="0"/>
          <w:bCs/>
          <w:color w:val="auto"/>
          <w:szCs w:val="28"/>
        </w:rPr>
        <w:t>、文件中“近*年/月”、“最近*年/月”、“前*年/月”均是指以投标截止时间为基准点向前推算。投标截止时间在6月1日（不含）前，近三年财务报表指上年度之前的三年</w:t>
      </w:r>
      <w:r>
        <w:rPr>
          <w:rFonts w:ascii="仿宋_GB2312" w:eastAsia="仿宋_GB2312"/>
          <w:b w:val="0"/>
          <w:bCs/>
          <w:color w:val="auto"/>
          <w:szCs w:val="28"/>
        </w:rPr>
        <w:t xml:space="preserve"> </w:t>
      </w:r>
      <w:r>
        <w:rPr>
          <w:rFonts w:hint="eastAsia" w:ascii="仿宋_GB2312" w:eastAsia="仿宋_GB2312"/>
          <w:b w:val="0"/>
          <w:bCs/>
          <w:color w:val="auto"/>
          <w:szCs w:val="28"/>
        </w:rPr>
        <w:t>(不含上年度)，投标截止时间在6月1日（含）后，近三年财务报表指本年度之前的三年（含上年度），特别说明除外。</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二</w:t>
      </w:r>
      <w:r>
        <w:rPr>
          <w:rFonts w:hint="eastAsia" w:ascii="仿宋_GB2312" w:eastAsia="仿宋_GB2312"/>
          <w:b w:val="0"/>
          <w:bCs/>
          <w:color w:val="auto"/>
          <w:szCs w:val="28"/>
        </w:rPr>
        <w:t>、本次招标、投标、评标均以包为单位，投标供应商应当对所投包内所有产品和数量进行投标报价，否则视为无效投标。</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三</w:t>
      </w:r>
      <w:r>
        <w:rPr>
          <w:rFonts w:hint="eastAsia" w:ascii="仿宋_GB2312" w:eastAsia="仿宋_GB2312"/>
          <w:b w:val="0"/>
          <w:bCs/>
          <w:color w:val="auto"/>
          <w:szCs w:val="28"/>
        </w:rPr>
        <w:t>、投标文件中相关复印资料应当清晰、可辨认，投标中请自带原件备查，如资料模糊且不能现场提供原件，视为该项资料无效。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四</w:t>
      </w:r>
      <w:r>
        <w:rPr>
          <w:rFonts w:hint="eastAsia" w:ascii="仿宋_GB2312" w:eastAsia="仿宋_GB2312"/>
          <w:b w:val="0"/>
          <w:bCs/>
          <w:color w:val="auto"/>
          <w:szCs w:val="28"/>
        </w:rPr>
        <w:t>、供应商发现购买招标文件时提交的相关资料被盗用或复制，应当遵循法律途径解决，追究侵权者责任。</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五</w:t>
      </w:r>
      <w:r>
        <w:rPr>
          <w:rFonts w:hint="eastAsia" w:ascii="仿宋_GB2312" w:eastAsia="仿宋_GB2312"/>
          <w:b w:val="0"/>
          <w:bCs/>
          <w:color w:val="auto"/>
          <w:szCs w:val="28"/>
        </w:rPr>
        <w:t>、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szCs w:val="28"/>
        </w:rPr>
        <w:t>十</w:t>
      </w:r>
      <w:r>
        <w:rPr>
          <w:rFonts w:hint="eastAsia" w:ascii="仿宋_GB2312" w:eastAsia="仿宋_GB2312"/>
          <w:b w:val="0"/>
          <w:bCs/>
          <w:szCs w:val="28"/>
          <w:lang w:val="en-US" w:eastAsia="zh-CN"/>
        </w:rPr>
        <w:t>六</w:t>
      </w:r>
      <w:r>
        <w:rPr>
          <w:rFonts w:hint="eastAsia" w:ascii="仿宋_GB2312" w:eastAsia="仿宋_GB2312"/>
          <w:b w:val="0"/>
          <w:bCs/>
          <w:szCs w:val="28"/>
        </w:rPr>
        <w:t>、招标文件通用部分为本招标文件的一般性说明，与专用部分均为招标文件的组成部分。通用部分已明确但专用部分再次明确的，以专用部分为准。</w:t>
      </w:r>
    </w:p>
    <w:p>
      <w:pPr>
        <w:pStyle w:val="16"/>
      </w:pPr>
    </w:p>
    <w:p>
      <w:pPr>
        <w:pStyle w:val="17"/>
      </w:pPr>
    </w:p>
    <w:p/>
    <w:p>
      <w:pPr>
        <w:pStyle w:val="16"/>
      </w:pPr>
    </w:p>
    <w:p>
      <w:pPr>
        <w:pStyle w:val="17"/>
      </w:pPr>
    </w:p>
    <w:p/>
    <w:p>
      <w:pPr>
        <w:pStyle w:val="16"/>
      </w:pPr>
    </w:p>
    <w:p>
      <w:pPr>
        <w:pStyle w:val="17"/>
      </w:pPr>
    </w:p>
    <w:p/>
    <w:p>
      <w:pPr>
        <w:pStyle w:val="16"/>
      </w:pPr>
    </w:p>
    <w:p>
      <w:pPr>
        <w:pStyle w:val="17"/>
      </w:pPr>
    </w:p>
    <w:p/>
    <w:p>
      <w:r>
        <w:br w:type="page"/>
      </w:r>
    </w:p>
    <w:p>
      <w:pPr>
        <w:widowControl/>
        <w:jc w:val="left"/>
        <w:rPr>
          <w:rFonts w:ascii="黑体" w:hAnsi="黑体" w:eastAsia="黑体" w:cs="黑体"/>
          <w:bCs/>
          <w:sz w:val="44"/>
          <w:szCs w:val="44"/>
        </w:rPr>
      </w:pPr>
    </w:p>
    <w:p/>
    <w:p>
      <w:pPr>
        <w:pStyle w:val="22"/>
        <w:tabs>
          <w:tab w:val="right" w:leader="dot" w:pos="9344"/>
        </w:tabs>
        <w:adjustRightInd w:val="0"/>
        <w:snapToGrid w:val="0"/>
        <w:spacing w:line="560" w:lineRule="exact"/>
        <w:ind w:left="42" w:leftChars="20"/>
        <w:jc w:val="center"/>
        <w:outlineLvl w:val="9"/>
        <w:rPr>
          <w:rFonts w:hint="eastAsia" w:ascii="黑体" w:hAnsi="黑体" w:eastAsia="黑体" w:cs="黑体"/>
          <w:bCs/>
          <w:sz w:val="44"/>
          <w:szCs w:val="44"/>
        </w:rPr>
      </w:pPr>
      <w:r>
        <w:rPr>
          <w:rFonts w:hint="eastAsia" w:ascii="黑体" w:hAnsi="黑体" w:eastAsia="黑体" w:cs="黑体"/>
          <w:bCs/>
          <w:sz w:val="44"/>
          <w:szCs w:val="44"/>
        </w:rPr>
        <w:t>目   录</w:t>
      </w:r>
    </w:p>
    <w:p>
      <w:pPr>
        <w:pStyle w:val="30"/>
        <w:tabs>
          <w:tab w:val="right" w:leader="dot" w:pos="9354"/>
        </w:tabs>
      </w:pPr>
      <w:r>
        <w:fldChar w:fldCharType="begin"/>
      </w:r>
      <w:r>
        <w:instrText xml:space="preserve">TOC \o "1-3" \h \u </w:instrText>
      </w:r>
      <w:r>
        <w:fldChar w:fldCharType="separate"/>
      </w:r>
      <w:r>
        <w:fldChar w:fldCharType="begin"/>
      </w:r>
      <w:r>
        <w:instrText xml:space="preserve"> HYPERLINK \l _Toc22853 </w:instrText>
      </w:r>
      <w:r>
        <w:fldChar w:fldCharType="separate"/>
      </w:r>
      <w:r>
        <w:rPr>
          <w:rFonts w:hint="eastAsia" w:ascii="方正小标宋简体" w:eastAsia="方正小标宋简体"/>
          <w:szCs w:val="84"/>
          <w:lang w:eastAsia="zh-CN"/>
        </w:rPr>
        <w:t>通用</w:t>
      </w:r>
      <w:r>
        <w:rPr>
          <w:rFonts w:hint="eastAsia" w:ascii="方正小标宋简体" w:hAnsi="Times New Roman" w:eastAsia="方正小标宋简体" w:cs="Times New Roman"/>
          <w:szCs w:val="84"/>
          <w:lang w:eastAsia="zh-CN"/>
        </w:rPr>
        <w:t>部分</w:t>
      </w:r>
      <w:r>
        <w:tab/>
      </w:r>
      <w:r>
        <w:fldChar w:fldCharType="begin"/>
      </w:r>
      <w:r>
        <w:instrText xml:space="preserve"> PAGEREF _Toc22853 \h </w:instrText>
      </w:r>
      <w:r>
        <w:fldChar w:fldCharType="separate"/>
      </w:r>
      <w:r>
        <w:t>- 1 -</w:t>
      </w:r>
      <w:r>
        <w:fldChar w:fldCharType="end"/>
      </w:r>
      <w:r>
        <w:fldChar w:fldCharType="end"/>
      </w:r>
    </w:p>
    <w:p>
      <w:pPr>
        <w:pStyle w:val="35"/>
        <w:tabs>
          <w:tab w:val="right" w:leader="dot" w:pos="9354"/>
        </w:tabs>
      </w:pPr>
      <w:r>
        <w:fldChar w:fldCharType="begin"/>
      </w:r>
      <w:r>
        <w:instrText xml:space="preserve"> HYPERLINK \l _Toc25412 </w:instrText>
      </w:r>
      <w:r>
        <w:fldChar w:fldCharType="separate"/>
      </w:r>
      <w:r>
        <w:rPr>
          <w:rFonts w:hint="eastAsia"/>
          <w:szCs w:val="44"/>
          <w:lang w:val="zh-CN"/>
        </w:rPr>
        <w:t>第一章</w:t>
      </w:r>
      <w:r>
        <w:rPr>
          <w:szCs w:val="44"/>
          <w:lang w:val="zh-CN"/>
        </w:rPr>
        <w:t xml:space="preserve"> </w:t>
      </w:r>
      <w:r>
        <w:rPr>
          <w:rFonts w:hint="eastAsia"/>
          <w:szCs w:val="44"/>
          <w:lang w:val="zh-CN"/>
        </w:rPr>
        <w:t>投标供应商</w:t>
      </w:r>
      <w:r>
        <w:rPr>
          <w:rFonts w:hint="eastAsia"/>
          <w:szCs w:val="44"/>
        </w:rPr>
        <w:t>须知</w:t>
      </w:r>
      <w:r>
        <w:tab/>
      </w:r>
      <w:r>
        <w:fldChar w:fldCharType="begin"/>
      </w:r>
      <w:r>
        <w:instrText xml:space="preserve"> PAGEREF _Toc25412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_Toc10520 </w:instrText>
      </w:r>
      <w:r>
        <w:fldChar w:fldCharType="separate"/>
      </w:r>
      <w:r>
        <w:rPr>
          <w:rFonts w:hint="eastAsia"/>
        </w:rPr>
        <w:t>一、</w:t>
      </w:r>
      <w:r>
        <w:t xml:space="preserve">说  </w:t>
      </w:r>
      <w:r>
        <w:rPr>
          <w:rFonts w:hint="eastAsia"/>
        </w:rPr>
        <w:t>明</w:t>
      </w:r>
      <w:r>
        <w:tab/>
      </w:r>
      <w:r>
        <w:fldChar w:fldCharType="begin"/>
      </w:r>
      <w:r>
        <w:instrText xml:space="preserve"> PAGEREF _Toc10520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_Toc21017 </w:instrText>
      </w:r>
      <w:r>
        <w:fldChar w:fldCharType="separate"/>
      </w:r>
      <w:r>
        <w:rPr>
          <w:rFonts w:hint="eastAsia"/>
        </w:rPr>
        <w:t>二、招标文件的内容及澄清与修改</w:t>
      </w:r>
      <w:r>
        <w:tab/>
      </w:r>
      <w:r>
        <w:fldChar w:fldCharType="begin"/>
      </w:r>
      <w:r>
        <w:instrText xml:space="preserve"> PAGEREF _Toc21017 \h </w:instrText>
      </w:r>
      <w:r>
        <w:fldChar w:fldCharType="separate"/>
      </w:r>
      <w:r>
        <w:t>- 3 -</w:t>
      </w:r>
      <w:r>
        <w:fldChar w:fldCharType="end"/>
      </w:r>
      <w:r>
        <w:fldChar w:fldCharType="end"/>
      </w:r>
    </w:p>
    <w:p>
      <w:pPr>
        <w:pStyle w:val="21"/>
        <w:tabs>
          <w:tab w:val="right" w:leader="dot" w:pos="9354"/>
        </w:tabs>
      </w:pPr>
      <w:r>
        <w:fldChar w:fldCharType="begin"/>
      </w:r>
      <w:r>
        <w:instrText xml:space="preserve"> HYPERLINK \l _Toc13771 </w:instrText>
      </w:r>
      <w:r>
        <w:fldChar w:fldCharType="separate"/>
      </w:r>
      <w:r>
        <w:rPr>
          <w:rFonts w:hint="eastAsia"/>
          <w:highlight w:val="none"/>
        </w:rPr>
        <w:t>三、投标文件的基本要求</w:t>
      </w:r>
      <w:r>
        <w:tab/>
      </w:r>
      <w:r>
        <w:fldChar w:fldCharType="begin"/>
      </w:r>
      <w:r>
        <w:instrText xml:space="preserve"> PAGEREF _Toc13771 \h </w:instrText>
      </w:r>
      <w:r>
        <w:fldChar w:fldCharType="separate"/>
      </w:r>
      <w:r>
        <w:t>- 4 -</w:t>
      </w:r>
      <w:r>
        <w:fldChar w:fldCharType="end"/>
      </w:r>
      <w:r>
        <w:fldChar w:fldCharType="end"/>
      </w:r>
    </w:p>
    <w:p>
      <w:pPr>
        <w:pStyle w:val="21"/>
        <w:tabs>
          <w:tab w:val="right" w:leader="dot" w:pos="9354"/>
        </w:tabs>
      </w:pPr>
      <w:r>
        <w:fldChar w:fldCharType="begin"/>
      </w:r>
      <w:r>
        <w:instrText xml:space="preserve"> HYPERLINK \l _Toc17410 </w:instrText>
      </w:r>
      <w:r>
        <w:fldChar w:fldCharType="separate"/>
      </w:r>
      <w:r>
        <w:rPr>
          <w:rFonts w:hint="eastAsia"/>
          <w:highlight w:val="none"/>
        </w:rPr>
        <w:t>四、投标文件提交</w:t>
      </w:r>
      <w:r>
        <w:tab/>
      </w:r>
      <w:r>
        <w:fldChar w:fldCharType="begin"/>
      </w:r>
      <w:r>
        <w:instrText xml:space="preserve"> PAGEREF _Toc17410 \h </w:instrText>
      </w:r>
      <w:r>
        <w:fldChar w:fldCharType="separate"/>
      </w:r>
      <w:r>
        <w:t>- 7 -</w:t>
      </w:r>
      <w:r>
        <w:fldChar w:fldCharType="end"/>
      </w:r>
      <w:r>
        <w:fldChar w:fldCharType="end"/>
      </w:r>
    </w:p>
    <w:p>
      <w:pPr>
        <w:pStyle w:val="21"/>
        <w:tabs>
          <w:tab w:val="right" w:leader="dot" w:pos="9354"/>
        </w:tabs>
      </w:pPr>
      <w:r>
        <w:fldChar w:fldCharType="begin"/>
      </w:r>
      <w:r>
        <w:instrText xml:space="preserve"> HYPERLINK \l _Toc11560 </w:instrText>
      </w:r>
      <w:r>
        <w:fldChar w:fldCharType="separate"/>
      </w:r>
      <w:r>
        <w:rPr>
          <w:rFonts w:hint="eastAsia"/>
          <w:highlight w:val="none"/>
        </w:rPr>
        <w:t>五、开标与评标</w:t>
      </w:r>
      <w:r>
        <w:tab/>
      </w:r>
      <w:r>
        <w:fldChar w:fldCharType="begin"/>
      </w:r>
      <w:r>
        <w:instrText xml:space="preserve"> PAGEREF _Toc11560 \h </w:instrText>
      </w:r>
      <w:r>
        <w:fldChar w:fldCharType="separate"/>
      </w:r>
      <w:r>
        <w:t>- 8 -</w:t>
      </w:r>
      <w:r>
        <w:fldChar w:fldCharType="end"/>
      </w:r>
      <w:r>
        <w:fldChar w:fldCharType="end"/>
      </w:r>
    </w:p>
    <w:p>
      <w:pPr>
        <w:pStyle w:val="21"/>
        <w:tabs>
          <w:tab w:val="right" w:leader="dot" w:pos="9354"/>
        </w:tabs>
      </w:pPr>
      <w:r>
        <w:fldChar w:fldCharType="begin"/>
      </w:r>
      <w:r>
        <w:instrText xml:space="preserve"> HYPERLINK \l _Toc14148 </w:instrText>
      </w:r>
      <w:r>
        <w:fldChar w:fldCharType="separate"/>
      </w:r>
      <w:r>
        <w:rPr>
          <w:rFonts w:hint="eastAsia"/>
        </w:rPr>
        <w:t>六、定标</w:t>
      </w:r>
      <w:r>
        <w:tab/>
      </w:r>
      <w:r>
        <w:fldChar w:fldCharType="begin"/>
      </w:r>
      <w:r>
        <w:instrText xml:space="preserve"> PAGEREF _Toc14148 \h </w:instrText>
      </w:r>
      <w:r>
        <w:fldChar w:fldCharType="separate"/>
      </w:r>
      <w:r>
        <w:t>- 22 -</w:t>
      </w:r>
      <w:r>
        <w:fldChar w:fldCharType="end"/>
      </w:r>
      <w:r>
        <w:fldChar w:fldCharType="end"/>
      </w:r>
    </w:p>
    <w:p>
      <w:pPr>
        <w:pStyle w:val="21"/>
        <w:tabs>
          <w:tab w:val="right" w:leader="dot" w:pos="9354"/>
        </w:tabs>
      </w:pPr>
      <w:r>
        <w:fldChar w:fldCharType="begin"/>
      </w:r>
      <w:r>
        <w:instrText xml:space="preserve"> HYPERLINK \l _Toc1401 </w:instrText>
      </w:r>
      <w:r>
        <w:fldChar w:fldCharType="separate"/>
      </w:r>
      <w:r>
        <w:rPr>
          <w:rFonts w:hint="eastAsia"/>
          <w:highlight w:val="none"/>
        </w:rPr>
        <w:t>七、</w:t>
      </w:r>
      <w:r>
        <w:rPr>
          <w:highlight w:val="none"/>
        </w:rPr>
        <w:t>质疑</w:t>
      </w:r>
      <w:r>
        <w:rPr>
          <w:rFonts w:hint="eastAsia"/>
          <w:highlight w:val="none"/>
        </w:rPr>
        <w:t>、投诉和投诉复议</w:t>
      </w:r>
      <w:r>
        <w:tab/>
      </w:r>
      <w:r>
        <w:fldChar w:fldCharType="begin"/>
      </w:r>
      <w:r>
        <w:instrText xml:space="preserve"> PAGEREF _Toc1401 \h </w:instrText>
      </w:r>
      <w:r>
        <w:fldChar w:fldCharType="separate"/>
      </w:r>
      <w:r>
        <w:t>- 23 -</w:t>
      </w:r>
      <w:r>
        <w:fldChar w:fldCharType="end"/>
      </w:r>
      <w:r>
        <w:fldChar w:fldCharType="end"/>
      </w:r>
    </w:p>
    <w:p>
      <w:pPr>
        <w:pStyle w:val="21"/>
        <w:tabs>
          <w:tab w:val="right" w:leader="dot" w:pos="9354"/>
        </w:tabs>
      </w:pPr>
      <w:r>
        <w:fldChar w:fldCharType="begin"/>
      </w:r>
      <w:r>
        <w:instrText xml:space="preserve"> HYPERLINK \l _Toc23987 </w:instrText>
      </w:r>
      <w:r>
        <w:fldChar w:fldCharType="separate"/>
      </w:r>
      <w:r>
        <w:rPr>
          <w:rFonts w:hint="eastAsia"/>
        </w:rPr>
        <w:t>八、签订合同</w:t>
      </w:r>
      <w:r>
        <w:tab/>
      </w:r>
      <w:r>
        <w:fldChar w:fldCharType="begin"/>
      </w:r>
      <w:r>
        <w:instrText xml:space="preserve"> PAGEREF _Toc23987 \h </w:instrText>
      </w:r>
      <w:r>
        <w:fldChar w:fldCharType="separate"/>
      </w:r>
      <w:r>
        <w:t>- 26 -</w:t>
      </w:r>
      <w:r>
        <w:fldChar w:fldCharType="end"/>
      </w:r>
      <w:r>
        <w:fldChar w:fldCharType="end"/>
      </w:r>
    </w:p>
    <w:p>
      <w:pPr>
        <w:pStyle w:val="21"/>
        <w:tabs>
          <w:tab w:val="right" w:leader="dot" w:pos="9354"/>
        </w:tabs>
      </w:pPr>
      <w:r>
        <w:fldChar w:fldCharType="begin"/>
      </w:r>
      <w:r>
        <w:instrText xml:space="preserve"> HYPERLINK \l _Toc13094 </w:instrText>
      </w:r>
      <w:r>
        <w:fldChar w:fldCharType="separate"/>
      </w:r>
      <w:r>
        <w:rPr>
          <w:rFonts w:hint="eastAsia"/>
        </w:rPr>
        <w:t>九、解释权限</w:t>
      </w:r>
      <w:r>
        <w:tab/>
      </w:r>
      <w:r>
        <w:fldChar w:fldCharType="begin"/>
      </w:r>
      <w:r>
        <w:instrText xml:space="preserve"> PAGEREF _Toc13094 \h </w:instrText>
      </w:r>
      <w:r>
        <w:fldChar w:fldCharType="separate"/>
      </w:r>
      <w:r>
        <w:t>- 26 -</w:t>
      </w:r>
      <w:r>
        <w:fldChar w:fldCharType="end"/>
      </w:r>
      <w:r>
        <w:fldChar w:fldCharType="end"/>
      </w:r>
    </w:p>
    <w:p>
      <w:pPr>
        <w:pStyle w:val="35"/>
        <w:tabs>
          <w:tab w:val="right" w:leader="dot" w:pos="9354"/>
        </w:tabs>
      </w:pPr>
      <w:r>
        <w:fldChar w:fldCharType="begin"/>
      </w:r>
      <w:r>
        <w:instrText xml:space="preserve"> HYPERLINK \l _Toc25686 </w:instrText>
      </w:r>
      <w:r>
        <w:fldChar w:fldCharType="separate"/>
      </w:r>
      <w:r>
        <w:rPr>
          <w:rFonts w:hint="eastAsia"/>
          <w:szCs w:val="44"/>
          <w:lang w:val="zh-CN"/>
        </w:rPr>
        <w:t>第二章</w:t>
      </w:r>
      <w:r>
        <w:rPr>
          <w:szCs w:val="44"/>
          <w:lang w:val="zh-CN"/>
        </w:rPr>
        <w:t xml:space="preserve"> </w:t>
      </w:r>
      <w:r>
        <w:rPr>
          <w:rFonts w:hint="eastAsia"/>
          <w:szCs w:val="44"/>
          <w:lang w:val="zh-CN"/>
        </w:rPr>
        <w:t>合同通用条款</w:t>
      </w:r>
      <w:r>
        <w:tab/>
      </w:r>
      <w:r>
        <w:fldChar w:fldCharType="begin"/>
      </w:r>
      <w:r>
        <w:instrText xml:space="preserve"> PAGEREF _Toc25686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_Toc6236 </w:instrText>
      </w:r>
      <w:r>
        <w:fldChar w:fldCharType="separate"/>
      </w:r>
      <w:r>
        <w:rPr>
          <w:rFonts w:hint="eastAsia" w:ascii="黑体" w:hAnsi="黑体" w:cs="黑体"/>
          <w:szCs w:val="28"/>
        </w:rPr>
        <w:t>一、定义</w:t>
      </w:r>
      <w:r>
        <w:tab/>
      </w:r>
      <w:r>
        <w:fldChar w:fldCharType="begin"/>
      </w:r>
      <w:r>
        <w:instrText xml:space="preserve"> PAGEREF _Toc6236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_Toc20733 </w:instrText>
      </w:r>
      <w:r>
        <w:fldChar w:fldCharType="separate"/>
      </w:r>
      <w:r>
        <w:rPr>
          <w:rFonts w:hint="eastAsia" w:ascii="黑体" w:hAnsi="黑体" w:cs="黑体"/>
          <w:szCs w:val="28"/>
        </w:rPr>
        <w:t>二、物资编目编码、打码贴签要求</w:t>
      </w:r>
      <w:r>
        <w:tab/>
      </w:r>
      <w:r>
        <w:fldChar w:fldCharType="begin"/>
      </w:r>
      <w:r>
        <w:instrText xml:space="preserve"> PAGEREF _Toc20733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_Toc26288 </w:instrText>
      </w:r>
      <w:r>
        <w:fldChar w:fldCharType="separate"/>
      </w:r>
      <w:r>
        <w:rPr>
          <w:rFonts w:hint="eastAsia" w:ascii="黑体" w:hAnsi="黑体" w:cs="黑体"/>
          <w:szCs w:val="28"/>
        </w:rPr>
        <w:t>三、履约验收</w:t>
      </w:r>
      <w:r>
        <w:tab/>
      </w:r>
      <w:r>
        <w:fldChar w:fldCharType="begin"/>
      </w:r>
      <w:r>
        <w:instrText xml:space="preserve"> PAGEREF _Toc26288 \h </w:instrText>
      </w:r>
      <w:r>
        <w:fldChar w:fldCharType="separate"/>
      </w:r>
      <w:r>
        <w:t>- 31 -</w:t>
      </w:r>
      <w:r>
        <w:fldChar w:fldCharType="end"/>
      </w:r>
      <w:r>
        <w:fldChar w:fldCharType="end"/>
      </w:r>
    </w:p>
    <w:p>
      <w:pPr>
        <w:pStyle w:val="21"/>
        <w:tabs>
          <w:tab w:val="right" w:leader="dot" w:pos="9354"/>
        </w:tabs>
      </w:pPr>
      <w:r>
        <w:fldChar w:fldCharType="begin"/>
      </w:r>
      <w:r>
        <w:instrText xml:space="preserve"> HYPERLINK \l _Toc28103 </w:instrText>
      </w:r>
      <w:r>
        <w:fldChar w:fldCharType="separate"/>
      </w:r>
      <w:r>
        <w:rPr>
          <w:rFonts w:hint="eastAsia" w:ascii="黑体" w:hAnsi="黑体" w:cs="黑体"/>
          <w:szCs w:val="28"/>
        </w:rPr>
        <w:t>四、保密条款</w:t>
      </w:r>
      <w:r>
        <w:tab/>
      </w:r>
      <w:r>
        <w:fldChar w:fldCharType="begin"/>
      </w:r>
      <w:r>
        <w:instrText xml:space="preserve"> PAGEREF _Toc28103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_Toc11039 </w:instrText>
      </w:r>
      <w:r>
        <w:fldChar w:fldCharType="separate"/>
      </w:r>
      <w:r>
        <w:rPr>
          <w:rFonts w:hint="eastAsia" w:ascii="黑体" w:hAnsi="黑体" w:cs="黑体"/>
          <w:szCs w:val="28"/>
        </w:rPr>
        <w:t>五、知识产权</w:t>
      </w:r>
      <w:r>
        <w:tab/>
      </w:r>
      <w:r>
        <w:fldChar w:fldCharType="begin"/>
      </w:r>
      <w:r>
        <w:instrText xml:space="preserve"> PAGEREF _Toc11039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_Toc14768 </w:instrText>
      </w:r>
      <w:r>
        <w:fldChar w:fldCharType="separate"/>
      </w:r>
      <w:r>
        <w:rPr>
          <w:rFonts w:hint="eastAsia" w:ascii="黑体" w:hAnsi="黑体" w:cs="黑体"/>
          <w:szCs w:val="28"/>
        </w:rPr>
        <w:t>六、合同的变更和解除</w:t>
      </w:r>
      <w:r>
        <w:tab/>
      </w:r>
      <w:r>
        <w:fldChar w:fldCharType="begin"/>
      </w:r>
      <w:r>
        <w:instrText xml:space="preserve"> PAGEREF _Toc14768 \h </w:instrText>
      </w:r>
      <w:r>
        <w:fldChar w:fldCharType="separate"/>
      </w:r>
      <w:r>
        <w:t>- 33 -</w:t>
      </w:r>
      <w:r>
        <w:fldChar w:fldCharType="end"/>
      </w:r>
      <w:r>
        <w:fldChar w:fldCharType="end"/>
      </w:r>
    </w:p>
    <w:p>
      <w:pPr>
        <w:pStyle w:val="21"/>
        <w:tabs>
          <w:tab w:val="right" w:leader="dot" w:pos="9354"/>
        </w:tabs>
      </w:pPr>
      <w:r>
        <w:fldChar w:fldCharType="begin"/>
      </w:r>
      <w:r>
        <w:instrText xml:space="preserve"> HYPERLINK \l _Toc16097 </w:instrText>
      </w:r>
      <w:r>
        <w:fldChar w:fldCharType="separate"/>
      </w:r>
      <w:r>
        <w:rPr>
          <w:rFonts w:hint="eastAsia" w:ascii="黑体" w:hAnsi="黑体" w:cs="黑体"/>
          <w:szCs w:val="28"/>
        </w:rPr>
        <w:t>七、履约监督</w:t>
      </w:r>
      <w:r>
        <w:tab/>
      </w:r>
      <w:r>
        <w:fldChar w:fldCharType="begin"/>
      </w:r>
      <w:r>
        <w:instrText xml:space="preserve"> PAGEREF _Toc16097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_Toc20116 </w:instrText>
      </w:r>
      <w:r>
        <w:fldChar w:fldCharType="separate"/>
      </w:r>
      <w:r>
        <w:rPr>
          <w:rFonts w:hint="eastAsia" w:ascii="黑体" w:hAnsi="黑体" w:cs="黑体"/>
          <w:szCs w:val="28"/>
        </w:rPr>
        <w:t>八、转包与分包</w:t>
      </w:r>
      <w:r>
        <w:tab/>
      </w:r>
      <w:r>
        <w:fldChar w:fldCharType="begin"/>
      </w:r>
      <w:r>
        <w:instrText xml:space="preserve"> PAGEREF _Toc20116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_Toc27612 </w:instrText>
      </w:r>
      <w:r>
        <w:fldChar w:fldCharType="separate"/>
      </w:r>
      <w:r>
        <w:rPr>
          <w:rFonts w:hint="eastAsia"/>
        </w:rPr>
        <w:t>九、违约责任</w:t>
      </w:r>
      <w:r>
        <w:tab/>
      </w:r>
      <w:r>
        <w:fldChar w:fldCharType="begin"/>
      </w:r>
      <w:r>
        <w:instrText xml:space="preserve"> PAGEREF _Toc27612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_Toc28750 </w:instrText>
      </w:r>
      <w:r>
        <w:fldChar w:fldCharType="separate"/>
      </w:r>
      <w:r>
        <w:rPr>
          <w:rFonts w:hint="eastAsia" w:ascii="黑体" w:hAnsi="黑体" w:cs="黑体"/>
          <w:szCs w:val="28"/>
        </w:rPr>
        <w:t>十、争议解决方式</w:t>
      </w:r>
      <w:r>
        <w:tab/>
      </w:r>
      <w:r>
        <w:fldChar w:fldCharType="begin"/>
      </w:r>
      <w:r>
        <w:instrText xml:space="preserve"> PAGEREF _Toc28750 \h </w:instrText>
      </w:r>
      <w:r>
        <w:fldChar w:fldCharType="separate"/>
      </w:r>
      <w:r>
        <w:t>- 35 -</w:t>
      </w:r>
      <w:r>
        <w:fldChar w:fldCharType="end"/>
      </w:r>
      <w:r>
        <w:fldChar w:fldCharType="end"/>
      </w:r>
    </w:p>
    <w:p>
      <w:pPr>
        <w:pStyle w:val="35"/>
        <w:tabs>
          <w:tab w:val="right" w:leader="dot" w:pos="9354"/>
        </w:tabs>
      </w:pPr>
      <w:r>
        <w:fldChar w:fldCharType="begin"/>
      </w:r>
      <w:r>
        <w:instrText xml:space="preserve"> HYPERLINK \l _Toc18886 </w:instrText>
      </w:r>
      <w:r>
        <w:fldChar w:fldCharType="separate"/>
      </w:r>
      <w:r>
        <w:rPr>
          <w:rFonts w:hint="eastAsia"/>
          <w:szCs w:val="44"/>
          <w:lang w:val="zh-CN"/>
        </w:rPr>
        <w:t>第三章</w:t>
      </w:r>
      <w:r>
        <w:rPr>
          <w:szCs w:val="44"/>
          <w:lang w:val="zh-CN"/>
        </w:rPr>
        <w:t xml:space="preserve"> </w:t>
      </w:r>
      <w:r>
        <w:rPr>
          <w:rFonts w:hint="eastAsia"/>
          <w:szCs w:val="44"/>
          <w:lang w:val="zh-CN"/>
        </w:rPr>
        <w:t>投标文件内容及格式</w:t>
      </w:r>
      <w:r>
        <w:tab/>
      </w:r>
      <w:r>
        <w:fldChar w:fldCharType="begin"/>
      </w:r>
      <w:r>
        <w:instrText xml:space="preserve"> PAGEREF _Toc18886 \h </w:instrText>
      </w:r>
      <w:r>
        <w:fldChar w:fldCharType="separate"/>
      </w:r>
      <w:r>
        <w:t>- 36 -</w:t>
      </w:r>
      <w:r>
        <w:fldChar w:fldCharType="end"/>
      </w:r>
      <w:r>
        <w:fldChar w:fldCharType="end"/>
      </w:r>
    </w:p>
    <w:p>
      <w:pPr>
        <w:pStyle w:val="21"/>
        <w:tabs>
          <w:tab w:val="right" w:leader="dot" w:pos="9354"/>
        </w:tabs>
      </w:pPr>
      <w:r>
        <w:fldChar w:fldCharType="begin"/>
      </w:r>
      <w:r>
        <w:instrText xml:space="preserve"> HYPERLINK \l _Toc21986 </w:instrText>
      </w:r>
      <w:r>
        <w:fldChar w:fldCharType="separate"/>
      </w:r>
      <w:r>
        <w:rPr>
          <w:rFonts w:hint="eastAsia" w:ascii="方正小标宋简体" w:eastAsia="方正小标宋简体"/>
          <w:szCs w:val="52"/>
        </w:rPr>
        <w:t>一、价格文件</w:t>
      </w:r>
      <w:r>
        <w:tab/>
      </w:r>
      <w:r>
        <w:fldChar w:fldCharType="begin"/>
      </w:r>
      <w:r>
        <w:instrText xml:space="preserve"> PAGEREF _Toc21986 \h </w:instrText>
      </w:r>
      <w:r>
        <w:fldChar w:fldCharType="separate"/>
      </w:r>
      <w:r>
        <w:t>- 37 -</w:t>
      </w:r>
      <w:r>
        <w:fldChar w:fldCharType="end"/>
      </w:r>
      <w:r>
        <w:fldChar w:fldCharType="end"/>
      </w:r>
    </w:p>
    <w:p>
      <w:pPr>
        <w:pStyle w:val="21"/>
        <w:tabs>
          <w:tab w:val="right" w:leader="dot" w:pos="9354"/>
        </w:tabs>
      </w:pPr>
      <w:r>
        <w:fldChar w:fldCharType="begin"/>
      </w:r>
      <w:r>
        <w:instrText xml:space="preserve"> HYPERLINK \l _Toc16690 </w:instrText>
      </w:r>
      <w:r>
        <w:fldChar w:fldCharType="separate"/>
      </w:r>
      <w:r>
        <w:rPr>
          <w:rFonts w:hint="eastAsia" w:ascii="方正小标宋简体" w:eastAsia="方正小标宋简体"/>
          <w:szCs w:val="52"/>
        </w:rPr>
        <w:t>二、商务技术文件</w:t>
      </w:r>
      <w:r>
        <w:tab/>
      </w:r>
      <w:r>
        <w:fldChar w:fldCharType="begin"/>
      </w:r>
      <w:r>
        <w:instrText xml:space="preserve"> PAGEREF _Toc16690 \h </w:instrText>
      </w:r>
      <w:r>
        <w:fldChar w:fldCharType="separate"/>
      </w:r>
      <w:r>
        <w:t>- 47 -</w:t>
      </w:r>
      <w:r>
        <w:fldChar w:fldCharType="end"/>
      </w:r>
      <w:r>
        <w:fldChar w:fldCharType="end"/>
      </w:r>
    </w:p>
    <w:p>
      <w:pPr>
        <w:pStyle w:val="21"/>
        <w:tabs>
          <w:tab w:val="right" w:leader="dot" w:pos="9354"/>
        </w:tabs>
      </w:pPr>
      <w:r>
        <w:fldChar w:fldCharType="begin"/>
      </w:r>
      <w:r>
        <w:instrText xml:space="preserve"> HYPERLINK \l _Toc1227 </w:instrText>
      </w:r>
      <w:r>
        <w:fldChar w:fldCharType="separate"/>
      </w:r>
      <w:r>
        <w:rPr>
          <w:rFonts w:hint="eastAsia" w:ascii="方正小标宋简体" w:eastAsia="方正小标宋简体"/>
          <w:szCs w:val="52"/>
        </w:rPr>
        <w:t>三、资格证明文件</w:t>
      </w:r>
      <w:r>
        <w:tab/>
      </w:r>
      <w:r>
        <w:fldChar w:fldCharType="begin"/>
      </w:r>
      <w:r>
        <w:instrText xml:space="preserve"> PAGEREF _Toc1227 \h </w:instrText>
      </w:r>
      <w:r>
        <w:fldChar w:fldCharType="separate"/>
      </w:r>
      <w:r>
        <w:t>- 65 -</w:t>
      </w:r>
      <w:r>
        <w:fldChar w:fldCharType="end"/>
      </w:r>
      <w:r>
        <w:fldChar w:fldCharType="end"/>
      </w:r>
    </w:p>
    <w:p>
      <w:pPr>
        <w:pStyle w:val="30"/>
        <w:tabs>
          <w:tab w:val="right" w:leader="dot" w:pos="9354"/>
        </w:tabs>
      </w:pPr>
      <w:r>
        <w:fldChar w:fldCharType="begin"/>
      </w:r>
      <w:r>
        <w:instrText xml:space="preserve"> HYPERLINK \l _Toc19478 </w:instrText>
      </w:r>
      <w:r>
        <w:fldChar w:fldCharType="separate"/>
      </w:r>
      <w:r>
        <w:rPr>
          <w:rFonts w:hint="eastAsia" w:ascii="方正小标宋简体" w:hAnsi="Times New Roman" w:eastAsia="方正小标宋简体" w:cs="Times New Roman"/>
          <w:szCs w:val="84"/>
          <w:lang w:eastAsia="zh-CN"/>
        </w:rPr>
        <w:t>专用部分</w:t>
      </w:r>
      <w:r>
        <w:tab/>
      </w:r>
      <w:r>
        <w:fldChar w:fldCharType="begin"/>
      </w:r>
      <w:r>
        <w:instrText xml:space="preserve"> PAGEREF _Toc19478 \h </w:instrText>
      </w:r>
      <w:r>
        <w:fldChar w:fldCharType="separate"/>
      </w:r>
      <w:r>
        <w:t>- 81 -</w:t>
      </w:r>
      <w:r>
        <w:fldChar w:fldCharType="end"/>
      </w:r>
      <w:r>
        <w:fldChar w:fldCharType="end"/>
      </w:r>
    </w:p>
    <w:p>
      <w:pPr>
        <w:pStyle w:val="35"/>
        <w:tabs>
          <w:tab w:val="right" w:leader="dot" w:pos="9354"/>
        </w:tabs>
      </w:pPr>
      <w:r>
        <w:fldChar w:fldCharType="begin"/>
      </w:r>
      <w:r>
        <w:instrText xml:space="preserve"> HYPERLINK \l _Toc6116 </w:instrText>
      </w:r>
      <w:r>
        <w:fldChar w:fldCharType="separate"/>
      </w:r>
      <w:r>
        <w:rPr>
          <w:rFonts w:hint="eastAsia" w:ascii="Arial" w:hAnsi="Arial" w:eastAsia="方正小标宋简体" w:cs="Times New Roman"/>
          <w:bCs/>
          <w:kern w:val="2"/>
          <w:szCs w:val="44"/>
          <w:lang w:val="zh-CN" w:eastAsia="zh-CN" w:bidi="ar-SA"/>
        </w:rPr>
        <w:t>投标供应商须知前附表</w:t>
      </w:r>
      <w:r>
        <w:tab/>
      </w:r>
      <w:r>
        <w:fldChar w:fldCharType="begin"/>
      </w:r>
      <w:r>
        <w:instrText xml:space="preserve"> PAGEREF _Toc6116 \h </w:instrText>
      </w:r>
      <w:r>
        <w:fldChar w:fldCharType="separate"/>
      </w:r>
      <w:r>
        <w:t>- 82 -</w:t>
      </w:r>
      <w:r>
        <w:fldChar w:fldCharType="end"/>
      </w:r>
      <w:r>
        <w:fldChar w:fldCharType="end"/>
      </w:r>
    </w:p>
    <w:p>
      <w:pPr>
        <w:pStyle w:val="35"/>
        <w:tabs>
          <w:tab w:val="right" w:leader="dot" w:pos="9354"/>
        </w:tabs>
      </w:pPr>
      <w:r>
        <w:fldChar w:fldCharType="begin"/>
      </w:r>
      <w:r>
        <w:instrText xml:space="preserve"> HYPERLINK \l _Toc1944 </w:instrText>
      </w:r>
      <w:r>
        <w:fldChar w:fldCharType="separate"/>
      </w:r>
      <w:r>
        <w:rPr>
          <w:rFonts w:hint="eastAsia" w:ascii="Arial" w:hAnsi="Arial" w:eastAsia="方正小标宋简体" w:cs="Times New Roman"/>
          <w:bCs/>
          <w:kern w:val="2"/>
          <w:szCs w:val="44"/>
          <w:lang w:val="zh-CN" w:eastAsia="zh-CN" w:bidi="ar-SA"/>
        </w:rPr>
        <w:t>第四章 招标公告</w:t>
      </w:r>
      <w:r>
        <w:tab/>
      </w:r>
      <w:r>
        <w:fldChar w:fldCharType="begin"/>
      </w:r>
      <w:r>
        <w:instrText xml:space="preserve"> PAGEREF _Toc1944 \h </w:instrText>
      </w:r>
      <w:r>
        <w:fldChar w:fldCharType="separate"/>
      </w:r>
      <w:r>
        <w:t>- 84 -</w:t>
      </w:r>
      <w:r>
        <w:fldChar w:fldCharType="end"/>
      </w:r>
      <w:r>
        <w:fldChar w:fldCharType="end"/>
      </w:r>
    </w:p>
    <w:p>
      <w:pPr>
        <w:pStyle w:val="35"/>
        <w:tabs>
          <w:tab w:val="right" w:leader="dot" w:pos="9354"/>
        </w:tabs>
      </w:pPr>
      <w:r>
        <w:fldChar w:fldCharType="begin"/>
      </w:r>
      <w:r>
        <w:instrText xml:space="preserve"> HYPERLINK \l _Toc22161 </w:instrText>
      </w:r>
      <w:r>
        <w:fldChar w:fldCharType="separate"/>
      </w:r>
      <w:r>
        <w:rPr>
          <w:rFonts w:hint="eastAsia" w:ascii="Arial" w:hAnsi="Arial" w:eastAsia="方正小标宋简体" w:cs="Times New Roman"/>
          <w:bCs/>
          <w:kern w:val="2"/>
          <w:szCs w:val="44"/>
          <w:lang w:val="zh-CN" w:eastAsia="zh-CN" w:bidi="ar-SA"/>
        </w:rPr>
        <w:t>第五章</w:t>
      </w:r>
      <w:r>
        <w:rPr>
          <w:rFonts w:hint="eastAsia" w:ascii="Arial" w:hAnsi="Arial" w:eastAsia="方正小标宋简体" w:cs="Times New Roman"/>
          <w:bCs/>
          <w:kern w:val="2"/>
          <w:szCs w:val="44"/>
          <w:lang w:val="en-US" w:eastAsia="zh-CN" w:bidi="ar-SA"/>
        </w:rPr>
        <w:t xml:space="preserve"> </w:t>
      </w:r>
      <w:r>
        <w:rPr>
          <w:rFonts w:hint="eastAsia" w:ascii="Arial" w:hAnsi="Arial" w:eastAsia="方正小标宋简体" w:cs="Times New Roman"/>
          <w:bCs/>
          <w:kern w:val="2"/>
          <w:szCs w:val="44"/>
          <w:lang w:val="zh-CN" w:eastAsia="zh-CN" w:bidi="ar-SA"/>
        </w:rPr>
        <w:t>采购项目技术和商务要求</w:t>
      </w:r>
      <w:r>
        <w:tab/>
      </w:r>
      <w:r>
        <w:fldChar w:fldCharType="begin"/>
      </w:r>
      <w:r>
        <w:instrText xml:space="preserve"> PAGEREF _Toc22161 \h </w:instrText>
      </w:r>
      <w:r>
        <w:fldChar w:fldCharType="separate"/>
      </w:r>
      <w:r>
        <w:t>- 99 -</w:t>
      </w:r>
      <w:r>
        <w:fldChar w:fldCharType="end"/>
      </w:r>
      <w:r>
        <w:fldChar w:fldCharType="end"/>
      </w:r>
    </w:p>
    <w:p>
      <w:pPr>
        <w:pStyle w:val="21"/>
        <w:tabs>
          <w:tab w:val="right" w:leader="dot" w:pos="9354"/>
        </w:tabs>
      </w:pPr>
      <w:r>
        <w:fldChar w:fldCharType="begin"/>
      </w:r>
      <w:r>
        <w:instrText xml:space="preserve"> HYPERLINK \l _Toc2333 </w:instrText>
      </w:r>
      <w:r>
        <w:fldChar w:fldCharType="separate"/>
      </w:r>
      <w:r>
        <w:rPr>
          <w:rFonts w:hint="eastAsia" w:ascii="黑体" w:hAnsi="黑体" w:eastAsia="黑体" w:cs="黑体"/>
          <w:szCs w:val="28"/>
          <w:lang w:val="en-US" w:eastAsia="zh-CN"/>
        </w:rPr>
        <w:t>一、货物一览表</w:t>
      </w:r>
      <w:r>
        <w:tab/>
      </w:r>
      <w:r>
        <w:fldChar w:fldCharType="begin"/>
      </w:r>
      <w:r>
        <w:instrText xml:space="preserve"> PAGEREF _Toc2333 \h </w:instrText>
      </w:r>
      <w:r>
        <w:fldChar w:fldCharType="separate"/>
      </w:r>
      <w:r>
        <w:t>- 99 -</w:t>
      </w:r>
      <w:r>
        <w:fldChar w:fldCharType="end"/>
      </w:r>
      <w:r>
        <w:fldChar w:fldCharType="end"/>
      </w:r>
    </w:p>
    <w:p>
      <w:pPr>
        <w:pStyle w:val="21"/>
        <w:tabs>
          <w:tab w:val="right" w:leader="dot" w:pos="9354"/>
        </w:tabs>
      </w:pPr>
      <w:r>
        <w:fldChar w:fldCharType="begin"/>
      </w:r>
      <w:r>
        <w:instrText xml:space="preserve"> HYPERLINK \l _Toc26112 </w:instrText>
      </w:r>
      <w:r>
        <w:fldChar w:fldCharType="separate"/>
      </w:r>
      <w:r>
        <w:rPr>
          <w:rFonts w:hint="eastAsia" w:ascii="黑体" w:hAnsi="黑体" w:eastAsia="黑体" w:cs="黑体"/>
          <w:bCs/>
          <w:szCs w:val="28"/>
          <w:lang w:val="en-US" w:eastAsia="zh-CN"/>
        </w:rPr>
        <w:t>二</w:t>
      </w:r>
      <w:r>
        <w:rPr>
          <w:rFonts w:hint="eastAsia" w:ascii="黑体" w:hAnsi="黑体" w:eastAsia="黑体" w:cs="黑体"/>
          <w:bCs/>
          <w:szCs w:val="28"/>
        </w:rPr>
        <w:t>、技术要求</w:t>
      </w:r>
      <w:r>
        <w:tab/>
      </w:r>
      <w:r>
        <w:fldChar w:fldCharType="begin"/>
      </w:r>
      <w:r>
        <w:instrText xml:space="preserve"> PAGEREF _Toc26112 \h </w:instrText>
      </w:r>
      <w:r>
        <w:fldChar w:fldCharType="separate"/>
      </w:r>
      <w:r>
        <w:t>- 99 -</w:t>
      </w:r>
      <w:r>
        <w:fldChar w:fldCharType="end"/>
      </w:r>
      <w:r>
        <w:fldChar w:fldCharType="end"/>
      </w:r>
    </w:p>
    <w:p>
      <w:pPr>
        <w:pStyle w:val="21"/>
        <w:tabs>
          <w:tab w:val="right" w:leader="dot" w:pos="9354"/>
        </w:tabs>
      </w:pPr>
      <w:r>
        <w:fldChar w:fldCharType="begin"/>
      </w:r>
      <w:r>
        <w:instrText xml:space="preserve"> HYPERLINK \l _Toc14576 </w:instrText>
      </w:r>
      <w:r>
        <w:fldChar w:fldCharType="separate"/>
      </w:r>
      <w:r>
        <w:rPr>
          <w:rFonts w:hint="eastAsia" w:ascii="黑体" w:hAnsi="黑体" w:eastAsia="黑体" w:cs="黑体"/>
          <w:bCs/>
          <w:szCs w:val="28"/>
          <w:lang w:val="zh-CN" w:eastAsia="zh-CN"/>
        </w:rPr>
        <w:t>三“</w:t>
      </w:r>
      <w:r>
        <w:rPr>
          <w:rFonts w:hint="eastAsia" w:ascii="黑体" w:hAnsi="黑体" w:eastAsia="黑体" w:cs="黑体"/>
          <w:bCs/>
          <w:szCs w:val="28"/>
          <w:lang w:val="en-US" w:eastAsia="zh-CN"/>
        </w:rPr>
        <w:t>电动骨组织手术设备</w:t>
      </w:r>
      <w:r>
        <w:rPr>
          <w:rFonts w:hint="eastAsia" w:ascii="黑体" w:hAnsi="黑体" w:eastAsia="黑体" w:cs="黑体"/>
          <w:bCs/>
          <w:szCs w:val="28"/>
          <w:lang w:val="zh-CN" w:eastAsia="zh-CN"/>
        </w:rPr>
        <w:t>试剂耗材调查表”</w:t>
      </w:r>
      <w:r>
        <w:tab/>
      </w:r>
      <w:r>
        <w:fldChar w:fldCharType="begin"/>
      </w:r>
      <w:r>
        <w:instrText xml:space="preserve"> PAGEREF _Toc14576 \h </w:instrText>
      </w:r>
      <w:r>
        <w:fldChar w:fldCharType="separate"/>
      </w:r>
      <w:r>
        <w:t>- 100 -</w:t>
      </w:r>
      <w:r>
        <w:fldChar w:fldCharType="end"/>
      </w:r>
      <w:r>
        <w:fldChar w:fldCharType="end"/>
      </w:r>
    </w:p>
    <w:p>
      <w:pPr>
        <w:pStyle w:val="21"/>
        <w:tabs>
          <w:tab w:val="right" w:leader="dot" w:pos="9354"/>
        </w:tabs>
      </w:pPr>
      <w:r>
        <w:fldChar w:fldCharType="begin"/>
      </w:r>
      <w:r>
        <w:instrText xml:space="preserve"> HYPERLINK \l _Toc18170 </w:instrText>
      </w:r>
      <w:r>
        <w:fldChar w:fldCharType="separate"/>
      </w:r>
      <w:r>
        <w:rPr>
          <w:rFonts w:hint="eastAsia" w:ascii="黑体" w:hAnsi="黑体" w:cs="黑体"/>
          <w:bCs/>
          <w:szCs w:val="28"/>
          <w:lang w:val="en-US" w:eastAsia="zh-CN"/>
        </w:rPr>
        <w:t>四</w:t>
      </w:r>
      <w:r>
        <w:rPr>
          <w:rFonts w:hint="eastAsia" w:ascii="黑体" w:hAnsi="黑体" w:eastAsia="黑体" w:cs="黑体"/>
          <w:bCs/>
          <w:szCs w:val="28"/>
        </w:rPr>
        <w:t>、商务要求</w:t>
      </w:r>
      <w:r>
        <w:tab/>
      </w:r>
      <w:r>
        <w:fldChar w:fldCharType="begin"/>
      </w:r>
      <w:r>
        <w:instrText xml:space="preserve"> PAGEREF _Toc18170 \h </w:instrText>
      </w:r>
      <w:r>
        <w:fldChar w:fldCharType="separate"/>
      </w:r>
      <w:r>
        <w:t>- 101 -</w:t>
      </w:r>
      <w:r>
        <w:fldChar w:fldCharType="end"/>
      </w:r>
      <w:r>
        <w:fldChar w:fldCharType="end"/>
      </w:r>
    </w:p>
    <w:p>
      <w:pPr>
        <w:pStyle w:val="35"/>
        <w:tabs>
          <w:tab w:val="right" w:leader="dot" w:pos="9354"/>
        </w:tabs>
      </w:pPr>
      <w:r>
        <w:fldChar w:fldCharType="begin"/>
      </w:r>
      <w:r>
        <w:instrText xml:space="preserve"> HYPERLINK \l _Toc4653 </w:instrText>
      </w:r>
      <w:r>
        <w:fldChar w:fldCharType="separate"/>
      </w:r>
      <w:r>
        <w:rPr>
          <w:rFonts w:hint="eastAsia" w:ascii="Arial" w:hAnsi="Arial" w:eastAsia="方正小标宋简体" w:cs="Times New Roman"/>
          <w:bCs/>
          <w:kern w:val="2"/>
          <w:szCs w:val="44"/>
          <w:lang w:val="zh-CN" w:eastAsia="zh-CN" w:bidi="ar-SA"/>
        </w:rPr>
        <w:t>第六章 合同专用条款</w:t>
      </w:r>
      <w:r>
        <w:tab/>
      </w:r>
      <w:r>
        <w:fldChar w:fldCharType="begin"/>
      </w:r>
      <w:r>
        <w:instrText xml:space="preserve"> PAGEREF _Toc4653 \h </w:instrText>
      </w:r>
      <w:r>
        <w:fldChar w:fldCharType="separate"/>
      </w:r>
      <w:r>
        <w:t>- 105 -</w:t>
      </w:r>
      <w:r>
        <w:fldChar w:fldCharType="end"/>
      </w:r>
      <w:r>
        <w:fldChar w:fldCharType="end"/>
      </w:r>
    </w:p>
    <w:p>
      <w:pPr>
        <w:pStyle w:val="21"/>
        <w:tabs>
          <w:tab w:val="right" w:leader="dot" w:pos="9354"/>
        </w:tabs>
      </w:pPr>
      <w:r>
        <w:fldChar w:fldCharType="begin"/>
      </w:r>
      <w:r>
        <w:instrText xml:space="preserve"> HYPERLINK \l _Toc12896 </w:instrText>
      </w:r>
      <w:r>
        <w:fldChar w:fldCharType="separate"/>
      </w:r>
      <w:r>
        <w:rPr>
          <w:rFonts w:hint="eastAsia" w:ascii="黑体" w:hAnsi="黑体" w:eastAsia="黑体" w:cs="黑体"/>
          <w:bCs/>
          <w:szCs w:val="28"/>
        </w:rPr>
        <w:t>一、定义</w:t>
      </w:r>
      <w:r>
        <w:tab/>
      </w:r>
      <w:r>
        <w:fldChar w:fldCharType="begin"/>
      </w:r>
      <w:r>
        <w:instrText xml:space="preserve"> PAGEREF _Toc12896 \h </w:instrText>
      </w:r>
      <w:r>
        <w:fldChar w:fldCharType="separate"/>
      </w:r>
      <w:r>
        <w:t>- 106 -</w:t>
      </w:r>
      <w:r>
        <w:fldChar w:fldCharType="end"/>
      </w:r>
      <w:r>
        <w:fldChar w:fldCharType="end"/>
      </w:r>
    </w:p>
    <w:p>
      <w:pPr>
        <w:pStyle w:val="21"/>
        <w:tabs>
          <w:tab w:val="right" w:leader="dot" w:pos="9354"/>
        </w:tabs>
      </w:pPr>
      <w:r>
        <w:fldChar w:fldCharType="begin"/>
      </w:r>
      <w:r>
        <w:instrText xml:space="preserve"> HYPERLINK \l _Toc31187 </w:instrText>
      </w:r>
      <w:r>
        <w:fldChar w:fldCharType="separate"/>
      </w:r>
      <w:r>
        <w:rPr>
          <w:rFonts w:hint="eastAsia" w:ascii="黑体" w:hAnsi="黑体" w:eastAsia="黑体" w:cs="黑体"/>
          <w:bCs/>
          <w:szCs w:val="28"/>
        </w:rPr>
        <w:t>二、货物内容</w:t>
      </w:r>
      <w:r>
        <w:tab/>
      </w:r>
      <w:r>
        <w:fldChar w:fldCharType="begin"/>
      </w:r>
      <w:r>
        <w:instrText xml:space="preserve"> PAGEREF _Toc31187 \h </w:instrText>
      </w:r>
      <w:r>
        <w:fldChar w:fldCharType="separate"/>
      </w:r>
      <w:r>
        <w:t>- 106 -</w:t>
      </w:r>
      <w:r>
        <w:fldChar w:fldCharType="end"/>
      </w:r>
      <w:r>
        <w:fldChar w:fldCharType="end"/>
      </w:r>
    </w:p>
    <w:p>
      <w:pPr>
        <w:pStyle w:val="21"/>
        <w:tabs>
          <w:tab w:val="right" w:leader="dot" w:pos="9354"/>
        </w:tabs>
      </w:pPr>
      <w:r>
        <w:fldChar w:fldCharType="begin"/>
      </w:r>
      <w:r>
        <w:instrText xml:space="preserve"> HYPERLINK \l _Toc25354 </w:instrText>
      </w:r>
      <w:r>
        <w:fldChar w:fldCharType="separate"/>
      </w:r>
      <w:r>
        <w:rPr>
          <w:rFonts w:hint="eastAsia" w:ascii="黑体" w:eastAsia="黑体" w:cs="Times New Roman"/>
          <w:szCs w:val="28"/>
          <w:lang w:val="en-US" w:eastAsia="zh-CN"/>
        </w:rPr>
        <w:t>三</w:t>
      </w:r>
      <w:r>
        <w:rPr>
          <w:rFonts w:hint="eastAsia" w:ascii="黑体" w:hAnsi="Times New Roman" w:eastAsia="黑体" w:cs="Times New Roman"/>
          <w:szCs w:val="28"/>
        </w:rPr>
        <w:t>、质量要求及技术标准</w:t>
      </w:r>
      <w:r>
        <w:tab/>
      </w:r>
      <w:r>
        <w:fldChar w:fldCharType="begin"/>
      </w:r>
      <w:r>
        <w:instrText xml:space="preserve"> PAGEREF _Toc25354 \h </w:instrText>
      </w:r>
      <w:r>
        <w:fldChar w:fldCharType="separate"/>
      </w:r>
      <w:r>
        <w:t>- 106 -</w:t>
      </w:r>
      <w:r>
        <w:fldChar w:fldCharType="end"/>
      </w:r>
      <w:r>
        <w:fldChar w:fldCharType="end"/>
      </w:r>
    </w:p>
    <w:p>
      <w:pPr>
        <w:pStyle w:val="21"/>
        <w:tabs>
          <w:tab w:val="right" w:leader="dot" w:pos="9354"/>
        </w:tabs>
      </w:pPr>
      <w:r>
        <w:fldChar w:fldCharType="begin"/>
      </w:r>
      <w:r>
        <w:instrText xml:space="preserve"> HYPERLINK \l _Toc416 </w:instrText>
      </w:r>
      <w:r>
        <w:fldChar w:fldCharType="separate"/>
      </w:r>
      <w:r>
        <w:rPr>
          <w:rFonts w:hint="eastAsia" w:ascii="黑体" w:eastAsia="黑体" w:cs="Times New Roman"/>
          <w:szCs w:val="28"/>
          <w:lang w:val="en-US" w:eastAsia="zh-CN"/>
        </w:rPr>
        <w:t>四、包装及技术资料</w:t>
      </w:r>
      <w:r>
        <w:tab/>
      </w:r>
      <w:r>
        <w:fldChar w:fldCharType="begin"/>
      </w:r>
      <w:r>
        <w:instrText xml:space="preserve"> PAGEREF _Toc416 \h </w:instrText>
      </w:r>
      <w:r>
        <w:fldChar w:fldCharType="separate"/>
      </w:r>
      <w:r>
        <w:t>- 106 -</w:t>
      </w:r>
      <w:r>
        <w:fldChar w:fldCharType="end"/>
      </w:r>
      <w:r>
        <w:fldChar w:fldCharType="end"/>
      </w:r>
    </w:p>
    <w:p>
      <w:pPr>
        <w:pStyle w:val="21"/>
        <w:tabs>
          <w:tab w:val="right" w:leader="dot" w:pos="9354"/>
        </w:tabs>
      </w:pPr>
      <w:r>
        <w:fldChar w:fldCharType="begin"/>
      </w:r>
      <w:r>
        <w:instrText xml:space="preserve"> HYPERLINK \l _Toc3165 </w:instrText>
      </w:r>
      <w:r>
        <w:fldChar w:fldCharType="separate"/>
      </w:r>
      <w:r>
        <w:rPr>
          <w:rFonts w:hint="eastAsia" w:ascii="黑体" w:eastAsia="黑体" w:cs="Times New Roman"/>
          <w:szCs w:val="28"/>
          <w:lang w:val="en-US" w:eastAsia="zh-CN"/>
        </w:rPr>
        <w:t>五</w:t>
      </w:r>
      <w:r>
        <w:rPr>
          <w:rFonts w:hint="eastAsia" w:ascii="黑体" w:hAnsi="Times New Roman" w:eastAsia="黑体" w:cs="Times New Roman"/>
          <w:szCs w:val="28"/>
        </w:rPr>
        <w:t>、交货时间、地点、方式</w:t>
      </w:r>
      <w:r>
        <w:tab/>
      </w:r>
      <w:r>
        <w:fldChar w:fldCharType="begin"/>
      </w:r>
      <w:r>
        <w:instrText xml:space="preserve"> PAGEREF _Toc3165 \h </w:instrText>
      </w:r>
      <w:r>
        <w:fldChar w:fldCharType="separate"/>
      </w:r>
      <w:r>
        <w:t>- 107 -</w:t>
      </w:r>
      <w:r>
        <w:fldChar w:fldCharType="end"/>
      </w:r>
      <w:r>
        <w:fldChar w:fldCharType="end"/>
      </w:r>
    </w:p>
    <w:p>
      <w:pPr>
        <w:pStyle w:val="21"/>
        <w:tabs>
          <w:tab w:val="right" w:leader="dot" w:pos="9354"/>
        </w:tabs>
      </w:pPr>
      <w:r>
        <w:fldChar w:fldCharType="begin"/>
      </w:r>
      <w:r>
        <w:instrText xml:space="preserve"> HYPERLINK \l _Toc6429 </w:instrText>
      </w:r>
      <w:r>
        <w:fldChar w:fldCharType="separate"/>
      </w:r>
      <w:r>
        <w:rPr>
          <w:rFonts w:hint="eastAsia" w:ascii="黑体" w:eastAsia="黑体" w:cs="Times New Roman"/>
          <w:szCs w:val="28"/>
          <w:lang w:val="en-US" w:eastAsia="zh-CN"/>
        </w:rPr>
        <w:t>六</w:t>
      </w:r>
      <w:r>
        <w:rPr>
          <w:rFonts w:hint="eastAsia" w:ascii="黑体" w:hAnsi="Times New Roman" w:eastAsia="黑体" w:cs="Times New Roman"/>
          <w:szCs w:val="28"/>
        </w:rPr>
        <w:t>、质量验收</w:t>
      </w:r>
      <w:r>
        <w:tab/>
      </w:r>
      <w:r>
        <w:fldChar w:fldCharType="begin"/>
      </w:r>
      <w:r>
        <w:instrText xml:space="preserve"> PAGEREF _Toc6429 \h </w:instrText>
      </w:r>
      <w:r>
        <w:fldChar w:fldCharType="separate"/>
      </w:r>
      <w:r>
        <w:t>- 107 -</w:t>
      </w:r>
      <w:r>
        <w:fldChar w:fldCharType="end"/>
      </w:r>
      <w:r>
        <w:fldChar w:fldCharType="end"/>
      </w:r>
    </w:p>
    <w:p>
      <w:pPr>
        <w:pStyle w:val="21"/>
        <w:tabs>
          <w:tab w:val="right" w:leader="dot" w:pos="9354"/>
        </w:tabs>
      </w:pPr>
      <w:r>
        <w:fldChar w:fldCharType="begin"/>
      </w:r>
      <w:r>
        <w:instrText xml:space="preserve"> HYPERLINK \l _Toc2724 </w:instrText>
      </w:r>
      <w:r>
        <w:fldChar w:fldCharType="separate"/>
      </w:r>
      <w:r>
        <w:rPr>
          <w:rFonts w:hint="eastAsia" w:ascii="黑体" w:eastAsia="黑体" w:cs="Times New Roman"/>
          <w:szCs w:val="28"/>
          <w:lang w:val="en-US" w:eastAsia="zh-CN"/>
        </w:rPr>
        <w:t>七</w:t>
      </w:r>
      <w:r>
        <w:rPr>
          <w:rFonts w:hint="eastAsia" w:ascii="黑体" w:hAnsi="Times New Roman" w:eastAsia="黑体" w:cs="Times New Roman"/>
          <w:szCs w:val="28"/>
        </w:rPr>
        <w:t>、货物打码贴签要求</w:t>
      </w:r>
      <w:r>
        <w:tab/>
      </w:r>
      <w:r>
        <w:fldChar w:fldCharType="begin"/>
      </w:r>
      <w:r>
        <w:instrText xml:space="preserve"> PAGEREF _Toc2724 \h </w:instrText>
      </w:r>
      <w:r>
        <w:fldChar w:fldCharType="separate"/>
      </w:r>
      <w:r>
        <w:t>- 107 -</w:t>
      </w:r>
      <w:r>
        <w:fldChar w:fldCharType="end"/>
      </w:r>
      <w:r>
        <w:fldChar w:fldCharType="end"/>
      </w:r>
    </w:p>
    <w:p>
      <w:pPr>
        <w:pStyle w:val="21"/>
        <w:tabs>
          <w:tab w:val="right" w:leader="dot" w:pos="9354"/>
        </w:tabs>
      </w:pPr>
      <w:r>
        <w:fldChar w:fldCharType="begin"/>
      </w:r>
      <w:r>
        <w:instrText xml:space="preserve"> HYPERLINK \l _Toc21159 </w:instrText>
      </w:r>
      <w:r>
        <w:fldChar w:fldCharType="separate"/>
      </w:r>
      <w:r>
        <w:rPr>
          <w:rFonts w:hint="eastAsia" w:ascii="黑体" w:hAnsi="Times New Roman" w:eastAsia="黑体" w:cs="Times New Roman"/>
          <w:szCs w:val="28"/>
          <w:lang w:val="en-US" w:eastAsia="zh-CN"/>
        </w:rPr>
        <w:t>八</w:t>
      </w:r>
      <w:r>
        <w:rPr>
          <w:rFonts w:hint="eastAsia" w:ascii="黑体" w:hAnsi="Times New Roman" w:eastAsia="黑体" w:cs="Times New Roman"/>
          <w:szCs w:val="28"/>
        </w:rPr>
        <w:t>、售后服务</w:t>
      </w:r>
      <w:r>
        <w:tab/>
      </w:r>
      <w:r>
        <w:fldChar w:fldCharType="begin"/>
      </w:r>
      <w:r>
        <w:instrText xml:space="preserve"> PAGEREF _Toc21159 \h </w:instrText>
      </w:r>
      <w:r>
        <w:fldChar w:fldCharType="separate"/>
      </w:r>
      <w:r>
        <w:t>- 108 -</w:t>
      </w:r>
      <w:r>
        <w:fldChar w:fldCharType="end"/>
      </w:r>
      <w:r>
        <w:fldChar w:fldCharType="end"/>
      </w:r>
    </w:p>
    <w:p>
      <w:pPr>
        <w:pStyle w:val="21"/>
        <w:tabs>
          <w:tab w:val="right" w:leader="dot" w:pos="9354"/>
        </w:tabs>
      </w:pPr>
      <w:r>
        <w:fldChar w:fldCharType="begin"/>
      </w:r>
      <w:r>
        <w:instrText xml:space="preserve"> HYPERLINK \l _Toc14600 </w:instrText>
      </w:r>
      <w:r>
        <w:fldChar w:fldCharType="separate"/>
      </w:r>
      <w:r>
        <w:rPr>
          <w:rFonts w:hint="eastAsia" w:ascii="黑体" w:eastAsia="黑体" w:cs="Times New Roman"/>
          <w:szCs w:val="28"/>
          <w:lang w:val="en-US" w:eastAsia="zh-CN"/>
        </w:rPr>
        <w:t>九</w:t>
      </w:r>
      <w:r>
        <w:rPr>
          <w:rFonts w:hint="eastAsia" w:ascii="黑体" w:hAnsi="Times New Roman" w:eastAsia="黑体" w:cs="Times New Roman"/>
          <w:szCs w:val="28"/>
        </w:rPr>
        <w:t>、资金结算</w:t>
      </w:r>
      <w:r>
        <w:tab/>
      </w:r>
      <w:r>
        <w:fldChar w:fldCharType="begin"/>
      </w:r>
      <w:r>
        <w:instrText xml:space="preserve"> PAGEREF _Toc14600 \h </w:instrText>
      </w:r>
      <w:r>
        <w:fldChar w:fldCharType="separate"/>
      </w:r>
      <w:r>
        <w:t>- 109 -</w:t>
      </w:r>
      <w:r>
        <w:fldChar w:fldCharType="end"/>
      </w:r>
      <w:r>
        <w:fldChar w:fldCharType="end"/>
      </w:r>
    </w:p>
    <w:p>
      <w:pPr>
        <w:pStyle w:val="21"/>
        <w:tabs>
          <w:tab w:val="right" w:leader="dot" w:pos="9354"/>
        </w:tabs>
      </w:pPr>
      <w:r>
        <w:fldChar w:fldCharType="begin"/>
      </w:r>
      <w:r>
        <w:instrText xml:space="preserve"> HYPERLINK \l _Toc19990 </w:instrText>
      </w:r>
      <w:r>
        <w:fldChar w:fldCharType="separate"/>
      </w:r>
      <w:r>
        <w:rPr>
          <w:rFonts w:hint="eastAsia" w:ascii="黑体" w:hAnsi="Times New Roman" w:eastAsia="黑体" w:cs="Times New Roman"/>
          <w:szCs w:val="28"/>
          <w:lang w:val="en-US" w:eastAsia="zh-CN"/>
        </w:rPr>
        <w:t>十、</w:t>
      </w:r>
      <w:r>
        <w:rPr>
          <w:rFonts w:hint="eastAsia" w:ascii="黑体" w:hAnsi="Times New Roman" w:eastAsia="黑体" w:cs="Times New Roman"/>
          <w:szCs w:val="28"/>
        </w:rPr>
        <w:t>履约保证金和质量保证金</w:t>
      </w:r>
      <w:r>
        <w:tab/>
      </w:r>
      <w:r>
        <w:fldChar w:fldCharType="begin"/>
      </w:r>
      <w:r>
        <w:instrText xml:space="preserve"> PAGEREF _Toc19990 \h </w:instrText>
      </w:r>
      <w:r>
        <w:fldChar w:fldCharType="separate"/>
      </w:r>
      <w:r>
        <w:t>- 109 -</w:t>
      </w:r>
      <w:r>
        <w:fldChar w:fldCharType="end"/>
      </w:r>
      <w:r>
        <w:fldChar w:fldCharType="end"/>
      </w:r>
    </w:p>
    <w:p>
      <w:pPr>
        <w:pStyle w:val="21"/>
        <w:tabs>
          <w:tab w:val="right" w:leader="dot" w:pos="9354"/>
        </w:tabs>
      </w:pPr>
      <w:r>
        <w:fldChar w:fldCharType="begin"/>
      </w:r>
      <w:r>
        <w:instrText xml:space="preserve"> HYPERLINK \l _Toc27655 </w:instrText>
      </w:r>
      <w:r>
        <w:fldChar w:fldCharType="separate"/>
      </w:r>
      <w:r>
        <w:rPr>
          <w:rFonts w:hint="eastAsia" w:ascii="黑体" w:hAnsi="黑体" w:cs="黑体"/>
          <w:szCs w:val="28"/>
          <w:lang w:eastAsia="zh-CN"/>
        </w:rPr>
        <w:t>十一</w:t>
      </w:r>
      <w:r>
        <w:rPr>
          <w:rFonts w:hint="eastAsia" w:ascii="黑体" w:hAnsi="黑体" w:cs="黑体"/>
          <w:szCs w:val="28"/>
        </w:rPr>
        <w:t>、保密条款</w:t>
      </w:r>
      <w:r>
        <w:tab/>
      </w:r>
      <w:r>
        <w:fldChar w:fldCharType="begin"/>
      </w:r>
      <w:r>
        <w:instrText xml:space="preserve"> PAGEREF _Toc27655 \h </w:instrText>
      </w:r>
      <w:r>
        <w:fldChar w:fldCharType="separate"/>
      </w:r>
      <w:r>
        <w:t>- 109 -</w:t>
      </w:r>
      <w:r>
        <w:fldChar w:fldCharType="end"/>
      </w:r>
      <w:r>
        <w:fldChar w:fldCharType="end"/>
      </w:r>
    </w:p>
    <w:p>
      <w:pPr>
        <w:pStyle w:val="21"/>
        <w:tabs>
          <w:tab w:val="right" w:leader="dot" w:pos="9354"/>
        </w:tabs>
      </w:pPr>
      <w:r>
        <w:fldChar w:fldCharType="begin"/>
      </w:r>
      <w:r>
        <w:instrText xml:space="preserve"> HYPERLINK \l _Toc6613 </w:instrText>
      </w:r>
      <w:r>
        <w:fldChar w:fldCharType="separate"/>
      </w:r>
      <w:r>
        <w:rPr>
          <w:rFonts w:hint="eastAsia" w:ascii="黑体" w:eastAsia="黑体" w:cs="Times New Roman"/>
          <w:szCs w:val="28"/>
          <w:lang w:val="en-US" w:eastAsia="zh-CN"/>
        </w:rPr>
        <w:t>十二</w:t>
      </w:r>
      <w:r>
        <w:rPr>
          <w:rFonts w:hint="eastAsia" w:ascii="黑体" w:hAnsi="Times New Roman" w:eastAsia="黑体" w:cs="Times New Roman"/>
          <w:szCs w:val="28"/>
        </w:rPr>
        <w:t>、知识产权</w:t>
      </w:r>
      <w:r>
        <w:tab/>
      </w:r>
      <w:r>
        <w:fldChar w:fldCharType="begin"/>
      </w:r>
      <w:r>
        <w:instrText xml:space="preserve"> PAGEREF _Toc6613 \h </w:instrText>
      </w:r>
      <w:r>
        <w:fldChar w:fldCharType="separate"/>
      </w:r>
      <w:r>
        <w:t>- 110 -</w:t>
      </w:r>
      <w:r>
        <w:fldChar w:fldCharType="end"/>
      </w:r>
      <w:r>
        <w:fldChar w:fldCharType="end"/>
      </w:r>
    </w:p>
    <w:p>
      <w:pPr>
        <w:pStyle w:val="21"/>
        <w:tabs>
          <w:tab w:val="right" w:leader="dot" w:pos="9354"/>
        </w:tabs>
      </w:pPr>
      <w:r>
        <w:fldChar w:fldCharType="begin"/>
      </w:r>
      <w:r>
        <w:instrText xml:space="preserve"> HYPERLINK \l _Toc23742 </w:instrText>
      </w:r>
      <w:r>
        <w:fldChar w:fldCharType="separate"/>
      </w:r>
      <w:r>
        <w:rPr>
          <w:rFonts w:hint="eastAsia" w:ascii="黑体" w:hAnsi="宋体" w:eastAsia="黑体" w:cs="Times New Roman"/>
          <w:szCs w:val="28"/>
          <w:lang w:eastAsia="zh-CN"/>
        </w:rPr>
        <w:t>十</w:t>
      </w:r>
      <w:r>
        <w:rPr>
          <w:rFonts w:hint="eastAsia" w:ascii="黑体" w:hAnsi="宋体" w:eastAsia="黑体" w:cs="Times New Roman"/>
          <w:szCs w:val="28"/>
          <w:lang w:val="en-US" w:eastAsia="zh-CN"/>
        </w:rPr>
        <w:t>三</w:t>
      </w:r>
      <w:r>
        <w:rPr>
          <w:rFonts w:hint="eastAsia" w:ascii="黑体" w:hAnsi="宋体" w:eastAsia="黑体" w:cs="Times New Roman"/>
          <w:szCs w:val="28"/>
        </w:rPr>
        <w:t>、合同的变更和解除</w:t>
      </w:r>
      <w:r>
        <w:tab/>
      </w:r>
      <w:r>
        <w:fldChar w:fldCharType="begin"/>
      </w:r>
      <w:r>
        <w:instrText xml:space="preserve"> PAGEREF _Toc23742 \h </w:instrText>
      </w:r>
      <w:r>
        <w:fldChar w:fldCharType="separate"/>
      </w:r>
      <w:r>
        <w:t>- 110 -</w:t>
      </w:r>
      <w:r>
        <w:fldChar w:fldCharType="end"/>
      </w:r>
      <w:r>
        <w:fldChar w:fldCharType="end"/>
      </w:r>
    </w:p>
    <w:p>
      <w:pPr>
        <w:pStyle w:val="21"/>
        <w:tabs>
          <w:tab w:val="right" w:leader="dot" w:pos="9354"/>
        </w:tabs>
      </w:pPr>
      <w:r>
        <w:fldChar w:fldCharType="begin"/>
      </w:r>
      <w:r>
        <w:instrText xml:space="preserve"> HYPERLINK \l _Toc17786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四</w:t>
      </w:r>
      <w:r>
        <w:rPr>
          <w:rFonts w:hint="eastAsia" w:ascii="黑体" w:hAnsi="宋体" w:eastAsia="黑体" w:cs="Times New Roman"/>
          <w:szCs w:val="28"/>
        </w:rPr>
        <w:t>、履约监督</w:t>
      </w:r>
      <w:r>
        <w:tab/>
      </w:r>
      <w:r>
        <w:fldChar w:fldCharType="begin"/>
      </w:r>
      <w:r>
        <w:instrText xml:space="preserve"> PAGEREF _Toc17786 \h </w:instrText>
      </w:r>
      <w:r>
        <w:fldChar w:fldCharType="separate"/>
      </w:r>
      <w:r>
        <w:t>- 111 -</w:t>
      </w:r>
      <w:r>
        <w:fldChar w:fldCharType="end"/>
      </w:r>
      <w:r>
        <w:fldChar w:fldCharType="end"/>
      </w:r>
    </w:p>
    <w:p>
      <w:pPr>
        <w:pStyle w:val="21"/>
        <w:tabs>
          <w:tab w:val="right" w:leader="dot" w:pos="9354"/>
        </w:tabs>
      </w:pPr>
      <w:r>
        <w:fldChar w:fldCharType="begin"/>
      </w:r>
      <w:r>
        <w:instrText xml:space="preserve"> HYPERLINK \l _Toc29584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五</w:t>
      </w:r>
      <w:r>
        <w:rPr>
          <w:rFonts w:hint="eastAsia" w:ascii="黑体" w:hAnsi="宋体" w:eastAsia="黑体" w:cs="Times New Roman"/>
          <w:szCs w:val="28"/>
        </w:rPr>
        <w:t>、违约责任</w:t>
      </w:r>
      <w:r>
        <w:tab/>
      </w:r>
      <w:r>
        <w:fldChar w:fldCharType="begin"/>
      </w:r>
      <w:r>
        <w:instrText xml:space="preserve"> PAGEREF _Toc29584 \h </w:instrText>
      </w:r>
      <w:r>
        <w:fldChar w:fldCharType="separate"/>
      </w:r>
      <w:r>
        <w:t>- 112 -</w:t>
      </w:r>
      <w:r>
        <w:fldChar w:fldCharType="end"/>
      </w:r>
      <w:r>
        <w:fldChar w:fldCharType="end"/>
      </w:r>
    </w:p>
    <w:p>
      <w:pPr>
        <w:pStyle w:val="21"/>
        <w:tabs>
          <w:tab w:val="right" w:leader="dot" w:pos="9354"/>
        </w:tabs>
      </w:pPr>
      <w:r>
        <w:fldChar w:fldCharType="begin"/>
      </w:r>
      <w:r>
        <w:instrText xml:space="preserve"> HYPERLINK \l _Toc31327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六</w:t>
      </w:r>
      <w:r>
        <w:rPr>
          <w:rFonts w:hint="eastAsia" w:ascii="黑体" w:hAnsi="宋体" w:eastAsia="黑体" w:cs="Times New Roman"/>
          <w:szCs w:val="28"/>
        </w:rPr>
        <w:t>、争议解决方式</w:t>
      </w:r>
      <w:r>
        <w:tab/>
      </w:r>
      <w:r>
        <w:fldChar w:fldCharType="begin"/>
      </w:r>
      <w:r>
        <w:instrText xml:space="preserve"> PAGEREF _Toc31327 \h </w:instrText>
      </w:r>
      <w:r>
        <w:fldChar w:fldCharType="separate"/>
      </w:r>
      <w:r>
        <w:t>- 112 -</w:t>
      </w:r>
      <w:r>
        <w:fldChar w:fldCharType="end"/>
      </w:r>
      <w:r>
        <w:fldChar w:fldCharType="end"/>
      </w:r>
    </w:p>
    <w:p>
      <w:pPr>
        <w:pStyle w:val="21"/>
        <w:tabs>
          <w:tab w:val="right" w:leader="dot" w:pos="9354"/>
        </w:tabs>
      </w:pPr>
      <w:r>
        <w:fldChar w:fldCharType="begin"/>
      </w:r>
      <w:r>
        <w:instrText xml:space="preserve"> HYPERLINK \l _Toc5354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七</w:t>
      </w:r>
      <w:r>
        <w:rPr>
          <w:rFonts w:hint="eastAsia" w:ascii="黑体" w:hAnsi="宋体" w:eastAsia="黑体" w:cs="Times New Roman"/>
          <w:szCs w:val="28"/>
        </w:rPr>
        <w:t>、其他约定事项</w:t>
      </w:r>
      <w:r>
        <w:tab/>
      </w:r>
      <w:r>
        <w:fldChar w:fldCharType="begin"/>
      </w:r>
      <w:r>
        <w:instrText xml:space="preserve"> PAGEREF _Toc5354 \h </w:instrText>
      </w:r>
      <w:r>
        <w:fldChar w:fldCharType="separate"/>
      </w:r>
      <w:r>
        <w:t>- 112 -</w:t>
      </w:r>
      <w:r>
        <w:fldChar w:fldCharType="end"/>
      </w:r>
      <w:r>
        <w:fldChar w:fldCharType="end"/>
      </w:r>
    </w:p>
    <w:p>
      <w:pPr>
        <w:pStyle w:val="21"/>
        <w:tabs>
          <w:tab w:val="right" w:leader="dot" w:pos="9354"/>
        </w:tabs>
      </w:pPr>
      <w:r>
        <w:fldChar w:fldCharType="begin"/>
      </w:r>
      <w:r>
        <w:instrText xml:space="preserve"> HYPERLINK \l _Toc20946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八</w:t>
      </w:r>
      <w:r>
        <w:rPr>
          <w:rFonts w:hint="eastAsia" w:ascii="黑体" w:hAnsi="宋体" w:eastAsia="黑体" w:cs="Times New Roman"/>
          <w:szCs w:val="28"/>
        </w:rPr>
        <w:t>、合同生效</w:t>
      </w:r>
      <w:r>
        <w:tab/>
      </w:r>
      <w:r>
        <w:fldChar w:fldCharType="begin"/>
      </w:r>
      <w:r>
        <w:instrText xml:space="preserve"> PAGEREF _Toc20946 \h </w:instrText>
      </w:r>
      <w:r>
        <w:fldChar w:fldCharType="separate"/>
      </w:r>
      <w:r>
        <w:t>- 113 -</w:t>
      </w:r>
      <w:r>
        <w:fldChar w:fldCharType="end"/>
      </w:r>
      <w:r>
        <w:fldChar w:fldCharType="end"/>
      </w:r>
    </w:p>
    <w:p>
      <w:pPr>
        <w:pStyle w:val="21"/>
        <w:tabs>
          <w:tab w:val="right" w:leader="dot" w:pos="9354"/>
        </w:tabs>
      </w:pPr>
      <w:r>
        <w:fldChar w:fldCharType="begin"/>
      </w:r>
      <w:r>
        <w:instrText xml:space="preserve"> HYPERLINK \l _Toc26929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九</w:t>
      </w:r>
      <w:r>
        <w:rPr>
          <w:rFonts w:hint="eastAsia" w:ascii="黑体" w:hAnsi="宋体" w:eastAsia="黑体" w:cs="Times New Roman"/>
          <w:szCs w:val="28"/>
        </w:rPr>
        <w:t>、合同附件</w:t>
      </w:r>
      <w:r>
        <w:tab/>
      </w:r>
      <w:r>
        <w:fldChar w:fldCharType="begin"/>
      </w:r>
      <w:r>
        <w:instrText xml:space="preserve"> PAGEREF _Toc26929 \h </w:instrText>
      </w:r>
      <w:r>
        <w:fldChar w:fldCharType="separate"/>
      </w:r>
      <w:r>
        <w:t>- 114 -</w:t>
      </w:r>
      <w:r>
        <w:fldChar w:fldCharType="end"/>
      </w:r>
      <w:r>
        <w:fldChar w:fldCharType="end"/>
      </w:r>
    </w:p>
    <w:p>
      <w:pPr>
        <w:pStyle w:val="35"/>
        <w:tabs>
          <w:tab w:val="right" w:leader="dot" w:pos="9354"/>
        </w:tabs>
      </w:pPr>
      <w:r>
        <w:fldChar w:fldCharType="begin"/>
      </w:r>
      <w:r>
        <w:instrText xml:space="preserve"> HYPERLINK \l _Toc7622 </w:instrText>
      </w:r>
      <w:r>
        <w:fldChar w:fldCharType="separate"/>
      </w:r>
      <w:r>
        <w:rPr>
          <w:rFonts w:hint="eastAsia" w:ascii="Arial" w:hAnsi="Arial" w:eastAsia="方正小标宋简体" w:cs="Times New Roman"/>
          <w:bCs/>
          <w:kern w:val="2"/>
          <w:szCs w:val="44"/>
          <w:lang w:val="zh-CN" w:eastAsia="zh-CN" w:bidi="ar-SA"/>
        </w:rPr>
        <w:t xml:space="preserve">第七章 </w:t>
      </w:r>
      <w:r>
        <w:rPr>
          <w:rFonts w:hint="eastAsia" w:ascii="Arial" w:hAnsi="Arial" w:eastAsia="方正小标宋简体" w:cs="Times New Roman"/>
          <w:bCs/>
          <w:kern w:val="2"/>
          <w:szCs w:val="44"/>
          <w:lang w:val="en-US" w:eastAsia="zh-CN" w:bidi="ar-SA"/>
        </w:rPr>
        <w:t>商务技术文件</w:t>
      </w:r>
      <w:r>
        <w:tab/>
      </w:r>
      <w:r>
        <w:fldChar w:fldCharType="begin"/>
      </w:r>
      <w:r>
        <w:instrText xml:space="preserve"> PAGEREF _Toc7622 \h </w:instrText>
      </w:r>
      <w:r>
        <w:fldChar w:fldCharType="separate"/>
      </w:r>
      <w:r>
        <w:t>- 115 -</w:t>
      </w:r>
      <w:r>
        <w:fldChar w:fldCharType="end"/>
      </w:r>
      <w:r>
        <w:fldChar w:fldCharType="end"/>
      </w:r>
    </w:p>
    <w:p>
      <w:pPr>
        <w:pStyle w:val="21"/>
        <w:tabs>
          <w:tab w:val="right" w:leader="dot" w:pos="9354"/>
        </w:tabs>
      </w:pPr>
      <w:r>
        <w:fldChar w:fldCharType="begin"/>
      </w:r>
      <w:r>
        <w:instrText xml:space="preserve"> HYPERLINK \l _Toc8478 </w:instrText>
      </w:r>
      <w:r>
        <w:fldChar w:fldCharType="separate"/>
      </w:r>
      <w:r>
        <w:rPr>
          <w:rFonts w:hint="eastAsia" w:ascii="黑体" w:hAnsi="黑体" w:eastAsia="黑体"/>
          <w:bCs/>
          <w:szCs w:val="28"/>
        </w:rPr>
        <w:t>附表1 资格性审查表</w:t>
      </w:r>
      <w:r>
        <w:tab/>
      </w:r>
      <w:r>
        <w:fldChar w:fldCharType="begin"/>
      </w:r>
      <w:r>
        <w:instrText xml:space="preserve"> PAGEREF _Toc8478 \h </w:instrText>
      </w:r>
      <w:r>
        <w:fldChar w:fldCharType="separate"/>
      </w:r>
      <w:r>
        <w:t>- 115 -</w:t>
      </w:r>
      <w:r>
        <w:fldChar w:fldCharType="end"/>
      </w:r>
      <w:r>
        <w:fldChar w:fldCharType="end"/>
      </w:r>
    </w:p>
    <w:p>
      <w:pPr>
        <w:pStyle w:val="21"/>
        <w:tabs>
          <w:tab w:val="right" w:leader="dot" w:pos="9354"/>
        </w:tabs>
      </w:pPr>
      <w:r>
        <w:fldChar w:fldCharType="begin"/>
      </w:r>
      <w:r>
        <w:instrText xml:space="preserve"> HYPERLINK \l _Toc16444 </w:instrText>
      </w:r>
      <w:r>
        <w:fldChar w:fldCharType="separate"/>
      </w:r>
      <w:r>
        <w:rPr>
          <w:rFonts w:hint="eastAsia" w:ascii="黑体" w:hAnsi="黑体" w:eastAsia="黑体"/>
          <w:bCs/>
          <w:szCs w:val="28"/>
        </w:rPr>
        <w:t>附表</w:t>
      </w:r>
      <w:r>
        <w:rPr>
          <w:rFonts w:ascii="黑体" w:hAnsi="黑体" w:eastAsia="黑体"/>
          <w:bCs/>
          <w:szCs w:val="28"/>
        </w:rPr>
        <w:t xml:space="preserve">2 </w:t>
      </w:r>
      <w:r>
        <w:rPr>
          <w:rFonts w:hint="eastAsia" w:ascii="黑体" w:hAnsi="黑体" w:eastAsia="黑体"/>
          <w:bCs/>
          <w:szCs w:val="28"/>
        </w:rPr>
        <w:t>符合性审查表</w:t>
      </w:r>
      <w:r>
        <w:tab/>
      </w:r>
      <w:r>
        <w:fldChar w:fldCharType="begin"/>
      </w:r>
      <w:r>
        <w:instrText xml:space="preserve"> PAGEREF _Toc16444 \h </w:instrText>
      </w:r>
      <w:r>
        <w:fldChar w:fldCharType="separate"/>
      </w:r>
      <w:r>
        <w:t>- 117 -</w:t>
      </w:r>
      <w:r>
        <w:fldChar w:fldCharType="end"/>
      </w:r>
      <w:r>
        <w:fldChar w:fldCharType="end"/>
      </w:r>
    </w:p>
    <w:p>
      <w:pPr>
        <w:pStyle w:val="21"/>
        <w:tabs>
          <w:tab w:val="right" w:leader="dot" w:pos="9354"/>
        </w:tabs>
      </w:pPr>
      <w:r>
        <w:fldChar w:fldCharType="begin"/>
      </w:r>
      <w:r>
        <w:instrText xml:space="preserve"> HYPERLINK \l _Toc542 </w:instrText>
      </w:r>
      <w:r>
        <w:fldChar w:fldCharType="separate"/>
      </w:r>
      <w:r>
        <w:rPr>
          <w:rFonts w:hint="eastAsia" w:ascii="黑体" w:hAnsi="黑体" w:eastAsia="黑体"/>
          <w:bCs/>
          <w:szCs w:val="28"/>
        </w:rPr>
        <w:t>附表</w:t>
      </w:r>
      <w:r>
        <w:rPr>
          <w:rFonts w:ascii="黑体" w:hAnsi="黑体" w:eastAsia="黑体"/>
          <w:bCs/>
          <w:szCs w:val="28"/>
        </w:rPr>
        <w:t xml:space="preserve">3 </w:t>
      </w:r>
      <w:r>
        <w:rPr>
          <w:rFonts w:hint="eastAsia" w:ascii="黑体" w:hAnsi="黑体" w:eastAsia="黑体"/>
          <w:bCs/>
          <w:szCs w:val="28"/>
        </w:rPr>
        <w:t>商务评审标准表</w:t>
      </w:r>
      <w:r>
        <w:tab/>
      </w:r>
      <w:r>
        <w:fldChar w:fldCharType="begin"/>
      </w:r>
      <w:r>
        <w:instrText xml:space="preserve"> PAGEREF _Toc542 \h </w:instrText>
      </w:r>
      <w:r>
        <w:fldChar w:fldCharType="separate"/>
      </w:r>
      <w:r>
        <w:t>- 118 -</w:t>
      </w:r>
      <w:r>
        <w:fldChar w:fldCharType="end"/>
      </w:r>
      <w:r>
        <w:fldChar w:fldCharType="end"/>
      </w:r>
    </w:p>
    <w:p>
      <w:pPr>
        <w:pStyle w:val="21"/>
        <w:tabs>
          <w:tab w:val="right" w:leader="dot" w:pos="9354"/>
        </w:tabs>
      </w:pPr>
      <w:r>
        <w:fldChar w:fldCharType="begin"/>
      </w:r>
      <w:r>
        <w:instrText xml:space="preserve"> HYPERLINK \l _Toc20150 </w:instrText>
      </w:r>
      <w:r>
        <w:fldChar w:fldCharType="separate"/>
      </w:r>
      <w:r>
        <w:rPr>
          <w:rFonts w:hint="eastAsia" w:ascii="黑体" w:hAnsi="黑体" w:eastAsia="黑体"/>
          <w:bCs/>
          <w:szCs w:val="28"/>
          <w:lang w:val="en-US" w:eastAsia="zh-CN"/>
        </w:rPr>
        <w:t>附表4 技术评审标准表</w:t>
      </w:r>
      <w:r>
        <w:tab/>
      </w:r>
      <w:r>
        <w:fldChar w:fldCharType="begin"/>
      </w:r>
      <w:r>
        <w:instrText xml:space="preserve"> PAGEREF _Toc20150 \h </w:instrText>
      </w:r>
      <w:r>
        <w:fldChar w:fldCharType="separate"/>
      </w:r>
      <w:r>
        <w:t>- 121 -</w:t>
      </w:r>
      <w:r>
        <w:fldChar w:fldCharType="end"/>
      </w:r>
      <w:r>
        <w:fldChar w:fldCharType="end"/>
      </w:r>
    </w:p>
    <w:p>
      <w:pPr>
        <w:pStyle w:val="35"/>
        <w:tabs>
          <w:tab w:val="right" w:leader="dot" w:pos="9354"/>
        </w:tabs>
      </w:pPr>
      <w:r>
        <w:fldChar w:fldCharType="begin"/>
      </w:r>
      <w:r>
        <w:instrText xml:space="preserve"> HYPERLINK \l _Toc8803 </w:instrText>
      </w:r>
      <w:r>
        <w:fldChar w:fldCharType="separate"/>
      </w:r>
      <w:r>
        <w:rPr>
          <w:rFonts w:hint="eastAsia" w:ascii="Arial" w:hAnsi="Arial" w:eastAsia="方正小标宋简体" w:cs="Times New Roman"/>
          <w:bCs/>
          <w:kern w:val="2"/>
          <w:szCs w:val="44"/>
          <w:lang w:val="en-US" w:eastAsia="zh-CN" w:bidi="ar-SA"/>
        </w:rPr>
        <w:t>第八章  投标文件内容及格式</w:t>
      </w:r>
      <w:r>
        <w:tab/>
      </w:r>
      <w:r>
        <w:fldChar w:fldCharType="begin"/>
      </w:r>
      <w:r>
        <w:instrText xml:space="preserve"> PAGEREF _Toc8803 \h </w:instrText>
      </w:r>
      <w:r>
        <w:fldChar w:fldCharType="separate"/>
      </w:r>
      <w:r>
        <w:t>- 124 -</w:t>
      </w:r>
      <w:r>
        <w:fldChar w:fldCharType="end"/>
      </w:r>
      <w:r>
        <w:fldChar w:fldCharType="end"/>
      </w:r>
    </w:p>
    <w:p>
      <w:r>
        <w:fldChar w:fldCharType="end"/>
      </w:r>
    </w:p>
    <w:p>
      <w:pPr>
        <w:pStyle w:val="22"/>
        <w:tabs>
          <w:tab w:val="right" w:leader="dot" w:pos="9660"/>
        </w:tabs>
        <w:adjustRightInd w:val="0"/>
        <w:snapToGrid w:val="0"/>
        <w:spacing w:line="560" w:lineRule="exact"/>
        <w:ind w:left="-69" w:leftChars="-95" w:hanging="130" w:hangingChars="62"/>
        <w:jc w:val="center"/>
        <w:rPr>
          <w:rFonts w:ascii="宋体" w:hAnsi="宋体" w:eastAsia="宋体"/>
          <w:bCs/>
          <w:szCs w:val="28"/>
        </w:rPr>
        <w:sectPr>
          <w:pgSz w:w="11906" w:h="16838"/>
          <w:pgMar w:top="1418" w:right="1134" w:bottom="1418" w:left="1418" w:header="851" w:footer="851" w:gutter="0"/>
          <w:pgNumType w:fmt="numberInDash" w:start="1"/>
          <w:cols w:space="720" w:num="1"/>
        </w:sectPr>
      </w:pPr>
      <w:r>
        <w:rPr>
          <w:rStyle w:val="48"/>
          <w:rFonts w:ascii="宋体" w:hAnsi="宋体" w:eastAsia="宋体"/>
          <w:bCs/>
          <w:szCs w:val="28"/>
        </w:rPr>
        <w:endnoteReference w:id="0"/>
      </w:r>
      <w:r>
        <w:rPr>
          <w:rFonts w:ascii="宋体" w:hAnsi="宋体" w:eastAsia="宋体"/>
          <w:bCs/>
          <w:szCs w:val="28"/>
        </w:rPr>
        <w:br w:type="page"/>
      </w:r>
    </w:p>
    <w:p>
      <w:pPr>
        <w:pStyle w:val="3"/>
        <w:keepNext w:val="0"/>
        <w:keepLines w:val="0"/>
        <w:adjustRightInd w:val="0"/>
        <w:snapToGrid w:val="0"/>
        <w:spacing w:line="560" w:lineRule="exact"/>
        <w:jc w:val="center"/>
        <w:outlineLvl w:val="1"/>
        <w:rPr>
          <w:b w:val="0"/>
          <w:szCs w:val="44"/>
        </w:rPr>
      </w:pPr>
      <w:bookmarkStart w:id="8" w:name="_Toc17163"/>
      <w:bookmarkStart w:id="9" w:name="_Toc27731"/>
      <w:bookmarkStart w:id="10" w:name="_Toc285612601"/>
      <w:bookmarkStart w:id="11" w:name="_Toc390713968"/>
      <w:bookmarkStart w:id="12" w:name="_Toc16893"/>
      <w:bookmarkStart w:id="13" w:name="_Toc112317766"/>
      <w:bookmarkStart w:id="14" w:name="_Toc29108"/>
      <w:bookmarkStart w:id="15" w:name="_Toc240432230"/>
      <w:bookmarkStart w:id="16" w:name="_Toc23099"/>
      <w:bookmarkStart w:id="17" w:name="_Toc8860"/>
      <w:bookmarkStart w:id="18" w:name="_Toc8586"/>
      <w:bookmarkStart w:id="19" w:name="_Toc25412"/>
      <w:bookmarkStart w:id="20" w:name="_Hlk112258849"/>
      <w:bookmarkStart w:id="21" w:name="_Toc19931"/>
      <w:bookmarkStart w:id="22" w:name="_Toc774"/>
      <w:bookmarkStart w:id="23" w:name="_Toc14712"/>
      <w:bookmarkStart w:id="24" w:name="_Toc112317783"/>
      <w:bookmarkStart w:id="25" w:name="_Toc13851"/>
      <w:bookmarkStart w:id="26" w:name="_Toc7455"/>
      <w:bookmarkStart w:id="27" w:name="第一部分"/>
      <w:r>
        <w:rPr>
          <w:rFonts w:hint="eastAsia"/>
          <w:b w:val="0"/>
          <w:szCs w:val="44"/>
          <w:lang w:val="zh-CN"/>
        </w:rPr>
        <w:t>第一章</w:t>
      </w:r>
      <w:r>
        <w:rPr>
          <w:b w:val="0"/>
          <w:szCs w:val="44"/>
          <w:lang w:val="zh-CN"/>
        </w:rPr>
        <w:t xml:space="preserve"> </w:t>
      </w:r>
      <w:r>
        <w:rPr>
          <w:rFonts w:hint="eastAsia"/>
          <w:b w:val="0"/>
          <w:szCs w:val="44"/>
          <w:lang w:val="zh-CN"/>
        </w:rPr>
        <w:t>投标供应商</w:t>
      </w:r>
      <w:r>
        <w:rPr>
          <w:rFonts w:hint="eastAsia"/>
          <w:b w:val="0"/>
          <w:szCs w:val="44"/>
        </w:rPr>
        <w:t>须知</w:t>
      </w:r>
      <w:bookmarkEnd w:id="8"/>
      <w:bookmarkEnd w:id="9"/>
      <w:bookmarkEnd w:id="10"/>
      <w:bookmarkEnd w:id="11"/>
      <w:bookmarkEnd w:id="12"/>
      <w:bookmarkEnd w:id="13"/>
      <w:bookmarkEnd w:id="14"/>
      <w:bookmarkEnd w:id="15"/>
      <w:bookmarkEnd w:id="16"/>
      <w:bookmarkEnd w:id="17"/>
      <w:bookmarkEnd w:id="18"/>
      <w:bookmarkEnd w:id="19"/>
    </w:p>
    <w:bookmarkEnd w:id="20"/>
    <w:p>
      <w:pPr>
        <w:pStyle w:val="5"/>
        <w:keepNext w:val="0"/>
        <w:keepLines w:val="0"/>
        <w:adjustRightInd w:val="0"/>
        <w:snapToGrid w:val="0"/>
        <w:spacing w:before="120" w:beforeLines="50" w:after="120" w:afterLines="50" w:line="560" w:lineRule="exact"/>
        <w:jc w:val="center"/>
        <w:rPr>
          <w:b w:val="0"/>
        </w:rPr>
      </w:pPr>
      <w:bookmarkStart w:id="28" w:name="_Toc1981"/>
      <w:bookmarkStart w:id="29" w:name="_Toc26018"/>
      <w:bookmarkStart w:id="30" w:name="_Toc29441"/>
      <w:bookmarkStart w:id="31" w:name="_Toc1813"/>
      <w:bookmarkStart w:id="32" w:name="_Toc112317767"/>
      <w:bookmarkStart w:id="33" w:name="_Toc29252"/>
      <w:bookmarkStart w:id="34" w:name="_Toc4472"/>
      <w:bookmarkStart w:id="35" w:name="_Toc10520"/>
      <w:r>
        <w:rPr>
          <w:rFonts w:hint="eastAsia"/>
          <w:b w:val="0"/>
        </w:rPr>
        <w:t>一、</w:t>
      </w:r>
      <w:r>
        <w:rPr>
          <w:b w:val="0"/>
        </w:rPr>
        <w:t xml:space="preserve">说  </w:t>
      </w:r>
      <w:r>
        <w:rPr>
          <w:rFonts w:hint="eastAsia"/>
          <w:b w:val="0"/>
        </w:rPr>
        <w:t>明</w:t>
      </w:r>
      <w:bookmarkEnd w:id="28"/>
      <w:bookmarkEnd w:id="29"/>
      <w:bookmarkEnd w:id="30"/>
      <w:bookmarkEnd w:id="31"/>
      <w:bookmarkEnd w:id="32"/>
      <w:bookmarkEnd w:id="33"/>
      <w:bookmarkEnd w:id="34"/>
      <w:bookmarkEnd w:id="35"/>
    </w:p>
    <w:p>
      <w:pPr>
        <w:pStyle w:val="6"/>
        <w:keepNext w:val="0"/>
        <w:keepLines w:val="0"/>
        <w:adjustRightInd w:val="0"/>
        <w:snapToGrid w:val="0"/>
        <w:ind w:firstLine="560" w:firstLineChars="200"/>
        <w:rPr>
          <w:rFonts w:ascii="黑体" w:hAnsi="黑体"/>
          <w:b w:val="0"/>
        </w:rPr>
      </w:pPr>
      <w:bookmarkStart w:id="36" w:name="_Toc12237"/>
      <w:bookmarkStart w:id="37" w:name="_Toc21244"/>
      <w:bookmarkStart w:id="38" w:name="_Toc4155"/>
      <w:bookmarkStart w:id="39" w:name="_Toc23696"/>
      <w:r>
        <w:rPr>
          <w:rFonts w:ascii="黑体" w:hAnsi="黑体"/>
          <w:b w:val="0"/>
        </w:rPr>
        <w:t>1</w:t>
      </w:r>
      <w:r>
        <w:rPr>
          <w:rFonts w:ascii="黑体" w:hAnsi="黑体"/>
          <w:b w:val="0"/>
          <w:snapToGrid w:val="0"/>
        </w:rPr>
        <w:t>.</w:t>
      </w:r>
      <w:r>
        <w:rPr>
          <w:rFonts w:ascii="黑体" w:hAnsi="黑体"/>
          <w:b w:val="0"/>
        </w:rPr>
        <w:t>概述</w:t>
      </w:r>
      <w:bookmarkEnd w:id="36"/>
      <w:bookmarkEnd w:id="37"/>
      <w:bookmarkEnd w:id="38"/>
      <w:bookmarkEnd w:id="39"/>
    </w:p>
    <w:p>
      <w:pPr>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1.1</w:t>
      </w:r>
      <w:r>
        <w:rPr>
          <w:rFonts w:hint="eastAsia" w:ascii="宋体" w:hAnsi="宋体"/>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pPr>
        <w:adjustRightInd w:val="0"/>
        <w:snapToGrid w:val="0"/>
        <w:spacing w:line="560" w:lineRule="exact"/>
        <w:ind w:firstLine="560" w:firstLineChars="200"/>
        <w:rPr>
          <w:rFonts w:ascii="宋体" w:hAnsi="宋体"/>
          <w:bCs/>
          <w:sz w:val="28"/>
          <w:szCs w:val="28"/>
        </w:rPr>
      </w:pPr>
      <w:r>
        <w:rPr>
          <w:rFonts w:hint="eastAsia" w:ascii="宋体" w:hAnsi="宋体"/>
          <w:bCs/>
          <w:snapToGrid w:val="0"/>
          <w:sz w:val="28"/>
          <w:szCs w:val="28"/>
        </w:rPr>
        <w:t>1</w:t>
      </w:r>
      <w:r>
        <w:rPr>
          <w:rFonts w:ascii="宋体" w:hAnsi="宋体"/>
          <w:bCs/>
          <w:snapToGrid w:val="0"/>
          <w:sz w:val="28"/>
          <w:szCs w:val="28"/>
        </w:rPr>
        <w:t>.2</w:t>
      </w:r>
      <w:r>
        <w:rPr>
          <w:rFonts w:hint="eastAsia" w:ascii="宋体" w:hAnsi="宋体"/>
          <w:bCs/>
          <w:snapToGrid w:val="0"/>
          <w:sz w:val="28"/>
          <w:szCs w:val="28"/>
        </w:rPr>
        <w:t>招标投标各参加方，对在参与招标投标过程中获悉的国家、军队和商业秘密，以及其他依法应当保密的内容，均负有保密义务，违者应当承担相应的法律责任。</w:t>
      </w:r>
    </w:p>
    <w:p>
      <w:pPr>
        <w:pStyle w:val="6"/>
        <w:keepNext w:val="0"/>
        <w:keepLines w:val="0"/>
        <w:adjustRightInd w:val="0"/>
        <w:snapToGrid w:val="0"/>
        <w:ind w:firstLine="560" w:firstLineChars="200"/>
        <w:rPr>
          <w:rFonts w:ascii="黑体" w:hAnsi="黑体"/>
          <w:b w:val="0"/>
        </w:rPr>
      </w:pPr>
      <w:bookmarkStart w:id="40" w:name="_Toc14495"/>
      <w:bookmarkStart w:id="41" w:name="_Toc15196"/>
      <w:bookmarkStart w:id="42" w:name="_Toc4805"/>
      <w:bookmarkStart w:id="43" w:name="_Toc5916"/>
      <w:r>
        <w:rPr>
          <w:rFonts w:ascii="黑体" w:hAnsi="黑体"/>
          <w:b w:val="0"/>
        </w:rPr>
        <w:t>2.定义</w:t>
      </w:r>
      <w:bookmarkEnd w:id="40"/>
      <w:bookmarkEnd w:id="41"/>
      <w:bookmarkEnd w:id="42"/>
      <w:bookmarkEnd w:id="43"/>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指本招标文件描述的所需采购的物资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指组织本次招标的采购机构</w:t>
      </w:r>
      <w:r>
        <w:rPr>
          <w:rFonts w:hint="eastAsia" w:ascii="宋体" w:hAnsi="宋体"/>
          <w:bCs/>
          <w:snapToGrid w:val="0"/>
          <w:sz w:val="28"/>
          <w:szCs w:val="28"/>
        </w:rPr>
        <w:t>或代理机构。</w:t>
      </w:r>
    </w:p>
    <w:p>
      <w:pPr>
        <w:adjustRightInd w:val="0"/>
        <w:snapToGrid w:val="0"/>
        <w:spacing w:line="560" w:lineRule="exact"/>
        <w:ind w:firstLine="560" w:firstLineChars="200"/>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44" w:name="_Hlk112421795"/>
      <w:r>
        <w:rPr>
          <w:rFonts w:hint="eastAsia" w:ascii="宋体" w:hAnsi="宋体"/>
          <w:bCs/>
          <w:snapToGrid w:val="0"/>
          <w:sz w:val="28"/>
          <w:szCs w:val="28"/>
        </w:rPr>
        <w:t>预</w:t>
      </w:r>
      <w:r>
        <w:rPr>
          <w:rFonts w:ascii="宋体" w:hAnsi="宋体"/>
          <w:bCs/>
          <w:snapToGrid w:val="0"/>
          <w:sz w:val="28"/>
          <w:szCs w:val="28"/>
        </w:rPr>
        <w:t>中标供应商</w:t>
      </w:r>
      <w:bookmarkEnd w:id="44"/>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2.6“中标供应商”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bookmarkStart w:id="45" w:name="_Hlk112351339"/>
      <w:bookmarkStart w:id="46" w:name="_Hlk112259183"/>
      <w:r>
        <w:rPr>
          <w:rFonts w:hint="eastAsia" w:ascii="宋体" w:hAnsi="宋体"/>
          <w:bCs/>
          <w:snapToGrid w:val="0"/>
          <w:sz w:val="28"/>
          <w:szCs w:val="28"/>
          <w:lang w:val="zh-CN"/>
        </w:rPr>
        <w:t>获得合同签订资格</w:t>
      </w:r>
      <w:bookmarkEnd w:id="45"/>
      <w:r>
        <w:rPr>
          <w:rFonts w:ascii="宋体" w:hAnsi="宋体"/>
          <w:bCs/>
          <w:snapToGrid w:val="0"/>
          <w:sz w:val="28"/>
          <w:szCs w:val="28"/>
          <w:lang w:val="zh-CN"/>
        </w:rPr>
        <w:t>的投标供应商</w:t>
      </w:r>
      <w:bookmarkEnd w:id="46"/>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w:t>
      </w:r>
      <w:r>
        <w:rPr>
          <w:rFonts w:hint="eastAsia" w:ascii="宋体" w:hAnsi="宋体"/>
          <w:bCs/>
          <w:snapToGrid w:val="0"/>
          <w:sz w:val="28"/>
          <w:szCs w:val="28"/>
        </w:rPr>
        <w:t>物资</w:t>
      </w:r>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指中标供应商按招标文件规定，提供的各种形态和种类的物品，包括设备、产品、备品备件、工具、手册等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指中标供应商按招标文件规定，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6"/>
        <w:keepNext w:val="0"/>
        <w:keepLines w:val="0"/>
        <w:adjustRightInd w:val="0"/>
        <w:snapToGrid w:val="0"/>
        <w:ind w:firstLine="560" w:firstLineChars="200"/>
        <w:rPr>
          <w:rFonts w:ascii="黑体" w:hAnsi="黑体"/>
          <w:b w:val="0"/>
        </w:rPr>
      </w:pPr>
      <w:bookmarkStart w:id="47" w:name="_Toc20918"/>
      <w:bookmarkStart w:id="48" w:name="_Toc24817"/>
      <w:bookmarkStart w:id="49" w:name="_Toc6915"/>
      <w:bookmarkStart w:id="50" w:name="_Toc30001"/>
      <w:r>
        <w:rPr>
          <w:rFonts w:ascii="黑体" w:hAnsi="黑体"/>
          <w:b w:val="0"/>
        </w:rPr>
        <w:t>3.合格的投标供应商</w:t>
      </w:r>
      <w:bookmarkEnd w:id="47"/>
      <w:bookmarkEnd w:id="48"/>
      <w:bookmarkEnd w:id="49"/>
      <w:bookmarkEnd w:id="50"/>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3.1能够遵守国家和军队的有关法律、法规和本次招标的有关规定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rPr>
        <w:t>所述的投标供应商资格条件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3.3能够承担投标</w:t>
      </w:r>
      <w:r>
        <w:rPr>
          <w:rFonts w:hint="eastAsia" w:ascii="宋体" w:hAnsi="宋体"/>
          <w:bCs/>
          <w:snapToGrid w:val="0"/>
          <w:sz w:val="28"/>
          <w:szCs w:val="28"/>
        </w:rPr>
        <w:t>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6"/>
        <w:keepNext w:val="0"/>
        <w:keepLines w:val="0"/>
        <w:adjustRightInd w:val="0"/>
        <w:snapToGrid w:val="0"/>
        <w:ind w:firstLine="560" w:firstLineChars="200"/>
        <w:rPr>
          <w:rFonts w:ascii="黑体" w:hAnsi="黑体"/>
          <w:b w:val="0"/>
        </w:rPr>
      </w:pPr>
      <w:bookmarkStart w:id="51" w:name="_Toc31193"/>
      <w:bookmarkStart w:id="52" w:name="_Toc22457"/>
      <w:bookmarkStart w:id="53" w:name="_Toc16827"/>
      <w:bookmarkStart w:id="54" w:name="_Toc385"/>
      <w:r>
        <w:rPr>
          <w:rFonts w:ascii="黑体" w:hAnsi="黑体"/>
          <w:b w:val="0"/>
        </w:rPr>
        <w:t>4.</w:t>
      </w:r>
      <w:r>
        <w:rPr>
          <w:rFonts w:hint="eastAsia" w:ascii="黑体" w:hAnsi="黑体"/>
          <w:b w:val="0"/>
        </w:rPr>
        <w:t>合格的物资及其相关服务</w:t>
      </w:r>
      <w:bookmarkEnd w:id="51"/>
      <w:bookmarkEnd w:id="52"/>
      <w:bookmarkEnd w:id="53"/>
      <w:bookmarkEnd w:id="54"/>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w:t>
      </w:r>
      <w:r>
        <w:rPr>
          <w:rFonts w:hint="eastAsia" w:ascii="宋体" w:hAnsi="宋体"/>
          <w:bCs/>
          <w:snapToGrid w:val="0"/>
          <w:sz w:val="28"/>
          <w:szCs w:val="28"/>
        </w:rPr>
        <w:t>.</w:t>
      </w:r>
      <w:r>
        <w:rPr>
          <w:rFonts w:ascii="宋体" w:hAnsi="宋体"/>
          <w:bCs/>
          <w:snapToGrid w:val="0"/>
          <w:sz w:val="28"/>
          <w:szCs w:val="28"/>
        </w:rPr>
        <w:t>1投标供应商对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4.2投标供应商提供的物资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未使用过的，物资和相关服务应当符合招标文件要求。</w:t>
      </w:r>
    </w:p>
    <w:p>
      <w:pPr>
        <w:pStyle w:val="6"/>
        <w:keepNext w:val="0"/>
        <w:keepLines w:val="0"/>
        <w:adjustRightInd w:val="0"/>
        <w:snapToGrid w:val="0"/>
        <w:ind w:firstLine="560" w:firstLineChars="200"/>
        <w:rPr>
          <w:rFonts w:ascii="黑体" w:hAnsi="黑体"/>
          <w:b w:val="0"/>
        </w:rPr>
      </w:pPr>
      <w:bookmarkStart w:id="55" w:name="_Toc32694"/>
      <w:bookmarkStart w:id="56" w:name="_Toc14319"/>
      <w:bookmarkStart w:id="57" w:name="_Toc19329"/>
      <w:bookmarkStart w:id="58" w:name="_Toc26490"/>
      <w:r>
        <w:rPr>
          <w:rFonts w:ascii="黑体" w:hAnsi="黑体"/>
          <w:b w:val="0"/>
        </w:rPr>
        <w:t>5.</w:t>
      </w:r>
      <w:r>
        <w:rPr>
          <w:rFonts w:hint="eastAsia" w:ascii="黑体" w:hAnsi="黑体"/>
          <w:b w:val="0"/>
        </w:rPr>
        <w:t>投标委托</w:t>
      </w:r>
      <w:bookmarkEnd w:id="55"/>
      <w:bookmarkEnd w:id="56"/>
      <w:bookmarkEnd w:id="57"/>
      <w:bookmarkEnd w:id="58"/>
    </w:p>
    <w:p>
      <w:pPr>
        <w:adjustRightInd w:val="0"/>
        <w:snapToGrid w:val="0"/>
        <w:spacing w:line="560" w:lineRule="exact"/>
        <w:ind w:firstLine="560" w:firstLineChars="200"/>
        <w:rPr>
          <w:rFonts w:asciiTheme="majorEastAsia" w:hAnsiTheme="majorEastAsia" w:eastAsiaTheme="majorEastAsia"/>
          <w:bCs/>
          <w:snapToGrid w:val="0"/>
          <w:sz w:val="28"/>
          <w:szCs w:val="28"/>
          <w:highlight w:val="none"/>
        </w:rPr>
      </w:pPr>
      <w:r>
        <w:rPr>
          <w:rFonts w:asciiTheme="majorEastAsia" w:hAnsiTheme="majorEastAsia" w:eastAsiaTheme="majorEastAsia"/>
          <w:bCs/>
          <w:snapToGrid w:val="0"/>
          <w:sz w:val="28"/>
          <w:szCs w:val="28"/>
        </w:rPr>
        <w:t>5.1</w:t>
      </w:r>
      <w:r>
        <w:rPr>
          <w:rFonts w:hint="eastAsia" w:asciiTheme="majorEastAsia" w:hAnsiTheme="majorEastAsia" w:eastAsiaTheme="majorEastAsia"/>
          <w:bCs/>
          <w:snapToGrid w:val="0"/>
          <w:sz w:val="28"/>
          <w:szCs w:val="28"/>
        </w:rPr>
        <w:t>如投标供应商</w:t>
      </w:r>
      <w:r>
        <w:rPr>
          <w:rFonts w:hint="eastAsia" w:asciiTheme="majorEastAsia" w:hAnsiTheme="majorEastAsia" w:eastAsiaTheme="majorEastAsia"/>
          <w:bCs/>
          <w:snapToGrid w:val="0"/>
          <w:sz w:val="28"/>
          <w:szCs w:val="28"/>
          <w:highlight w:val="none"/>
        </w:rPr>
        <w:t>代表不是法定代表人，应当在投标文件中提供《法定代表人授权书》，后附授权代表在投标前</w:t>
      </w:r>
      <w:r>
        <w:rPr>
          <w:rFonts w:asciiTheme="majorEastAsia" w:hAnsiTheme="majorEastAsia" w:eastAsiaTheme="majorEastAsia"/>
          <w:bCs/>
          <w:snapToGrid w:val="0"/>
          <w:sz w:val="28"/>
          <w:szCs w:val="28"/>
          <w:highlight w:val="none"/>
        </w:rPr>
        <w:t>4</w:t>
      </w:r>
      <w:r>
        <w:rPr>
          <w:rFonts w:hint="eastAsia" w:asciiTheme="majorEastAsia" w:hAnsiTheme="majorEastAsia" w:eastAsiaTheme="majorEastAsia"/>
          <w:bCs/>
          <w:snapToGrid w:val="0"/>
          <w:sz w:val="28"/>
          <w:szCs w:val="28"/>
          <w:highlight w:val="none"/>
        </w:rPr>
        <w:t>个月内（不含投标当月）连续</w:t>
      </w:r>
      <w:r>
        <w:rPr>
          <w:rFonts w:asciiTheme="majorEastAsia" w:hAnsiTheme="majorEastAsia" w:eastAsiaTheme="majorEastAsia"/>
          <w:bCs/>
          <w:snapToGrid w:val="0"/>
          <w:sz w:val="28"/>
          <w:szCs w:val="28"/>
          <w:highlight w:val="none"/>
        </w:rPr>
        <w:t>3</w:t>
      </w:r>
      <w:r>
        <w:rPr>
          <w:rFonts w:hint="eastAsia" w:asciiTheme="majorEastAsia" w:hAnsiTheme="majorEastAsia" w:eastAsiaTheme="majorEastAsia"/>
          <w:bCs/>
          <w:snapToGrid w:val="0"/>
          <w:sz w:val="28"/>
          <w:szCs w:val="28"/>
          <w:highlight w:val="none"/>
        </w:rPr>
        <w:t>个月由投标供应商缴纳社保证明材料。代缴社保证明材料不予认可。</w:t>
      </w:r>
    </w:p>
    <w:p>
      <w:pPr>
        <w:pStyle w:val="6"/>
        <w:keepNext w:val="0"/>
        <w:keepLines w:val="0"/>
        <w:adjustRightInd w:val="0"/>
        <w:snapToGrid w:val="0"/>
        <w:ind w:firstLine="560" w:firstLineChars="200"/>
        <w:rPr>
          <w:rFonts w:ascii="黑体" w:hAnsi="黑体"/>
          <w:b w:val="0"/>
          <w:highlight w:val="none"/>
        </w:rPr>
      </w:pPr>
      <w:bookmarkStart w:id="59" w:name="_Toc8712"/>
      <w:bookmarkStart w:id="60" w:name="_Toc18715"/>
      <w:bookmarkStart w:id="61" w:name="_Toc9227"/>
      <w:bookmarkStart w:id="62" w:name="_Toc19327"/>
      <w:r>
        <w:rPr>
          <w:rFonts w:ascii="黑体" w:hAnsi="黑体"/>
          <w:b w:val="0"/>
          <w:highlight w:val="none"/>
        </w:rPr>
        <w:t>6.</w:t>
      </w:r>
      <w:r>
        <w:rPr>
          <w:rFonts w:hint="eastAsia" w:ascii="黑体" w:hAnsi="黑体"/>
          <w:b w:val="0"/>
          <w:highlight w:val="none"/>
        </w:rPr>
        <w:t>投标费用</w:t>
      </w:r>
      <w:bookmarkEnd w:id="59"/>
      <w:bookmarkEnd w:id="60"/>
      <w:bookmarkEnd w:id="61"/>
      <w:bookmarkEnd w:id="62"/>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6.1</w:t>
      </w:r>
      <w:r>
        <w:rPr>
          <w:rFonts w:hint="eastAsia" w:ascii="宋体" w:hAnsi="宋体"/>
          <w:bCs/>
          <w:snapToGrid w:val="0"/>
          <w:sz w:val="28"/>
          <w:szCs w:val="28"/>
        </w:rPr>
        <w:t>无论投标结果如何，投标供应商均应当自行承担准备和参加投标相关的全部费用。</w:t>
      </w:r>
      <w:bookmarkStart w:id="63" w:name="_Toc112317768"/>
    </w:p>
    <w:p>
      <w:pPr>
        <w:pStyle w:val="6"/>
        <w:keepNext w:val="0"/>
        <w:keepLines w:val="0"/>
        <w:adjustRightInd w:val="0"/>
        <w:snapToGrid w:val="0"/>
        <w:ind w:firstLine="560" w:firstLineChars="200"/>
        <w:rPr>
          <w:rFonts w:ascii="黑体" w:hAnsi="黑体"/>
          <w:b w:val="0"/>
        </w:rPr>
      </w:pPr>
      <w:bookmarkStart w:id="64" w:name="_Toc3327"/>
      <w:bookmarkStart w:id="65" w:name="_Toc21299"/>
      <w:bookmarkStart w:id="66" w:name="_Toc28246"/>
      <w:bookmarkStart w:id="67" w:name="_Toc27134"/>
      <w:r>
        <w:rPr>
          <w:rFonts w:ascii="黑体" w:hAnsi="黑体"/>
          <w:b w:val="0"/>
        </w:rPr>
        <w:t>7.</w:t>
      </w:r>
      <w:r>
        <w:rPr>
          <w:rFonts w:hint="eastAsia" w:ascii="黑体" w:hAnsi="黑体"/>
          <w:b w:val="0"/>
        </w:rPr>
        <w:t>组织现场踏勘或召开标前答疑会</w:t>
      </w:r>
      <w:bookmarkEnd w:id="64"/>
      <w:bookmarkEnd w:id="65"/>
      <w:bookmarkEnd w:id="66"/>
      <w:bookmarkEnd w:id="67"/>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【投标供应商须知前附表】明确的招标文件申领时间截止后，组织已获取招标文件的投标供应商现场踏勘或召开标前答疑会。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申领招标文件的供应商</w:t>
      </w:r>
      <w:r>
        <w:rPr>
          <w:rFonts w:hint="eastAsia" w:asciiTheme="minorEastAsia" w:hAnsiTheme="minorEastAsia" w:eastAsiaTheme="minorEastAsia"/>
          <w:bCs/>
          <w:sz w:val="28"/>
          <w:szCs w:val="28"/>
        </w:rPr>
        <w:t>按【投标供应商须知前附表】明确的要求参加现场踏勘或标前答疑会；如不参加，风险自行承担。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7.3投标供应商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pStyle w:val="155"/>
        <w:spacing w:before="0" w:beforeAutospacing="0" w:after="0" w:afterAutospacing="0" w:line="560" w:lineRule="exact"/>
        <w:ind w:firstLine="560" w:firstLineChars="200"/>
        <w:rPr>
          <w:bCs/>
          <w:sz w:val="28"/>
          <w:szCs w:val="28"/>
        </w:rPr>
      </w:pPr>
      <w:r>
        <w:rPr>
          <w:rFonts w:asciiTheme="minorEastAsia" w:hAnsiTheme="minorEastAsia" w:eastAsiaTheme="minorEastAsia"/>
          <w:bCs/>
          <w:sz w:val="28"/>
          <w:szCs w:val="28"/>
        </w:rPr>
        <w:t>7.4</w:t>
      </w:r>
      <w:r>
        <w:rPr>
          <w:bCs/>
          <w:sz w:val="28"/>
          <w:szCs w:val="28"/>
        </w:rPr>
        <w:t>采购机构不对</w:t>
      </w:r>
      <w:r>
        <w:rPr>
          <w:rStyle w:val="156"/>
          <w:rFonts w:hint="default" w:ascii="宋体" w:hAnsi="宋体" w:eastAsia="宋体" w:cs="Arial"/>
          <w:sz w:val="28"/>
          <w:szCs w:val="28"/>
        </w:rPr>
        <w:t>招标文件或最终书面答复之外，投标供应商自行得出的推论、理解和结论</w:t>
      </w:r>
      <w:r>
        <w:rPr>
          <w:bCs/>
          <w:sz w:val="28"/>
          <w:szCs w:val="28"/>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bCs/>
          <w:sz w:val="28"/>
          <w:szCs w:val="28"/>
        </w:rPr>
        <w:t>一旦中标，不得以任何借口，提出额外补偿或延长合同期限</w:t>
      </w:r>
      <w:r>
        <w:rPr>
          <w:rFonts w:hint="eastAsia"/>
          <w:bCs/>
          <w:sz w:val="28"/>
          <w:szCs w:val="28"/>
        </w:rPr>
        <w:t>等不合理</w:t>
      </w:r>
      <w:r>
        <w:rPr>
          <w:bCs/>
          <w:sz w:val="28"/>
          <w:szCs w:val="28"/>
        </w:rPr>
        <w:t>要求。</w:t>
      </w:r>
    </w:p>
    <w:p>
      <w:pPr>
        <w:pStyle w:val="6"/>
        <w:keepNext w:val="0"/>
        <w:keepLines w:val="0"/>
        <w:adjustRightInd w:val="0"/>
        <w:snapToGrid w:val="0"/>
        <w:ind w:firstLine="560" w:firstLineChars="200"/>
        <w:rPr>
          <w:rFonts w:ascii="黑体" w:hAnsi="黑体"/>
          <w:b w:val="0"/>
        </w:rPr>
      </w:pPr>
      <w:bookmarkStart w:id="68" w:name="_Toc3251"/>
      <w:bookmarkStart w:id="69" w:name="_Toc22602"/>
      <w:bookmarkStart w:id="70" w:name="_Toc27257"/>
      <w:bookmarkStart w:id="71" w:name="_Toc15865"/>
      <w:r>
        <w:rPr>
          <w:rFonts w:ascii="黑体" w:hAnsi="黑体"/>
          <w:b w:val="0"/>
        </w:rPr>
        <w:t>8.</w:t>
      </w:r>
      <w:r>
        <w:rPr>
          <w:rFonts w:hint="eastAsia" w:ascii="黑体" w:hAnsi="黑体"/>
          <w:b w:val="0"/>
        </w:rPr>
        <w:t>信息发布及媒体</w:t>
      </w:r>
      <w:bookmarkEnd w:id="68"/>
      <w:bookmarkEnd w:id="69"/>
      <w:bookmarkEnd w:id="70"/>
      <w:bookmarkEnd w:id="71"/>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72" w:name="_Hlk112497301"/>
      <w:r>
        <w:rPr>
          <w:rFonts w:hint="eastAsia" w:asciiTheme="minorEastAsia" w:hAnsiTheme="minorEastAsia" w:eastAsiaTheme="minorEastAsia"/>
          <w:bCs/>
          <w:sz w:val="28"/>
          <w:szCs w:val="28"/>
        </w:rPr>
        <w:t>【投标供应商须知前附表】明确的</w:t>
      </w:r>
      <w:bookmarkStart w:id="73" w:name="_Hlk112508361"/>
      <w:r>
        <w:rPr>
          <w:rFonts w:ascii="宋体" w:hAnsi="宋体"/>
          <w:bCs/>
          <w:snapToGrid w:val="0"/>
          <w:sz w:val="28"/>
          <w:szCs w:val="28"/>
        </w:rPr>
        <w:t>媒体</w:t>
      </w:r>
      <w:bookmarkEnd w:id="72"/>
      <w:bookmarkEnd w:id="73"/>
      <w:r>
        <w:rPr>
          <w:rFonts w:ascii="宋体" w:hAnsi="宋体"/>
          <w:bCs/>
          <w:snapToGrid w:val="0"/>
          <w:sz w:val="28"/>
          <w:szCs w:val="28"/>
        </w:rPr>
        <w:t>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p>
    <w:p>
      <w:pPr>
        <w:pStyle w:val="5"/>
        <w:keepNext w:val="0"/>
        <w:keepLines w:val="0"/>
        <w:adjustRightInd w:val="0"/>
        <w:snapToGrid w:val="0"/>
        <w:spacing w:before="120" w:beforeLines="50" w:after="120" w:afterLines="50" w:line="560" w:lineRule="exact"/>
        <w:jc w:val="center"/>
        <w:rPr>
          <w:b w:val="0"/>
        </w:rPr>
      </w:pPr>
      <w:bookmarkStart w:id="74" w:name="_Toc12848"/>
      <w:bookmarkStart w:id="75" w:name="_Toc20584"/>
      <w:bookmarkStart w:id="76" w:name="_Toc2754"/>
      <w:bookmarkStart w:id="77" w:name="_Toc19582"/>
      <w:bookmarkStart w:id="78" w:name="_Toc28255"/>
      <w:bookmarkStart w:id="79" w:name="_Toc29362"/>
      <w:bookmarkStart w:id="80" w:name="_Toc21017"/>
      <w:r>
        <w:rPr>
          <w:rFonts w:hint="eastAsia"/>
          <w:b w:val="0"/>
        </w:rPr>
        <w:t>二、招标文件</w:t>
      </w:r>
      <w:bookmarkEnd w:id="63"/>
      <w:bookmarkEnd w:id="74"/>
      <w:bookmarkEnd w:id="75"/>
      <w:bookmarkEnd w:id="76"/>
      <w:bookmarkEnd w:id="77"/>
      <w:r>
        <w:rPr>
          <w:rFonts w:hint="eastAsia"/>
          <w:b w:val="0"/>
        </w:rPr>
        <w:t>的内容及澄清与修改</w:t>
      </w:r>
      <w:bookmarkEnd w:id="78"/>
      <w:bookmarkEnd w:id="79"/>
      <w:bookmarkEnd w:id="80"/>
    </w:p>
    <w:p>
      <w:pPr>
        <w:pStyle w:val="6"/>
        <w:keepNext w:val="0"/>
        <w:keepLines w:val="0"/>
        <w:adjustRightInd w:val="0"/>
        <w:snapToGrid w:val="0"/>
        <w:ind w:firstLine="560" w:firstLineChars="200"/>
        <w:rPr>
          <w:rFonts w:ascii="黑体" w:hAnsi="黑体"/>
          <w:b w:val="0"/>
        </w:rPr>
      </w:pPr>
      <w:bookmarkStart w:id="81" w:name="_Toc19910"/>
      <w:bookmarkStart w:id="82" w:name="_Toc28585"/>
      <w:bookmarkStart w:id="83" w:name="_Toc3578"/>
      <w:bookmarkStart w:id="84" w:name="_Toc1093"/>
      <w:r>
        <w:rPr>
          <w:rFonts w:ascii="黑体" w:hAnsi="黑体"/>
          <w:b w:val="0"/>
        </w:rPr>
        <w:t>9.</w:t>
      </w:r>
      <w:r>
        <w:rPr>
          <w:rFonts w:hint="eastAsia" w:ascii="黑体" w:hAnsi="黑体"/>
          <w:b w:val="0"/>
        </w:rPr>
        <w:t>招标文件的内容</w:t>
      </w:r>
      <w:bookmarkEnd w:id="81"/>
      <w:bookmarkEnd w:id="82"/>
      <w:bookmarkEnd w:id="83"/>
      <w:bookmarkEnd w:id="84"/>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9.1</w:t>
      </w:r>
      <w:r>
        <w:rPr>
          <w:rFonts w:hint="eastAsia" w:ascii="宋体" w:hAnsi="宋体"/>
          <w:bCs/>
          <w:sz w:val="28"/>
          <w:szCs w:val="28"/>
        </w:rPr>
        <w:t>招标文件由特别提示、通用文件和专用文件3部分组成，通用文件载明军队物资类公开招标项目的一般性说明，专用文件载明本项目特定条件和要求。通用文件与专用文件内容不一致的，以专用文件为准。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6"/>
        <w:keepNext w:val="0"/>
        <w:keepLines w:val="0"/>
        <w:adjustRightInd w:val="0"/>
        <w:snapToGrid w:val="0"/>
        <w:ind w:firstLine="560" w:firstLineChars="200"/>
        <w:rPr>
          <w:rFonts w:ascii="黑体" w:hAnsi="黑体"/>
          <w:b w:val="0"/>
        </w:rPr>
      </w:pPr>
      <w:bookmarkStart w:id="85" w:name="_Toc22181"/>
      <w:bookmarkStart w:id="86" w:name="_Toc8853"/>
      <w:bookmarkStart w:id="87" w:name="_Toc20436"/>
      <w:bookmarkStart w:id="88" w:name="_Toc24177"/>
      <w:r>
        <w:rPr>
          <w:rFonts w:ascii="黑体" w:hAnsi="黑体"/>
          <w:b w:val="0"/>
        </w:rPr>
        <w:t>10</w:t>
      </w:r>
      <w:r>
        <w:rPr>
          <w:rFonts w:hint="eastAsia" w:ascii="黑体" w:hAnsi="黑体"/>
          <w:b w:val="0"/>
        </w:rPr>
        <w:t>.招标文件的澄清</w:t>
      </w:r>
      <w:bookmarkEnd w:id="85"/>
      <w:bookmarkEnd w:id="86"/>
      <w:bookmarkEnd w:id="87"/>
      <w:bookmarkEnd w:id="88"/>
      <w:r>
        <w:rPr>
          <w:rFonts w:hint="eastAsia" w:ascii="黑体" w:hAnsi="黑体"/>
          <w:b w:val="0"/>
        </w:rPr>
        <w:t>与修改</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10.1供应商对招标文件如有疑问要求澄清，应当在</w:t>
      </w:r>
      <w:r>
        <w:rPr>
          <w:rFonts w:hint="eastAsia" w:asciiTheme="minorEastAsia" w:hAnsiTheme="minorEastAsia" w:eastAsiaTheme="minorEastAsia"/>
          <w:bCs/>
          <w:sz w:val="28"/>
          <w:szCs w:val="28"/>
        </w:rPr>
        <w:t>【投标供应商须知前附表】</w:t>
      </w:r>
      <w:r>
        <w:rPr>
          <w:rFonts w:hint="eastAsia" w:ascii="宋体" w:hAnsi="宋体"/>
          <w:bCs/>
          <w:snapToGrid w:val="0"/>
          <w:sz w:val="28"/>
          <w:szCs w:val="28"/>
          <w:lang w:val="zh-CN"/>
        </w:rPr>
        <w:t>明</w:t>
      </w:r>
      <w:r>
        <w:rPr>
          <w:rFonts w:hint="eastAsia" w:ascii="宋体" w:hAnsi="宋体"/>
          <w:bCs/>
          <w:snapToGrid w:val="0"/>
          <w:sz w:val="28"/>
          <w:szCs w:val="28"/>
          <w:highlight w:val="none"/>
          <w:lang w:val="zh-CN"/>
        </w:rPr>
        <w:t>确的</w:t>
      </w:r>
      <w:r>
        <w:rPr>
          <w:rFonts w:ascii="宋体" w:hAnsi="宋体"/>
          <w:bCs/>
          <w:sz w:val="28"/>
          <w:szCs w:val="28"/>
          <w:highlight w:val="none"/>
        </w:rPr>
        <w:t>投标截止时间10日前以书面形式通知采购机构，采购机构视情以适当方式予以澄清。如有必要，在不标明问题来源情况下，采购机构可将答复内容以</w:t>
      </w:r>
      <w:r>
        <w:rPr>
          <w:rFonts w:hint="eastAsia" w:ascii="宋体" w:hAnsi="宋体"/>
          <w:bCs/>
          <w:sz w:val="28"/>
          <w:szCs w:val="28"/>
          <w:highlight w:val="none"/>
        </w:rPr>
        <w:t>公告或</w:t>
      </w:r>
      <w:r>
        <w:rPr>
          <w:rFonts w:ascii="宋体" w:hAnsi="宋体"/>
          <w:bCs/>
          <w:sz w:val="28"/>
          <w:szCs w:val="28"/>
          <w:highlight w:val="none"/>
        </w:rPr>
        <w:t>书面形式通知所有</w:t>
      </w:r>
      <w:r>
        <w:rPr>
          <w:rFonts w:hint="eastAsia" w:ascii="宋体" w:hAnsi="宋体"/>
          <w:bCs/>
          <w:sz w:val="28"/>
          <w:szCs w:val="28"/>
          <w:highlight w:val="none"/>
        </w:rPr>
        <w:t>已申领招标文件的</w:t>
      </w:r>
      <w:r>
        <w:rPr>
          <w:rFonts w:ascii="宋体" w:hAnsi="宋体"/>
          <w:bCs/>
          <w:sz w:val="28"/>
          <w:szCs w:val="28"/>
          <w:highlight w:val="none"/>
        </w:rPr>
        <w:t>供应商。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10.2投标截止时间前，采购机构可以对已发出的招标文件进行必要的澄清</w:t>
      </w:r>
      <w:r>
        <w:rPr>
          <w:rFonts w:hint="eastAsia" w:ascii="宋体" w:hAnsi="宋体"/>
          <w:bCs/>
          <w:sz w:val="28"/>
          <w:szCs w:val="28"/>
          <w:highlight w:val="none"/>
        </w:rPr>
        <w:t>和修改。</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1</w:t>
      </w:r>
      <w:r>
        <w:rPr>
          <w:rFonts w:ascii="宋体" w:hAnsi="宋体"/>
          <w:bCs/>
          <w:sz w:val="28"/>
          <w:szCs w:val="28"/>
          <w:highlight w:val="none"/>
        </w:rPr>
        <w:t>0.3</w:t>
      </w:r>
      <w:r>
        <w:rPr>
          <w:rFonts w:hint="eastAsia" w:ascii="宋体" w:hAnsi="宋体"/>
          <w:bCs/>
          <w:sz w:val="28"/>
          <w:szCs w:val="28"/>
          <w:highlight w:val="none"/>
        </w:rPr>
        <w:t>澄清的内容不影响投标文件编制的，采购机构可以采取</w:t>
      </w:r>
      <w:r>
        <w:rPr>
          <w:rFonts w:ascii="宋体" w:hAnsi="宋体"/>
          <w:bCs/>
          <w:sz w:val="28"/>
          <w:szCs w:val="28"/>
          <w:highlight w:val="none"/>
        </w:rPr>
        <w:t>发布澄清公告</w:t>
      </w:r>
      <w:r>
        <w:rPr>
          <w:rFonts w:hint="eastAsia" w:ascii="宋体" w:hAnsi="宋体"/>
          <w:bCs/>
          <w:sz w:val="28"/>
          <w:szCs w:val="28"/>
          <w:highlight w:val="none"/>
        </w:rPr>
        <w:t>或</w:t>
      </w:r>
      <w:r>
        <w:rPr>
          <w:rFonts w:ascii="宋体" w:hAnsi="宋体"/>
          <w:bCs/>
          <w:sz w:val="28"/>
          <w:szCs w:val="28"/>
          <w:highlight w:val="none"/>
        </w:rPr>
        <w:t>书面函告</w:t>
      </w:r>
      <w:r>
        <w:rPr>
          <w:rFonts w:hint="eastAsia" w:ascii="宋体" w:hAnsi="宋体"/>
          <w:bCs/>
          <w:sz w:val="28"/>
          <w:szCs w:val="28"/>
          <w:highlight w:val="none"/>
        </w:rPr>
        <w:t>等形式通知</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w:t>
      </w:r>
      <w:r>
        <w:rPr>
          <w:rFonts w:hint="eastAsia" w:ascii="宋体" w:hAnsi="宋体"/>
          <w:bCs/>
          <w:sz w:val="28"/>
          <w:szCs w:val="28"/>
          <w:highlight w:val="none"/>
        </w:rPr>
        <w:t>澄清的内容为招标文件的组成部分。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10.4</w:t>
      </w:r>
      <w:r>
        <w:rPr>
          <w:rStyle w:val="156"/>
          <w:rFonts w:hint="default" w:ascii="宋体" w:hAnsi="宋体" w:eastAsia="宋体" w:cs="Arial"/>
          <w:sz w:val="28"/>
          <w:szCs w:val="28"/>
          <w:highlight w:val="none"/>
        </w:rPr>
        <w:t>澄清或修改的内容可能影响投标文件编制的</w:t>
      </w:r>
      <w:r>
        <w:rPr>
          <w:rFonts w:ascii="宋体" w:hAnsi="宋体"/>
          <w:bCs/>
          <w:sz w:val="28"/>
          <w:szCs w:val="28"/>
          <w:highlight w:val="none"/>
        </w:rPr>
        <w:t>，采购机构将在提交投标文件截止时间15日前，</w:t>
      </w:r>
      <w:r>
        <w:rPr>
          <w:rFonts w:hint="eastAsia" w:ascii="宋体" w:hAnsi="宋体"/>
          <w:bCs/>
          <w:sz w:val="28"/>
          <w:szCs w:val="28"/>
          <w:highlight w:val="none"/>
        </w:rPr>
        <w:t>发布公告并且书面函告</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申领招标文件的供应商；不足15日的，将相应</w:t>
      </w:r>
      <w:r>
        <w:rPr>
          <w:rFonts w:hint="eastAsia" w:ascii="宋体" w:hAnsi="宋体"/>
          <w:bCs/>
          <w:sz w:val="28"/>
          <w:szCs w:val="28"/>
          <w:highlight w:val="none"/>
        </w:rPr>
        <w:t>顺延</w:t>
      </w:r>
      <w:r>
        <w:rPr>
          <w:rFonts w:ascii="宋体" w:hAnsi="宋体"/>
          <w:bCs/>
          <w:sz w:val="28"/>
          <w:szCs w:val="28"/>
          <w:highlight w:val="none"/>
        </w:rPr>
        <w:t>提交投标文件的截止时间。</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10.5</w:t>
      </w:r>
      <w:r>
        <w:rPr>
          <w:rFonts w:hint="eastAsia" w:ascii="宋体" w:hAnsi="宋体"/>
          <w:bCs/>
          <w:sz w:val="28"/>
          <w:szCs w:val="28"/>
          <w:highlight w:val="none"/>
        </w:rPr>
        <w:t>采购标的、关键技术参数、资格条件等内容需修改的，采购机构将重新发布招标公告，并书面函告所有已申领招标文件的供应商。</w:t>
      </w:r>
    </w:p>
    <w:p>
      <w:pPr>
        <w:pStyle w:val="5"/>
        <w:keepNext w:val="0"/>
        <w:keepLines w:val="0"/>
        <w:adjustRightInd w:val="0"/>
        <w:snapToGrid w:val="0"/>
        <w:spacing w:before="120" w:beforeLines="50" w:after="120" w:afterLines="50" w:line="560" w:lineRule="exact"/>
        <w:jc w:val="center"/>
        <w:rPr>
          <w:b w:val="0"/>
          <w:highlight w:val="none"/>
        </w:rPr>
      </w:pPr>
      <w:bookmarkStart w:id="89" w:name="_Toc21372"/>
      <w:bookmarkStart w:id="90" w:name="_Toc112317769"/>
      <w:bookmarkStart w:id="91" w:name="_Toc10634"/>
      <w:bookmarkStart w:id="92" w:name="_Toc7979"/>
      <w:bookmarkStart w:id="93" w:name="_Toc29121"/>
      <w:bookmarkStart w:id="94" w:name="_Toc10870"/>
      <w:bookmarkStart w:id="95" w:name="_Toc14647"/>
      <w:bookmarkStart w:id="96" w:name="_Toc13771"/>
      <w:r>
        <w:rPr>
          <w:rFonts w:hint="eastAsia"/>
          <w:b w:val="0"/>
          <w:highlight w:val="none"/>
        </w:rPr>
        <w:t>三、投标文件</w:t>
      </w:r>
      <w:bookmarkEnd w:id="89"/>
      <w:bookmarkEnd w:id="90"/>
      <w:bookmarkEnd w:id="91"/>
      <w:bookmarkEnd w:id="92"/>
      <w:bookmarkEnd w:id="93"/>
      <w:r>
        <w:rPr>
          <w:rFonts w:hint="eastAsia"/>
          <w:b w:val="0"/>
          <w:highlight w:val="none"/>
        </w:rPr>
        <w:t>的基本要求</w:t>
      </w:r>
      <w:bookmarkEnd w:id="94"/>
      <w:bookmarkEnd w:id="95"/>
      <w:bookmarkEnd w:id="96"/>
    </w:p>
    <w:p>
      <w:pPr>
        <w:pStyle w:val="6"/>
        <w:keepNext w:val="0"/>
        <w:keepLines w:val="0"/>
        <w:adjustRightInd w:val="0"/>
        <w:snapToGrid w:val="0"/>
        <w:ind w:firstLine="560" w:firstLineChars="200"/>
        <w:rPr>
          <w:rFonts w:ascii="黑体" w:hAnsi="黑体"/>
          <w:b w:val="0"/>
          <w:highlight w:val="none"/>
        </w:rPr>
      </w:pPr>
      <w:bookmarkStart w:id="97" w:name="_Toc16024"/>
      <w:bookmarkStart w:id="98" w:name="_Toc31638"/>
      <w:bookmarkStart w:id="99" w:name="_Toc10966"/>
      <w:bookmarkStart w:id="100" w:name="_Toc8007"/>
      <w:r>
        <w:rPr>
          <w:rFonts w:ascii="黑体" w:hAnsi="黑体"/>
          <w:b w:val="0"/>
          <w:highlight w:val="none"/>
        </w:rPr>
        <w:t>11.</w:t>
      </w:r>
      <w:bookmarkEnd w:id="97"/>
      <w:bookmarkEnd w:id="98"/>
      <w:bookmarkEnd w:id="99"/>
      <w:bookmarkEnd w:id="100"/>
      <w:r>
        <w:rPr>
          <w:rFonts w:hint="eastAsia" w:ascii="黑体" w:hAnsi="黑体"/>
          <w:b w:val="0"/>
          <w:highlight w:val="none"/>
        </w:rPr>
        <w:t>编制要求</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11.1</w:t>
      </w:r>
      <w:r>
        <w:rPr>
          <w:rFonts w:hint="eastAsia" w:ascii="宋体" w:hAnsi="宋体"/>
          <w:bCs/>
          <w:sz w:val="28"/>
          <w:szCs w:val="28"/>
          <w:highlight w:val="none"/>
        </w:rPr>
        <w:t>投标供应商应当仔细阅读招标文件，在完全了解全部内容后，依法真实编制投标文件。</w:t>
      </w:r>
    </w:p>
    <w:p>
      <w:pPr>
        <w:pStyle w:val="6"/>
        <w:keepNext w:val="0"/>
        <w:keepLines w:val="0"/>
        <w:adjustRightInd w:val="0"/>
        <w:snapToGrid w:val="0"/>
        <w:ind w:firstLine="560" w:firstLineChars="200"/>
        <w:rPr>
          <w:rFonts w:ascii="黑体" w:hAnsi="黑体"/>
          <w:b w:val="0"/>
          <w:highlight w:val="none"/>
        </w:rPr>
      </w:pPr>
      <w:bookmarkStart w:id="101" w:name="_Toc32710"/>
      <w:bookmarkStart w:id="102" w:name="_Toc25199"/>
      <w:bookmarkStart w:id="103" w:name="_Toc9124"/>
      <w:bookmarkStart w:id="104" w:name="_Toc1819"/>
      <w:r>
        <w:rPr>
          <w:rFonts w:hint="eastAsia" w:ascii="黑体" w:hAnsi="黑体"/>
          <w:b w:val="0"/>
          <w:highlight w:val="none"/>
        </w:rPr>
        <w:t>1</w:t>
      </w:r>
      <w:r>
        <w:rPr>
          <w:rFonts w:ascii="黑体" w:hAnsi="黑体"/>
          <w:b w:val="0"/>
          <w:highlight w:val="none"/>
        </w:rPr>
        <w:t>2.</w:t>
      </w:r>
      <w:r>
        <w:rPr>
          <w:rFonts w:hint="eastAsia" w:ascii="黑体" w:hAnsi="黑体"/>
          <w:b w:val="0"/>
          <w:highlight w:val="none"/>
        </w:rPr>
        <w:t>投标文件的语言及计量单位</w:t>
      </w:r>
      <w:bookmarkEnd w:id="101"/>
      <w:bookmarkEnd w:id="102"/>
      <w:bookmarkEnd w:id="103"/>
      <w:bookmarkEnd w:id="104"/>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lang w:val="zh-CN"/>
        </w:rPr>
        <w:t>12.1投标文件和</w:t>
      </w:r>
      <w:r>
        <w:rPr>
          <w:rFonts w:hint="eastAsia"/>
          <w:bCs/>
          <w:snapToGrid w:val="0"/>
          <w:sz w:val="28"/>
          <w:szCs w:val="28"/>
          <w:lang w:val="zh-CN"/>
        </w:rPr>
        <w:t>投标供应商与采购机构就有关投标的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05" w:name="_Hlk130370619"/>
      <w:r>
        <w:rPr>
          <w:rFonts w:hint="eastAsia" w:ascii="黑体" w:hAnsi="黑体" w:eastAsia="黑体"/>
          <w:bCs/>
          <w:sz w:val="28"/>
          <w:szCs w:val="28"/>
          <w:lang w:val="zh-CN"/>
        </w:rPr>
        <w:t>应当</w:t>
      </w:r>
      <w:bookmarkEnd w:id="105"/>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w:t>
      </w:r>
      <w:r>
        <w:rPr>
          <w:rFonts w:hint="eastAsia" w:ascii="宋体" w:hAnsi="宋体"/>
          <w:bCs/>
          <w:sz w:val="28"/>
          <w:szCs w:val="28"/>
          <w:highlight w:val="none"/>
          <w:lang w:val="zh-CN"/>
        </w:rPr>
        <w:t>文译文为准；采购机构或评审委员会认为属于明显翻译错误的，以原文为准。</w:t>
      </w:r>
      <w:r>
        <w:rPr>
          <w:rFonts w:hint="eastAsia" w:ascii="宋体" w:hAnsi="宋体"/>
          <w:bCs/>
          <w:sz w:val="28"/>
          <w:szCs w:val="28"/>
          <w:highlight w:val="none"/>
        </w:rPr>
        <w:t>未提供中文译文的，该文本无效。</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12.2投标文件中所使用的计量单位，除投标文件中有特殊要求外，均采用</w:t>
      </w:r>
      <w:r>
        <w:rPr>
          <w:rFonts w:hint="eastAsia" w:ascii="宋体" w:hAnsi="宋体"/>
          <w:bCs/>
          <w:sz w:val="28"/>
          <w:szCs w:val="28"/>
          <w:highlight w:val="none"/>
          <w:lang w:val="zh-CN"/>
        </w:rPr>
        <w:t>中华人民共和国</w:t>
      </w:r>
      <w:r>
        <w:rPr>
          <w:rFonts w:ascii="宋体" w:hAnsi="宋体"/>
          <w:bCs/>
          <w:sz w:val="28"/>
          <w:szCs w:val="28"/>
          <w:highlight w:val="none"/>
          <w:lang w:val="zh-CN"/>
        </w:rPr>
        <w:t>法定计量单位</w:t>
      </w:r>
      <w:r>
        <w:rPr>
          <w:rFonts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106" w:name="_Toc7726"/>
      <w:bookmarkStart w:id="107" w:name="_Toc18518"/>
      <w:bookmarkStart w:id="108" w:name="_Toc14932"/>
      <w:bookmarkStart w:id="109" w:name="_Toc22392"/>
      <w:r>
        <w:rPr>
          <w:rFonts w:ascii="黑体" w:hAnsi="黑体"/>
          <w:b w:val="0"/>
          <w:highlight w:val="none"/>
        </w:rPr>
        <w:t>13.</w:t>
      </w:r>
      <w:r>
        <w:rPr>
          <w:rFonts w:hint="eastAsia" w:ascii="黑体" w:hAnsi="黑体"/>
          <w:b w:val="0"/>
          <w:highlight w:val="none"/>
        </w:rPr>
        <w:t>投标文件组成</w:t>
      </w:r>
      <w:bookmarkEnd w:id="106"/>
      <w:bookmarkEnd w:id="107"/>
      <w:bookmarkEnd w:id="108"/>
      <w:bookmarkEnd w:id="109"/>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13.1投标文件</w:t>
      </w:r>
      <w:r>
        <w:rPr>
          <w:rFonts w:hint="eastAsia" w:ascii="宋体" w:hAnsi="宋体"/>
          <w:bCs/>
          <w:sz w:val="28"/>
          <w:szCs w:val="28"/>
          <w:highlight w:val="none"/>
          <w:lang w:val="zh-CN"/>
        </w:rPr>
        <w:t>一般</w:t>
      </w:r>
      <w:r>
        <w:rPr>
          <w:rFonts w:ascii="宋体" w:hAnsi="宋体"/>
          <w:bCs/>
          <w:sz w:val="28"/>
          <w:szCs w:val="28"/>
          <w:highlight w:val="none"/>
          <w:lang w:val="zh-CN"/>
        </w:rPr>
        <w:t>由</w:t>
      </w:r>
      <w:bookmarkStart w:id="110" w:name="_Hlk112504983"/>
      <w:r>
        <w:rPr>
          <w:rFonts w:hint="eastAsia" w:ascii="黑体" w:hAnsi="黑体" w:eastAsia="黑体"/>
          <w:bCs/>
          <w:sz w:val="28"/>
          <w:szCs w:val="28"/>
          <w:highlight w:val="none"/>
          <w:lang w:val="zh-CN"/>
        </w:rPr>
        <w:t>价格文件、</w:t>
      </w:r>
      <w:bookmarkStart w:id="111" w:name="_Hlk112353436"/>
      <w:r>
        <w:rPr>
          <w:rFonts w:hint="eastAsia" w:ascii="黑体" w:hAnsi="黑体" w:eastAsia="黑体"/>
          <w:bCs/>
          <w:sz w:val="28"/>
          <w:szCs w:val="28"/>
          <w:highlight w:val="none"/>
          <w:lang w:val="zh-CN"/>
        </w:rPr>
        <w:t>商务技术</w:t>
      </w:r>
      <w:bookmarkEnd w:id="111"/>
      <w:r>
        <w:rPr>
          <w:rFonts w:hint="eastAsia" w:ascii="黑体" w:hAnsi="黑体" w:eastAsia="黑体"/>
          <w:bCs/>
          <w:sz w:val="28"/>
          <w:szCs w:val="28"/>
          <w:highlight w:val="none"/>
          <w:lang w:val="zh-CN"/>
        </w:rPr>
        <w:t>文件、资格证明文件</w:t>
      </w:r>
      <w:r>
        <w:rPr>
          <w:rFonts w:hint="eastAsia" w:ascii="宋体" w:hAnsi="宋体"/>
          <w:bCs/>
          <w:sz w:val="28"/>
          <w:szCs w:val="28"/>
          <w:highlight w:val="none"/>
          <w:lang w:val="zh-CN"/>
        </w:rPr>
        <w:t>三部分组成。每部分应当分别编制目录，具体要求</w:t>
      </w:r>
      <w:r>
        <w:rPr>
          <w:rFonts w:ascii="宋体" w:hAnsi="宋体"/>
          <w:bCs/>
          <w:sz w:val="28"/>
          <w:szCs w:val="28"/>
          <w:highlight w:val="none"/>
          <w:lang w:val="zh-CN"/>
        </w:rPr>
        <w:t>详见第三章投标文件内容及格式</w:t>
      </w:r>
      <w:r>
        <w:rPr>
          <w:rFonts w:hint="eastAsia" w:ascii="宋体" w:hAnsi="宋体"/>
          <w:bCs/>
          <w:sz w:val="28"/>
          <w:szCs w:val="28"/>
          <w:highlight w:val="none"/>
          <w:lang w:val="zh-CN"/>
        </w:rPr>
        <w:t>。</w:t>
      </w:r>
    </w:p>
    <w:bookmarkEnd w:id="110"/>
    <w:p>
      <w:pPr>
        <w:pStyle w:val="6"/>
        <w:keepNext w:val="0"/>
        <w:keepLines w:val="0"/>
        <w:adjustRightInd w:val="0"/>
        <w:snapToGrid w:val="0"/>
        <w:ind w:firstLine="560" w:firstLineChars="200"/>
        <w:rPr>
          <w:rFonts w:ascii="黑体" w:hAnsi="黑体"/>
          <w:b w:val="0"/>
          <w:highlight w:val="none"/>
        </w:rPr>
      </w:pPr>
      <w:bookmarkStart w:id="112" w:name="_Toc19972"/>
      <w:bookmarkStart w:id="113" w:name="_Toc24457"/>
      <w:bookmarkStart w:id="114" w:name="_Toc21237"/>
      <w:bookmarkStart w:id="115" w:name="_Toc19507"/>
      <w:r>
        <w:rPr>
          <w:rFonts w:ascii="黑体" w:hAnsi="黑体"/>
          <w:b w:val="0"/>
          <w:highlight w:val="none"/>
        </w:rPr>
        <w:t>14.</w:t>
      </w:r>
      <w:r>
        <w:rPr>
          <w:rFonts w:hint="eastAsia" w:ascii="黑体" w:hAnsi="黑体"/>
          <w:b w:val="0"/>
          <w:highlight w:val="none"/>
        </w:rPr>
        <w:t>投标文件的编制</w:t>
      </w:r>
      <w:bookmarkEnd w:id="112"/>
      <w:bookmarkEnd w:id="113"/>
      <w:bookmarkEnd w:id="114"/>
      <w:bookmarkEnd w:id="115"/>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14.1</w:t>
      </w:r>
      <w:r>
        <w:rPr>
          <w:rFonts w:hint="eastAsia" w:ascii="宋体" w:hAnsi="宋体"/>
          <w:bCs/>
          <w:sz w:val="28"/>
          <w:szCs w:val="28"/>
          <w:highlight w:val="none"/>
          <w:lang w:val="zh-CN"/>
        </w:rPr>
        <w:t>投标供应商应当按招标文件第</w:t>
      </w:r>
      <w:r>
        <w:rPr>
          <w:rFonts w:ascii="宋体" w:hAnsi="宋体"/>
          <w:bCs/>
          <w:sz w:val="28"/>
          <w:szCs w:val="28"/>
          <w:highlight w:val="none"/>
          <w:lang w:val="zh-CN"/>
        </w:rPr>
        <w:t>13.1</w:t>
      </w:r>
      <w:r>
        <w:rPr>
          <w:rFonts w:hint="eastAsia" w:ascii="宋体" w:hAnsi="宋体"/>
          <w:bCs/>
          <w:sz w:val="28"/>
          <w:szCs w:val="28"/>
          <w:highlight w:val="none"/>
          <w:lang w:val="zh-CN"/>
        </w:rPr>
        <w:t>条的内容与要求和第三章明确的格式编制投标文件。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14.2投标文件</w:t>
      </w:r>
      <w:r>
        <w:rPr>
          <w:rFonts w:hint="eastAsia" w:ascii="宋体" w:hAnsi="宋体"/>
          <w:bCs/>
          <w:sz w:val="28"/>
          <w:szCs w:val="28"/>
          <w:highlight w:val="none"/>
          <w:lang w:val="zh-CN"/>
        </w:rPr>
        <w:t>应当</w:t>
      </w:r>
      <w:r>
        <w:rPr>
          <w:rFonts w:ascii="宋体" w:hAnsi="宋体"/>
          <w:bCs/>
          <w:sz w:val="28"/>
          <w:szCs w:val="28"/>
          <w:highlight w:val="none"/>
          <w:lang w:val="zh-CN"/>
        </w:rPr>
        <w:t>工整、规范、统一、清晰，采用A4幅面纸</w:t>
      </w:r>
      <w:r>
        <w:rPr>
          <w:rFonts w:hint="eastAsia" w:ascii="宋体" w:hAnsi="宋体"/>
          <w:bCs/>
          <w:sz w:val="28"/>
          <w:szCs w:val="28"/>
          <w:highlight w:val="none"/>
          <w:lang w:val="zh-CN"/>
        </w:rPr>
        <w:t>打印，页面不可抽取，不得有活页。商务技术文件和资格证明文件应当</w:t>
      </w:r>
      <w:r>
        <w:rPr>
          <w:rFonts w:ascii="宋体" w:hAnsi="宋体"/>
          <w:bCs/>
          <w:sz w:val="28"/>
          <w:szCs w:val="28"/>
          <w:highlight w:val="none"/>
          <w:lang w:val="zh-CN"/>
        </w:rPr>
        <w:t>胶装成册</w:t>
      </w:r>
      <w:r>
        <w:rPr>
          <w:rFonts w:hint="eastAsia" w:ascii="宋体" w:hAnsi="宋体"/>
          <w:bCs/>
          <w:sz w:val="28"/>
          <w:szCs w:val="28"/>
          <w:highlight w:val="none"/>
          <w:lang w:val="zh-CN"/>
        </w:rPr>
        <w:t>；价格</w:t>
      </w:r>
      <w:r>
        <w:rPr>
          <w:rFonts w:hint="eastAsia" w:ascii="宋体" w:hAnsi="宋体"/>
          <w:bCs/>
          <w:sz w:val="28"/>
          <w:szCs w:val="28"/>
          <w:lang w:val="zh-CN"/>
        </w:rPr>
        <w:t>文件纸张在</w:t>
      </w:r>
      <w:r>
        <w:rPr>
          <w:rFonts w:ascii="宋体" w:hAnsi="宋体"/>
          <w:bCs/>
          <w:sz w:val="28"/>
          <w:szCs w:val="28"/>
          <w:lang w:val="zh-CN"/>
        </w:rPr>
        <w:t>10</w:t>
      </w:r>
      <w:r>
        <w:rPr>
          <w:rFonts w:hint="eastAsia" w:ascii="宋体" w:hAnsi="宋体"/>
          <w:bCs/>
          <w:sz w:val="28"/>
          <w:szCs w:val="28"/>
          <w:lang w:val="zh-CN"/>
        </w:rPr>
        <w:t>张以上的也应当</w:t>
      </w:r>
      <w:r>
        <w:rPr>
          <w:rFonts w:ascii="宋体" w:hAnsi="宋体"/>
          <w:bCs/>
          <w:sz w:val="28"/>
          <w:szCs w:val="28"/>
          <w:lang w:val="zh-CN"/>
        </w:rPr>
        <w:t>胶装成册</w:t>
      </w:r>
      <w:r>
        <w:rPr>
          <w:rFonts w:hint="eastAsia" w:ascii="宋体" w:hAnsi="宋体"/>
          <w:bCs/>
          <w:sz w:val="28"/>
          <w:szCs w:val="28"/>
          <w:lang w:val="zh-CN"/>
        </w:rPr>
        <w:t>，不足</w:t>
      </w:r>
      <w:r>
        <w:rPr>
          <w:rFonts w:ascii="宋体" w:hAnsi="宋体"/>
          <w:bCs/>
          <w:sz w:val="28"/>
          <w:szCs w:val="28"/>
          <w:lang w:val="zh-CN"/>
        </w:rPr>
        <w:t>10</w:t>
      </w:r>
      <w:r>
        <w:rPr>
          <w:rFonts w:hint="eastAsia" w:ascii="宋体" w:hAnsi="宋体"/>
          <w:bCs/>
          <w:sz w:val="28"/>
          <w:szCs w:val="28"/>
          <w:lang w:val="zh-CN"/>
        </w:rPr>
        <w:t>张的应当装订或胶装成册。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14.3投标文件</w:t>
      </w:r>
      <w:r>
        <w:rPr>
          <w:rFonts w:hint="eastAsia" w:ascii="宋体" w:hAnsi="宋体"/>
          <w:bCs/>
          <w:sz w:val="28"/>
          <w:szCs w:val="28"/>
          <w:lang w:val="zh-CN"/>
        </w:rPr>
        <w:t>应当</w:t>
      </w:r>
      <w:r>
        <w:rPr>
          <w:rFonts w:ascii="宋体" w:hAnsi="宋体"/>
          <w:bCs/>
          <w:sz w:val="28"/>
          <w:szCs w:val="28"/>
          <w:lang w:val="zh-CN"/>
        </w:rPr>
        <w:t>打印或用黑色、蓝黑色墨水填写。</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14.4开标一览表</w:t>
      </w:r>
      <w:r>
        <w:rPr>
          <w:rFonts w:hint="eastAsia" w:ascii="宋体" w:hAnsi="宋体"/>
          <w:bCs/>
          <w:sz w:val="28"/>
          <w:szCs w:val="28"/>
          <w:lang w:val="zh-CN"/>
        </w:rPr>
        <w:t>表格应当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w:t>
      </w:r>
      <w:bookmarkStart w:id="116" w:name="_Hlk130370840"/>
      <w:r>
        <w:rPr>
          <w:rFonts w:hint="eastAsia" w:ascii="宋体" w:hAnsi="宋体"/>
          <w:bCs/>
          <w:sz w:val="28"/>
          <w:szCs w:val="28"/>
          <w:lang w:val="zh-CN"/>
        </w:rPr>
        <w:t>招标文件</w:t>
      </w:r>
      <w:bookmarkEnd w:id="116"/>
      <w:r>
        <w:rPr>
          <w:rFonts w:hint="eastAsia" w:ascii="宋体" w:hAnsi="宋体"/>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6"/>
        <w:spacing w:after="0" w:line="560" w:lineRule="exact"/>
        <w:ind w:firstLine="560" w:firstLineChars="2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14.5</w:t>
      </w:r>
      <w:r>
        <w:rPr>
          <w:rFonts w:hint="eastAsia" w:ascii="宋体" w:hAnsi="宋体"/>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lang w:val="zh-CN"/>
        </w:rPr>
        <w:t>14.6</w:t>
      </w:r>
      <w:r>
        <w:rPr>
          <w:rFonts w:hint="eastAsia" w:ascii="宋体" w:hAnsi="宋体"/>
          <w:bCs/>
          <w:sz w:val="28"/>
          <w:szCs w:val="28"/>
          <w:lang w:val="zh-CN"/>
        </w:rPr>
        <w:t>投标供应商应当提交投标文件正本一份，副本、电子版份数见【投标供应商须知前</w:t>
      </w:r>
      <w:r>
        <w:rPr>
          <w:rFonts w:hint="eastAsia" w:ascii="宋体" w:hAnsi="宋体"/>
          <w:bCs/>
          <w:sz w:val="28"/>
          <w:szCs w:val="28"/>
          <w:highlight w:val="none"/>
          <w:lang w:val="zh-CN"/>
        </w:rPr>
        <w:t>附表】。投标文件正本和副本的封面右上角上应当清楚标记“正本”或“副本”字样。当副本和正本不一致或电子版文件与纸质正本文件不一致时，以纸质正本文件为准。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14.7</w:t>
      </w:r>
      <w:r>
        <w:rPr>
          <w:rFonts w:hint="eastAsia" w:ascii="宋体" w:hAnsi="宋体"/>
          <w:bCs/>
          <w:sz w:val="28"/>
          <w:szCs w:val="28"/>
          <w:highlight w:val="none"/>
          <w:lang w:val="zh-CN"/>
        </w:rPr>
        <w:t>投标文件正本应当加盖骑缝章</w:t>
      </w:r>
      <w:bookmarkStart w:id="117" w:name="_Hlk130371190"/>
      <w:r>
        <w:rPr>
          <w:rFonts w:hint="eastAsia" w:ascii="宋体" w:hAnsi="宋体"/>
          <w:bCs/>
          <w:sz w:val="28"/>
          <w:szCs w:val="28"/>
          <w:highlight w:val="none"/>
          <w:lang w:val="zh-CN"/>
        </w:rPr>
        <w:t>（每页均加盖公章的，可以不盖骑缝章）</w:t>
      </w:r>
      <w:bookmarkEnd w:id="117"/>
      <w:r>
        <w:rPr>
          <w:rFonts w:hint="eastAsia" w:ascii="宋体" w:hAnsi="宋体"/>
          <w:bCs/>
          <w:sz w:val="28"/>
          <w:szCs w:val="28"/>
          <w:highlight w:val="none"/>
          <w:lang w:val="zh-CN"/>
        </w:rPr>
        <w:t>，不得随意涂改和增删。如有修改错漏之处，应当由法定代表人或授权代表签字。</w:t>
      </w:r>
    </w:p>
    <w:p>
      <w:pPr>
        <w:pStyle w:val="6"/>
        <w:keepNext w:val="0"/>
        <w:keepLines w:val="0"/>
        <w:adjustRightInd w:val="0"/>
        <w:snapToGrid w:val="0"/>
        <w:ind w:firstLine="560" w:firstLineChars="200"/>
        <w:rPr>
          <w:rFonts w:ascii="黑体" w:hAnsi="黑体"/>
          <w:b w:val="0"/>
          <w:highlight w:val="none"/>
        </w:rPr>
      </w:pPr>
      <w:bookmarkStart w:id="118" w:name="_Toc15503"/>
      <w:bookmarkStart w:id="119" w:name="_Toc14720"/>
      <w:bookmarkStart w:id="120" w:name="_Toc23265"/>
      <w:bookmarkStart w:id="121" w:name="_Toc18347"/>
      <w:r>
        <w:rPr>
          <w:rFonts w:hint="eastAsia" w:ascii="黑体" w:hAnsi="黑体"/>
          <w:b w:val="0"/>
          <w:highlight w:val="none"/>
        </w:rPr>
        <w:t>1</w:t>
      </w:r>
      <w:r>
        <w:rPr>
          <w:rFonts w:ascii="黑体" w:hAnsi="黑体"/>
          <w:b w:val="0"/>
          <w:highlight w:val="none"/>
        </w:rPr>
        <w:t>5.</w:t>
      </w:r>
      <w:r>
        <w:rPr>
          <w:rFonts w:hint="eastAsia" w:ascii="黑体" w:hAnsi="黑体"/>
          <w:b w:val="0"/>
          <w:highlight w:val="none"/>
        </w:rPr>
        <w:t>投标有效期</w:t>
      </w:r>
      <w:bookmarkEnd w:id="118"/>
      <w:bookmarkEnd w:id="119"/>
      <w:bookmarkEnd w:id="120"/>
      <w:bookmarkEnd w:id="121"/>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15.1投标</w:t>
      </w:r>
      <w:r>
        <w:rPr>
          <w:rFonts w:hint="eastAsia" w:ascii="宋体" w:hAnsi="宋体"/>
          <w:bCs/>
          <w:sz w:val="28"/>
          <w:szCs w:val="28"/>
          <w:highlight w:val="none"/>
          <w:lang w:val="zh-CN"/>
        </w:rPr>
        <w:t>有效期从提交投标文件的截止之日起算。投标文件中承诺的投标有效期应当不少于【投标供应商须知前附表】中载明的投标有效</w:t>
      </w:r>
      <w:r>
        <w:rPr>
          <w:rFonts w:hint="eastAsia" w:ascii="宋体" w:hAnsi="宋体"/>
          <w:bCs/>
          <w:sz w:val="28"/>
          <w:szCs w:val="28"/>
          <w:lang w:val="zh-CN"/>
        </w:rPr>
        <w:t>期，否则视为无效投标。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z w:val="28"/>
          <w:szCs w:val="28"/>
          <w:lang w:val="zh-CN"/>
        </w:rPr>
        <w:t>得</w:t>
      </w:r>
      <w:r>
        <w:rPr>
          <w:rFonts w:ascii="宋体" w:hAnsi="宋体"/>
          <w:bCs/>
          <w:sz w:val="28"/>
          <w:szCs w:val="28"/>
          <w:lang w:val="zh-CN"/>
        </w:rPr>
        <w:t>修改投标文件。</w:t>
      </w:r>
    </w:p>
    <w:p>
      <w:pPr>
        <w:pStyle w:val="6"/>
        <w:keepNext w:val="0"/>
        <w:keepLines w:val="0"/>
        <w:adjustRightInd w:val="0"/>
        <w:snapToGrid w:val="0"/>
        <w:ind w:firstLine="560" w:firstLineChars="200"/>
        <w:rPr>
          <w:rFonts w:ascii="黑体" w:hAnsi="黑体"/>
          <w:b w:val="0"/>
        </w:rPr>
      </w:pPr>
      <w:bookmarkStart w:id="122" w:name="_Toc11462"/>
      <w:bookmarkStart w:id="123" w:name="_Toc3489"/>
      <w:bookmarkStart w:id="124" w:name="_Toc16961"/>
      <w:bookmarkStart w:id="125" w:name="_Toc14212"/>
      <w:r>
        <w:rPr>
          <w:rFonts w:hint="eastAsia" w:ascii="黑体" w:hAnsi="黑体"/>
          <w:b w:val="0"/>
        </w:rPr>
        <w:t>1</w:t>
      </w:r>
      <w:r>
        <w:rPr>
          <w:rFonts w:ascii="黑体" w:hAnsi="黑体"/>
          <w:b w:val="0"/>
        </w:rPr>
        <w:t>6.</w:t>
      </w:r>
      <w:r>
        <w:rPr>
          <w:rFonts w:hint="eastAsia" w:ascii="黑体" w:hAnsi="黑体"/>
          <w:b w:val="0"/>
        </w:rPr>
        <w:t>投标报价</w:t>
      </w:r>
      <w:bookmarkEnd w:id="122"/>
      <w:bookmarkEnd w:id="123"/>
      <w:bookmarkEnd w:id="124"/>
      <w:bookmarkEnd w:id="125"/>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16.2所有单价和总价按照开标一览表格式要求填报。</w:t>
      </w:r>
      <w:r>
        <w:rPr>
          <w:rFonts w:ascii="宋体" w:hAnsi="宋体"/>
          <w:bCs/>
          <w:snapToGrid w:val="0"/>
          <w:sz w:val="28"/>
          <w:szCs w:val="28"/>
          <w:lang w:val="zh-CN"/>
        </w:rPr>
        <w:t>报价应当包括货款、标准附件、备品备件、专用工具、包装、安装、调试、培训、保修等费用和税金。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16.3投标供应商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w:t>
      </w:r>
      <w:r>
        <w:rPr>
          <w:rFonts w:hint="eastAsia" w:ascii="宋体" w:hAnsi="宋体"/>
          <w:bCs/>
          <w:sz w:val="28"/>
          <w:szCs w:val="28"/>
        </w:rPr>
        <w:t>报价，视为无效投标。</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投标报价的其他要求见【投标供应商须知前附表】。</w:t>
      </w:r>
    </w:p>
    <w:p>
      <w:pPr>
        <w:pStyle w:val="6"/>
        <w:keepNext w:val="0"/>
        <w:keepLines w:val="0"/>
        <w:adjustRightInd w:val="0"/>
        <w:snapToGrid w:val="0"/>
        <w:ind w:firstLine="560" w:firstLineChars="200"/>
        <w:rPr>
          <w:rFonts w:ascii="黑体" w:hAnsi="黑体"/>
          <w:b w:val="0"/>
        </w:rPr>
      </w:pPr>
      <w:bookmarkStart w:id="126" w:name="_Toc28896"/>
      <w:bookmarkStart w:id="127" w:name="_Toc9609"/>
      <w:bookmarkStart w:id="128" w:name="_Toc5641"/>
      <w:bookmarkStart w:id="129" w:name="_Toc10177"/>
      <w:r>
        <w:rPr>
          <w:rFonts w:ascii="黑体" w:hAnsi="黑体"/>
          <w:b w:val="0"/>
        </w:rPr>
        <w:t>17.</w:t>
      </w:r>
      <w:r>
        <w:rPr>
          <w:rFonts w:hint="eastAsia" w:ascii="黑体" w:hAnsi="黑体"/>
          <w:b w:val="0"/>
        </w:rPr>
        <w:t>投标保证金</w:t>
      </w:r>
      <w:bookmarkEnd w:id="126"/>
      <w:bookmarkEnd w:id="127"/>
      <w:bookmarkEnd w:id="128"/>
      <w:bookmarkEnd w:id="129"/>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17.1投标</w:t>
      </w:r>
      <w:r>
        <w:rPr>
          <w:rFonts w:hint="eastAsia" w:ascii="宋体" w:hAnsi="宋体"/>
          <w:bCs/>
          <w:sz w:val="28"/>
          <w:szCs w:val="28"/>
          <w:lang w:val="zh-CN"/>
        </w:rPr>
        <w:t>保证金金额、账号及缴纳截止时间见【投标供应商须知前附表】。</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rPr>
        <w:t>17.2投标</w:t>
      </w:r>
      <w:r>
        <w:rPr>
          <w:rFonts w:ascii="宋体" w:hAnsi="宋体"/>
          <w:bCs/>
          <w:sz w:val="28"/>
          <w:szCs w:val="28"/>
          <w:lang w:val="zh-CN"/>
        </w:rPr>
        <w:t>保证金</w:t>
      </w:r>
      <w:bookmarkStart w:id="130" w:name="_Hlk130371222"/>
      <w:r>
        <w:rPr>
          <w:rFonts w:hint="eastAsia" w:ascii="宋体" w:hAnsi="宋体"/>
          <w:bCs/>
          <w:sz w:val="28"/>
          <w:szCs w:val="28"/>
          <w:lang w:val="zh-CN"/>
        </w:rPr>
        <w:t>应当</w:t>
      </w:r>
      <w:bookmarkEnd w:id="130"/>
      <w:r>
        <w:rPr>
          <w:rFonts w:ascii="宋体" w:hAnsi="宋体"/>
          <w:bCs/>
          <w:sz w:val="28"/>
          <w:szCs w:val="28"/>
          <w:lang w:val="zh-CN"/>
        </w:rPr>
        <w:t>采取非现金方式</w:t>
      </w:r>
      <w:r>
        <w:rPr>
          <w:rFonts w:hint="eastAsia" w:ascii="宋体" w:hAnsi="宋体"/>
          <w:bCs/>
          <w:sz w:val="28"/>
          <w:szCs w:val="28"/>
          <w:lang w:val="zh-CN"/>
        </w:rPr>
        <w:t>缴纳</w:t>
      </w:r>
      <w:bookmarkStart w:id="131" w:name="_Hlk130371231"/>
      <w:r>
        <w:rPr>
          <w:rFonts w:hint="eastAsia" w:ascii="宋体" w:hAnsi="宋体"/>
          <w:bCs/>
          <w:sz w:val="28"/>
          <w:szCs w:val="28"/>
          <w:lang w:val="zh-CN"/>
        </w:rPr>
        <w:t>。采取汇款方式缴纳的，</w:t>
      </w:r>
      <w:bookmarkEnd w:id="131"/>
      <w:r>
        <w:rPr>
          <w:rFonts w:hint="eastAsia" w:ascii="宋体" w:hAnsi="宋体"/>
          <w:bCs/>
          <w:sz w:val="28"/>
          <w:szCs w:val="28"/>
          <w:lang w:val="zh-CN"/>
        </w:rPr>
        <w:t>投标保证金应当从投标供应商的银行账户缴纳且在投标截止时间前到达采购机构账户内，否则</w:t>
      </w:r>
      <w:r>
        <w:rPr>
          <w:rFonts w:hint="eastAsia" w:ascii="宋体" w:hAnsi="宋体"/>
          <w:bCs/>
          <w:sz w:val="28"/>
          <w:szCs w:val="28"/>
        </w:rPr>
        <w:t>视为无效投标</w:t>
      </w:r>
      <w:r>
        <w:rPr>
          <w:rFonts w:hint="eastAsia" w:ascii="宋体" w:hAnsi="宋体"/>
          <w:bCs/>
          <w:sz w:val="28"/>
          <w:szCs w:val="28"/>
          <w:lang w:val="zh-CN"/>
        </w:rPr>
        <w:t>；投标供应商在汇款时应当在备注信息中注明本项目的编号及用途（如“项目编号，投标保证金”），以便采购机构的财务人员查证</w:t>
      </w:r>
      <w:r>
        <w:rPr>
          <w:rFonts w:hint="eastAsia" w:ascii="宋体" w:hAnsi="宋体"/>
          <w:bCs/>
          <w:sz w:val="28"/>
          <w:szCs w:val="28"/>
          <w:highlight w:val="none"/>
          <w:lang w:val="zh-CN"/>
        </w:rPr>
        <w:t>入账。采取</w:t>
      </w:r>
      <w:r>
        <w:rPr>
          <w:rFonts w:ascii="宋体" w:hAnsi="宋体"/>
          <w:bCs/>
          <w:sz w:val="28"/>
          <w:szCs w:val="28"/>
          <w:highlight w:val="none"/>
          <w:lang w:val="zh-CN"/>
        </w:rPr>
        <w:t>银行保函</w:t>
      </w:r>
      <w:r>
        <w:rPr>
          <w:rFonts w:hint="eastAsia" w:ascii="宋体" w:hAnsi="宋体"/>
          <w:bCs/>
          <w:sz w:val="28"/>
          <w:szCs w:val="28"/>
          <w:highlight w:val="none"/>
          <w:lang w:val="zh-CN"/>
        </w:rPr>
        <w:t>方式缴纳的，应当提供</w:t>
      </w:r>
      <w:r>
        <w:rPr>
          <w:rFonts w:ascii="宋体" w:hAnsi="宋体"/>
          <w:bCs/>
          <w:sz w:val="28"/>
          <w:szCs w:val="28"/>
          <w:highlight w:val="none"/>
          <w:lang w:val="zh-CN"/>
        </w:rPr>
        <w:t>1份银行保函原件，投标时单独</w:t>
      </w:r>
      <w:r>
        <w:rPr>
          <w:rFonts w:hint="eastAsia" w:ascii="宋体" w:hAnsi="宋体"/>
          <w:bCs/>
          <w:sz w:val="28"/>
          <w:szCs w:val="28"/>
          <w:highlight w:val="none"/>
          <w:lang w:val="zh-CN"/>
        </w:rPr>
        <w:t>提</w:t>
      </w:r>
      <w:r>
        <w:rPr>
          <w:rFonts w:ascii="宋体" w:hAnsi="宋体"/>
          <w:bCs/>
          <w:sz w:val="28"/>
          <w:szCs w:val="28"/>
          <w:highlight w:val="none"/>
          <w:lang w:val="zh-CN"/>
        </w:rPr>
        <w:t>交。</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17.3</w:t>
      </w:r>
      <w:r>
        <w:rPr>
          <w:rFonts w:ascii="宋体" w:hAnsi="宋体"/>
          <w:bCs/>
          <w:sz w:val="28"/>
          <w:szCs w:val="28"/>
          <w:highlight w:val="none"/>
        </w:rPr>
        <w:t>中标供应商的投标保证金，在签订正式合同后5个工作日内全额无息退还。未中标供应商的投标保证金，将在采购机构发出未中标通知书后5个工作日内全额无息退还。</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17.4有下列情况之一的，投标保证金将不予退还：</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1）开标后投标供应商在投标有效期内撤回其投标文件的；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2）投标供应商干扰开标</w:t>
      </w:r>
      <w:r>
        <w:rPr>
          <w:rFonts w:hint="eastAsia" w:ascii="宋体" w:hAnsi="宋体"/>
          <w:bCs/>
          <w:sz w:val="28"/>
          <w:szCs w:val="28"/>
          <w:highlight w:val="none"/>
        </w:rPr>
        <w:t>或</w:t>
      </w:r>
      <w:r>
        <w:rPr>
          <w:rFonts w:ascii="宋体" w:hAnsi="宋体"/>
          <w:bCs/>
          <w:sz w:val="28"/>
          <w:szCs w:val="28"/>
          <w:highlight w:val="none"/>
        </w:rPr>
        <w:t>评标活动，造成严重影响和后果的；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3）虚假投标</w:t>
      </w:r>
      <w:r>
        <w:rPr>
          <w:rFonts w:hint="eastAsia" w:ascii="宋体" w:hAnsi="宋体"/>
          <w:bCs/>
          <w:sz w:val="28"/>
          <w:szCs w:val="28"/>
          <w:highlight w:val="none"/>
        </w:rPr>
        <w:t>或</w:t>
      </w:r>
      <w:r>
        <w:rPr>
          <w:rFonts w:ascii="宋体" w:hAnsi="宋体"/>
          <w:bCs/>
          <w:sz w:val="28"/>
          <w:szCs w:val="28"/>
          <w:highlight w:val="none"/>
        </w:rPr>
        <w:t>串通投标的；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4）中标</w:t>
      </w:r>
      <w:r>
        <w:rPr>
          <w:rFonts w:hint="eastAsia" w:ascii="宋体" w:hAnsi="宋体"/>
          <w:bCs/>
          <w:sz w:val="28"/>
          <w:szCs w:val="28"/>
          <w:highlight w:val="none"/>
        </w:rPr>
        <w:t>（预中标）</w:t>
      </w:r>
      <w:r>
        <w:rPr>
          <w:rFonts w:ascii="宋体" w:hAnsi="宋体"/>
          <w:bCs/>
          <w:sz w:val="28"/>
          <w:szCs w:val="28"/>
          <w:highlight w:val="none"/>
        </w:rPr>
        <w:t>供应商无正当理由放弃中标的；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5）</w:t>
      </w:r>
      <w:bookmarkStart w:id="132" w:name="_Hlk130371293"/>
      <w:r>
        <w:rPr>
          <w:rFonts w:hint="eastAsia" w:ascii="宋体" w:hAnsi="宋体"/>
          <w:bCs/>
          <w:sz w:val="28"/>
          <w:szCs w:val="28"/>
          <w:highlight w:val="none"/>
        </w:rPr>
        <w:t>中标供应商无正当理由不与采购单位订立合同，在签订合同时向采购单位提出附加条件，或不按照招标文件要求提交履约保证金的</w:t>
      </w:r>
      <w:bookmarkEnd w:id="132"/>
      <w:r>
        <w:rPr>
          <w:rFonts w:hint="eastAsia" w:ascii="宋体" w:hAnsi="宋体"/>
          <w:bCs/>
          <w:sz w:val="28"/>
          <w:szCs w:val="28"/>
          <w:highlight w:val="none"/>
        </w:rPr>
        <w:t>；</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6）其他违反国家和军队法律法规行为的。</w:t>
      </w:r>
      <w:bookmarkStart w:id="133" w:name="_Toc112317770"/>
    </w:p>
    <w:p>
      <w:pPr>
        <w:pStyle w:val="5"/>
        <w:keepNext w:val="0"/>
        <w:keepLines w:val="0"/>
        <w:adjustRightInd w:val="0"/>
        <w:snapToGrid w:val="0"/>
        <w:spacing w:before="120" w:beforeLines="50" w:after="120" w:afterLines="50" w:line="560" w:lineRule="exact"/>
        <w:jc w:val="center"/>
        <w:rPr>
          <w:b w:val="0"/>
          <w:highlight w:val="none"/>
        </w:rPr>
      </w:pPr>
      <w:bookmarkStart w:id="134" w:name="_Toc13095"/>
      <w:bookmarkStart w:id="135" w:name="_Toc23111"/>
      <w:bookmarkStart w:id="136" w:name="_Toc29835"/>
      <w:bookmarkStart w:id="137" w:name="_Toc21115"/>
      <w:bookmarkStart w:id="138" w:name="_Toc9861"/>
      <w:bookmarkStart w:id="139" w:name="_Toc21788"/>
      <w:bookmarkStart w:id="140" w:name="_Toc17410"/>
      <w:r>
        <w:rPr>
          <w:rFonts w:hint="eastAsia"/>
          <w:b w:val="0"/>
          <w:highlight w:val="none"/>
        </w:rPr>
        <w:t>四、投标文件提交</w:t>
      </w:r>
      <w:bookmarkEnd w:id="133"/>
      <w:bookmarkEnd w:id="134"/>
      <w:bookmarkEnd w:id="135"/>
      <w:bookmarkEnd w:id="136"/>
      <w:bookmarkEnd w:id="137"/>
      <w:bookmarkEnd w:id="138"/>
      <w:bookmarkEnd w:id="139"/>
      <w:bookmarkEnd w:id="140"/>
    </w:p>
    <w:p>
      <w:pPr>
        <w:pStyle w:val="6"/>
        <w:keepNext w:val="0"/>
        <w:keepLines w:val="0"/>
        <w:adjustRightInd w:val="0"/>
        <w:snapToGrid w:val="0"/>
        <w:ind w:firstLine="560" w:firstLineChars="200"/>
        <w:rPr>
          <w:rFonts w:ascii="黑体" w:hAnsi="黑体"/>
          <w:b w:val="0"/>
          <w:highlight w:val="none"/>
        </w:rPr>
      </w:pPr>
      <w:bookmarkStart w:id="141" w:name="_Toc30431"/>
      <w:bookmarkStart w:id="142" w:name="_Toc23560"/>
      <w:bookmarkStart w:id="143" w:name="_Toc11049"/>
      <w:bookmarkStart w:id="144" w:name="_Toc23336"/>
      <w:r>
        <w:rPr>
          <w:rFonts w:ascii="黑体" w:hAnsi="黑体"/>
          <w:b w:val="0"/>
          <w:highlight w:val="none"/>
        </w:rPr>
        <w:t>18.</w:t>
      </w:r>
      <w:r>
        <w:rPr>
          <w:rFonts w:hint="eastAsia" w:ascii="黑体" w:hAnsi="黑体"/>
          <w:b w:val="0"/>
          <w:highlight w:val="none"/>
        </w:rPr>
        <w:t>投标文件密封及标记</w:t>
      </w:r>
      <w:bookmarkEnd w:id="141"/>
      <w:bookmarkEnd w:id="142"/>
      <w:bookmarkEnd w:id="143"/>
      <w:bookmarkEnd w:id="144"/>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18.1</w:t>
      </w:r>
      <w:r>
        <w:rPr>
          <w:rFonts w:hint="eastAsia" w:ascii="宋体" w:hAnsi="宋体"/>
          <w:bCs/>
          <w:sz w:val="28"/>
          <w:szCs w:val="28"/>
          <w:highlight w:val="none"/>
        </w:rPr>
        <w:t>投标文件中“价格文件”应当与“商务技术文件”和“资格证明文件”分开，单独密封包装，并在封套的封口处加盖投标供应商公章。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18.2</w:t>
      </w:r>
      <w:r>
        <w:rPr>
          <w:rFonts w:hint="eastAsia" w:ascii="宋体" w:hAnsi="宋体"/>
          <w:bCs/>
          <w:sz w:val="28"/>
          <w:szCs w:val="28"/>
          <w:highlight w:val="none"/>
        </w:rPr>
        <w:t>投标文件封套上应当写明</w:t>
      </w:r>
      <w:r>
        <w:rPr>
          <w:rFonts w:ascii="宋体" w:hAnsi="宋体"/>
          <w:bCs/>
          <w:sz w:val="28"/>
          <w:szCs w:val="28"/>
          <w:highlight w:val="none"/>
        </w:rPr>
        <w:t>项目名称、项目</w:t>
      </w:r>
      <w:r>
        <w:rPr>
          <w:rFonts w:ascii="宋体" w:hAnsi="宋体"/>
          <w:bCs/>
          <w:sz w:val="28"/>
          <w:szCs w:val="28"/>
        </w:rPr>
        <w:t>编号、所投包号、投标供应商名称</w:t>
      </w:r>
      <w:r>
        <w:rPr>
          <w:rFonts w:hint="eastAsia" w:ascii="宋体" w:hAnsi="宋体"/>
          <w:bCs/>
          <w:sz w:val="28"/>
          <w:szCs w:val="28"/>
        </w:rPr>
        <w:t>，以及“价格文件”“商务技术文件”或“资格证明文件”</w:t>
      </w:r>
      <w:r>
        <w:rPr>
          <w:rFonts w:ascii="宋体" w:hAnsi="宋体"/>
          <w:bCs/>
          <w:sz w:val="28"/>
          <w:szCs w:val="28"/>
        </w:rPr>
        <w:t>和“开标时启封”字样。</w:t>
      </w:r>
    </w:p>
    <w:p>
      <w:pPr>
        <w:pStyle w:val="16"/>
        <w:spacing w:after="0" w:line="560" w:lineRule="exact"/>
        <w:ind w:firstLine="560" w:firstLineChars="200"/>
      </w:pPr>
      <w:r>
        <w:rPr>
          <w:rFonts w:ascii="宋体" w:hAnsi="宋体"/>
          <w:bCs/>
          <w:sz w:val="28"/>
          <w:szCs w:val="28"/>
        </w:rPr>
        <w:t>18.3</w:t>
      </w:r>
      <w:r>
        <w:rPr>
          <w:rFonts w:hint="eastAsia" w:ascii="宋体" w:hAnsi="宋体"/>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Pr>
          <w:rFonts w:ascii="宋体" w:hAnsi="宋体"/>
          <w:bCs/>
          <w:sz w:val="28"/>
          <w:szCs w:val="28"/>
        </w:rPr>
        <w:t>18.1</w:t>
      </w:r>
      <w:r>
        <w:rPr>
          <w:rFonts w:hint="eastAsia" w:ascii="宋体" w:hAnsi="宋体"/>
          <w:bCs/>
          <w:sz w:val="28"/>
          <w:szCs w:val="28"/>
        </w:rPr>
        <w:t>条和第</w:t>
      </w:r>
      <w:r>
        <w:rPr>
          <w:rFonts w:ascii="宋体" w:hAnsi="宋体"/>
          <w:bCs/>
          <w:sz w:val="28"/>
          <w:szCs w:val="28"/>
        </w:rPr>
        <w:t>18.2</w:t>
      </w:r>
      <w:r>
        <w:rPr>
          <w:rFonts w:hint="eastAsia" w:ascii="宋体" w:hAnsi="宋体"/>
          <w:bCs/>
          <w:sz w:val="28"/>
          <w:szCs w:val="28"/>
        </w:rPr>
        <w:t>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18.4投标供应商应当在</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交投标文件截止时间前，将投标文件送达采购机构指定地点。</w:t>
      </w:r>
      <w:bookmarkStart w:id="145"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的投标文件</w:t>
      </w:r>
      <w:r>
        <w:rPr>
          <w:rFonts w:ascii="宋体" w:hAnsi="宋体"/>
          <w:bCs/>
          <w:sz w:val="28"/>
          <w:szCs w:val="28"/>
        </w:rPr>
        <w:t>，采购机构将拒收</w:t>
      </w:r>
      <w:bookmarkEnd w:id="145"/>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18.5电报、电话、电传、邮寄等形式的投标文件概不</w:t>
      </w:r>
      <w:r>
        <w:rPr>
          <w:rFonts w:hint="eastAsia" w:ascii="宋体" w:hAnsi="宋体"/>
          <w:bCs/>
          <w:sz w:val="28"/>
          <w:szCs w:val="28"/>
        </w:rPr>
        <w:t>接收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18.6投标文件未按要求密封、标记的，采购机构将拒收。</w:t>
      </w:r>
    </w:p>
    <w:p>
      <w:pPr>
        <w:pStyle w:val="6"/>
        <w:keepNext w:val="0"/>
        <w:keepLines w:val="0"/>
        <w:adjustRightInd w:val="0"/>
        <w:snapToGrid w:val="0"/>
        <w:ind w:firstLine="560" w:firstLineChars="200"/>
        <w:rPr>
          <w:rFonts w:ascii="黑体" w:hAnsi="黑体"/>
          <w:b w:val="0"/>
          <w:highlight w:val="none"/>
        </w:rPr>
      </w:pPr>
      <w:bookmarkStart w:id="146" w:name="_Toc27185"/>
      <w:bookmarkStart w:id="147" w:name="_Toc8208"/>
      <w:bookmarkStart w:id="148" w:name="_Toc16058"/>
      <w:bookmarkStart w:id="149" w:name="_Toc12761"/>
      <w:r>
        <w:rPr>
          <w:rFonts w:ascii="黑体" w:hAnsi="黑体"/>
          <w:b w:val="0"/>
        </w:rPr>
        <w:t>1</w:t>
      </w:r>
      <w:r>
        <w:rPr>
          <w:rFonts w:ascii="黑体" w:hAnsi="黑体"/>
          <w:b w:val="0"/>
          <w:highlight w:val="none"/>
        </w:rPr>
        <w:t>9.</w:t>
      </w:r>
      <w:r>
        <w:rPr>
          <w:rFonts w:hint="eastAsia" w:ascii="黑体" w:hAnsi="黑体"/>
          <w:b w:val="0"/>
          <w:highlight w:val="none"/>
        </w:rPr>
        <w:t>投标文件的修改和撤回</w:t>
      </w:r>
      <w:bookmarkEnd w:id="146"/>
      <w:bookmarkEnd w:id="147"/>
      <w:bookmarkEnd w:id="148"/>
      <w:bookmarkEnd w:id="149"/>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19.1投标供应商在投标截止时间前，可以对提交的投标文件进行补充、修改或撤回</w:t>
      </w:r>
      <w:r>
        <w:rPr>
          <w:rFonts w:hint="eastAsia" w:ascii="宋体" w:hAnsi="宋体"/>
          <w:bCs/>
          <w:sz w:val="28"/>
          <w:szCs w:val="28"/>
          <w:highlight w:val="none"/>
          <w:lang w:val="zh-CN"/>
        </w:rPr>
        <w:t>，</w:t>
      </w:r>
      <w:r>
        <w:rPr>
          <w:rFonts w:ascii="宋体" w:hAnsi="宋体"/>
          <w:bCs/>
          <w:sz w:val="28"/>
          <w:szCs w:val="28"/>
          <w:highlight w:val="none"/>
          <w:lang w:val="zh-CN"/>
        </w:rPr>
        <w:t>补充</w:t>
      </w:r>
      <w:r>
        <w:rPr>
          <w:rFonts w:hint="eastAsia" w:ascii="宋体" w:hAnsi="宋体"/>
          <w:bCs/>
          <w:sz w:val="28"/>
          <w:szCs w:val="28"/>
          <w:highlight w:val="none"/>
          <w:lang w:val="zh-CN"/>
        </w:rPr>
        <w:t>或</w:t>
      </w:r>
      <w:r>
        <w:rPr>
          <w:rFonts w:ascii="宋体" w:hAnsi="宋体"/>
          <w:bCs/>
          <w:sz w:val="28"/>
          <w:szCs w:val="28"/>
          <w:highlight w:val="none"/>
          <w:lang w:val="zh-CN"/>
        </w:rPr>
        <w:t>修改的内容应当以书面形式</w:t>
      </w:r>
      <w:r>
        <w:rPr>
          <w:rFonts w:hint="eastAsia" w:ascii="宋体" w:hAnsi="宋体"/>
          <w:bCs/>
          <w:sz w:val="28"/>
          <w:szCs w:val="28"/>
          <w:highlight w:val="none"/>
          <w:lang w:val="zh-CN"/>
        </w:rPr>
        <w:t>提交</w:t>
      </w:r>
      <w:r>
        <w:rPr>
          <w:rFonts w:ascii="宋体" w:hAnsi="宋体"/>
          <w:bCs/>
          <w:sz w:val="28"/>
          <w:szCs w:val="28"/>
          <w:highlight w:val="none"/>
          <w:lang w:val="zh-CN"/>
        </w:rPr>
        <w:t>采购机构，并按照招标文件要求签字盖章，作为投标文件的组成部分。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19.2</w:t>
      </w:r>
      <w:r>
        <w:rPr>
          <w:rFonts w:hint="eastAsia" w:ascii="宋体" w:hAnsi="宋体"/>
          <w:bCs/>
          <w:sz w:val="28"/>
          <w:szCs w:val="28"/>
          <w:highlight w:val="none"/>
        </w:rPr>
        <w:t>投标截止时间后，</w:t>
      </w:r>
      <w:r>
        <w:rPr>
          <w:rFonts w:ascii="宋体" w:hAnsi="宋体"/>
          <w:bCs/>
          <w:sz w:val="28"/>
          <w:szCs w:val="28"/>
          <w:highlight w:val="none"/>
          <w:lang w:val="zh-CN"/>
        </w:rPr>
        <w:t>采购机构不接受对投标文件内容的实质性修改</w:t>
      </w:r>
      <w:r>
        <w:rPr>
          <w:rFonts w:hint="eastAsia" w:ascii="宋体" w:hAnsi="宋体"/>
          <w:bCs/>
          <w:sz w:val="28"/>
          <w:szCs w:val="28"/>
          <w:highlight w:val="none"/>
          <w:lang w:val="zh-CN"/>
        </w:rPr>
        <w:t>。</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19.3投标供应商修改投标文件的书面材料，</w:t>
      </w:r>
      <w:r>
        <w:rPr>
          <w:rFonts w:hint="eastAsia" w:ascii="宋体" w:hAnsi="宋体"/>
          <w:bCs/>
          <w:sz w:val="28"/>
          <w:szCs w:val="28"/>
          <w:highlight w:val="none"/>
        </w:rPr>
        <w:t>应当</w:t>
      </w:r>
      <w:r>
        <w:rPr>
          <w:rFonts w:ascii="宋体" w:hAnsi="宋体"/>
          <w:bCs/>
          <w:sz w:val="28"/>
          <w:szCs w:val="28"/>
          <w:highlight w:val="none"/>
        </w:rPr>
        <w:t>密封送达投标地点，并在封面上标明项目名称、项目编号、投标供应商名称和“投标修改文件</w:t>
      </w:r>
      <w:r>
        <w:rPr>
          <w:rFonts w:hint="eastAsia" w:ascii="宋体" w:hAnsi="宋体"/>
          <w:bCs/>
          <w:sz w:val="28"/>
          <w:szCs w:val="28"/>
          <w:highlight w:val="none"/>
        </w:rPr>
        <w:t>”</w:t>
      </w:r>
      <w:r>
        <w:rPr>
          <w:rFonts w:ascii="宋体" w:hAnsi="宋体"/>
          <w:bCs/>
          <w:sz w:val="28"/>
          <w:szCs w:val="28"/>
          <w:highlight w:val="none"/>
        </w:rPr>
        <w:t>“开标时启封”字样。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19.4投标供应商撤回投标应当以书面形式通知采购机构。采取电报或传真形式撤回投标的，</w:t>
      </w:r>
      <w:r>
        <w:rPr>
          <w:rFonts w:hint="eastAsia" w:ascii="宋体" w:hAnsi="宋体"/>
          <w:bCs/>
          <w:sz w:val="28"/>
          <w:szCs w:val="28"/>
          <w:highlight w:val="none"/>
        </w:rPr>
        <w:t>应当</w:t>
      </w:r>
      <w:r>
        <w:rPr>
          <w:rFonts w:ascii="宋体" w:hAnsi="宋体"/>
          <w:bCs/>
          <w:sz w:val="28"/>
          <w:szCs w:val="28"/>
          <w:highlight w:val="none"/>
        </w:rPr>
        <w:t>补充法定代表人或授权代表签字的撤回投标的正式文件。撤回投标的时间以投标供应商的书面撤回通知送达采购机构时间为准。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19.5开标后，投标供应商不得撤回投标，否则投标保证金不予退还。</w:t>
      </w:r>
      <w:bookmarkStart w:id="150" w:name="_Toc112317771"/>
    </w:p>
    <w:p>
      <w:pPr>
        <w:pStyle w:val="5"/>
        <w:keepNext w:val="0"/>
        <w:keepLines w:val="0"/>
        <w:adjustRightInd w:val="0"/>
        <w:snapToGrid w:val="0"/>
        <w:spacing w:before="120" w:beforeLines="50" w:after="120" w:afterLines="50" w:line="560" w:lineRule="exact"/>
        <w:jc w:val="center"/>
        <w:rPr>
          <w:b w:val="0"/>
          <w:highlight w:val="none"/>
        </w:rPr>
      </w:pPr>
      <w:bookmarkStart w:id="151" w:name="_Toc24169"/>
      <w:bookmarkStart w:id="152" w:name="_Toc14016"/>
      <w:bookmarkStart w:id="153" w:name="_Toc19755"/>
      <w:bookmarkStart w:id="154" w:name="_Toc15835"/>
      <w:bookmarkStart w:id="155" w:name="_Toc31592"/>
      <w:bookmarkStart w:id="156" w:name="_Toc757"/>
      <w:bookmarkStart w:id="157" w:name="_Toc11560"/>
      <w:r>
        <w:rPr>
          <w:rFonts w:hint="eastAsia"/>
          <w:b w:val="0"/>
          <w:highlight w:val="none"/>
        </w:rPr>
        <w:t>五、开标与评标</w:t>
      </w:r>
      <w:bookmarkEnd w:id="150"/>
      <w:bookmarkEnd w:id="151"/>
      <w:bookmarkEnd w:id="152"/>
      <w:bookmarkEnd w:id="153"/>
      <w:bookmarkEnd w:id="154"/>
      <w:bookmarkEnd w:id="155"/>
      <w:bookmarkEnd w:id="156"/>
      <w:bookmarkEnd w:id="157"/>
    </w:p>
    <w:p>
      <w:pPr>
        <w:pStyle w:val="6"/>
        <w:keepNext w:val="0"/>
        <w:keepLines w:val="0"/>
        <w:adjustRightInd w:val="0"/>
        <w:snapToGrid w:val="0"/>
        <w:ind w:firstLine="560" w:firstLineChars="200"/>
        <w:rPr>
          <w:rFonts w:ascii="黑体" w:hAnsi="黑体"/>
          <w:b w:val="0"/>
          <w:highlight w:val="none"/>
        </w:rPr>
      </w:pPr>
      <w:bookmarkStart w:id="158" w:name="_Toc6783"/>
      <w:bookmarkStart w:id="159" w:name="_Toc14656"/>
      <w:bookmarkStart w:id="160" w:name="_Toc20058"/>
      <w:bookmarkStart w:id="161" w:name="_Toc28475"/>
      <w:r>
        <w:rPr>
          <w:rFonts w:ascii="黑体" w:hAnsi="黑体"/>
          <w:b w:val="0"/>
          <w:highlight w:val="none"/>
        </w:rPr>
        <w:t>20.</w:t>
      </w:r>
      <w:r>
        <w:rPr>
          <w:rFonts w:hint="eastAsia" w:ascii="黑体" w:hAnsi="黑体"/>
          <w:b w:val="0"/>
          <w:highlight w:val="none"/>
        </w:rPr>
        <w:t>开标</w:t>
      </w:r>
      <w:bookmarkEnd w:id="158"/>
      <w:bookmarkEnd w:id="159"/>
      <w:bookmarkEnd w:id="160"/>
      <w:bookmarkEnd w:id="161"/>
    </w:p>
    <w:p>
      <w:pPr>
        <w:tabs>
          <w:tab w:val="left" w:pos="1020"/>
        </w:tabs>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20.1</w:t>
      </w:r>
      <w:r>
        <w:rPr>
          <w:rFonts w:hint="eastAsia" w:ascii="宋体" w:hAnsi="宋体"/>
          <w:bCs/>
          <w:sz w:val="28"/>
          <w:szCs w:val="28"/>
          <w:highlight w:val="none"/>
        </w:rPr>
        <w:t>成功提交投标文件的投标供应商不足3家的，一般不得组织开标，满足第</w:t>
      </w:r>
      <w:r>
        <w:rPr>
          <w:rFonts w:ascii="宋体" w:hAnsi="宋体"/>
          <w:bCs/>
          <w:sz w:val="28"/>
          <w:szCs w:val="28"/>
          <w:highlight w:val="none"/>
        </w:rPr>
        <w:t>20.4</w:t>
      </w:r>
      <w:r>
        <w:rPr>
          <w:rFonts w:hint="eastAsia" w:ascii="宋体" w:hAnsi="宋体"/>
          <w:bCs/>
          <w:sz w:val="28"/>
          <w:szCs w:val="28"/>
          <w:highlight w:val="none"/>
        </w:rPr>
        <w:t>条情形的除外。</w:t>
      </w:r>
      <w:r>
        <w:rPr>
          <w:rFonts w:ascii="宋体" w:hAnsi="宋体"/>
          <w:bCs/>
          <w:sz w:val="28"/>
          <w:szCs w:val="28"/>
          <w:highlight w:val="none"/>
        </w:rPr>
        <w:t>采购机构按</w:t>
      </w:r>
      <w:r>
        <w:rPr>
          <w:rFonts w:hint="eastAsia" w:ascii="宋体" w:hAnsi="宋体"/>
          <w:bCs/>
          <w:sz w:val="28"/>
          <w:szCs w:val="28"/>
          <w:highlight w:val="none"/>
          <w:lang w:val="zh-CN"/>
        </w:rPr>
        <w:t>【投标供应商须知前附表】</w:t>
      </w:r>
      <w:r>
        <w:rPr>
          <w:rFonts w:hint="eastAsia" w:ascii="宋体" w:hAnsi="宋体"/>
          <w:bCs/>
          <w:sz w:val="28"/>
          <w:szCs w:val="28"/>
          <w:highlight w:val="none"/>
        </w:rPr>
        <w:t>明确</w:t>
      </w:r>
      <w:r>
        <w:rPr>
          <w:rFonts w:ascii="宋体" w:hAnsi="宋体"/>
          <w:bCs/>
          <w:sz w:val="28"/>
          <w:szCs w:val="28"/>
          <w:highlight w:val="none"/>
        </w:rPr>
        <w:t>的时间、地点</w:t>
      </w:r>
      <w:r>
        <w:rPr>
          <w:rFonts w:hint="eastAsia" w:ascii="宋体" w:hAnsi="宋体"/>
          <w:bCs/>
          <w:sz w:val="28"/>
          <w:szCs w:val="28"/>
          <w:highlight w:val="none"/>
        </w:rPr>
        <w:t>组织</w:t>
      </w:r>
      <w:r>
        <w:rPr>
          <w:rFonts w:ascii="宋体" w:hAnsi="宋体"/>
          <w:bCs/>
          <w:sz w:val="28"/>
          <w:szCs w:val="28"/>
          <w:highlight w:val="none"/>
        </w:rPr>
        <w:t>开标</w:t>
      </w:r>
      <w:r>
        <w:rPr>
          <w:rFonts w:hint="eastAsia" w:ascii="宋体" w:hAnsi="宋体"/>
          <w:bCs/>
          <w:sz w:val="28"/>
          <w:szCs w:val="28"/>
          <w:highlight w:val="none"/>
        </w:rPr>
        <w:t>，</w:t>
      </w:r>
      <w:r>
        <w:rPr>
          <w:rFonts w:ascii="宋体" w:hAnsi="宋体"/>
          <w:bCs/>
          <w:sz w:val="28"/>
          <w:szCs w:val="28"/>
          <w:highlight w:val="none"/>
        </w:rPr>
        <w:t>投标供应商和有关方面代表参加。</w:t>
      </w:r>
      <w:r>
        <w:rPr>
          <w:rFonts w:hint="eastAsia" w:ascii="宋体" w:hAnsi="宋体"/>
          <w:bCs/>
          <w:sz w:val="28"/>
          <w:szCs w:val="28"/>
          <w:highlight w:val="none"/>
        </w:rPr>
        <w:t>评审委员会</w:t>
      </w:r>
      <w:r>
        <w:rPr>
          <w:rFonts w:ascii="宋体" w:hAnsi="宋体"/>
          <w:bCs/>
          <w:sz w:val="28"/>
          <w:szCs w:val="28"/>
          <w:highlight w:val="none"/>
        </w:rPr>
        <w:t>成员不得参加开标大会。</w:t>
      </w:r>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20.2</w:t>
      </w:r>
      <w:r>
        <w:rPr>
          <w:rFonts w:hint="eastAsia" w:ascii="宋体" w:hAnsi="宋体"/>
          <w:bCs/>
          <w:sz w:val="28"/>
          <w:szCs w:val="28"/>
        </w:rPr>
        <w:t>开标时，由投标供应商或其推选的代表检查所有投标文件的密封情况并当场公布检查结果。经确认无误后，当众</w:t>
      </w:r>
      <w:bookmarkStart w:id="162" w:name="_Hlk112507062"/>
      <w:r>
        <w:rPr>
          <w:rFonts w:hint="eastAsia" w:ascii="宋体" w:hAnsi="宋体"/>
          <w:bCs/>
          <w:sz w:val="28"/>
          <w:szCs w:val="28"/>
        </w:rPr>
        <w:t>拆封</w:t>
      </w:r>
      <w:bookmarkEnd w:id="162"/>
      <w:r>
        <w:rPr>
          <w:rFonts w:hint="eastAsia" w:ascii="宋体" w:hAnsi="宋体"/>
          <w:bCs/>
          <w:sz w:val="28"/>
          <w:szCs w:val="28"/>
        </w:rPr>
        <w:t>投标文件，宣读价格文件中“开标一览表”的全部内容，开标未宣读的投标报价信息无效。</w:t>
      </w:r>
    </w:p>
    <w:p>
      <w:pPr>
        <w:tabs>
          <w:tab w:val="left" w:pos="102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Pr>
          <w:rFonts w:hint="eastAsia" w:ascii="宋体" w:hAnsi="宋体"/>
          <w:bCs/>
          <w:sz w:val="28"/>
          <w:szCs w:val="28"/>
          <w:lang w:val="zh-CN"/>
        </w:rPr>
        <w:t>文件中</w:t>
      </w:r>
      <w:r>
        <w:rPr>
          <w:rFonts w:hint="eastAsia" w:ascii="宋体" w:hAnsi="宋体"/>
          <w:bCs/>
          <w:sz w:val="28"/>
          <w:szCs w:val="28"/>
        </w:rPr>
        <w:t>规定的合格分或规定名次的投标供应商，并对其“开标一览表（含价格）”进行开标，公布投标报价。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20.3投标供应商对开标过程有异议的，应当在开标</w:t>
      </w:r>
      <w:r>
        <w:rPr>
          <w:rFonts w:hint="eastAsia" w:ascii="宋体" w:hAnsi="宋体"/>
          <w:bCs/>
          <w:sz w:val="28"/>
          <w:szCs w:val="28"/>
        </w:rPr>
        <w:t>现场提出，采购机构当场答复。采购机构同时作开标记</w:t>
      </w:r>
      <w:r>
        <w:rPr>
          <w:rFonts w:hint="eastAsia" w:ascii="宋体" w:hAnsi="宋体"/>
          <w:bCs/>
          <w:sz w:val="28"/>
          <w:szCs w:val="28"/>
          <w:highlight w:val="none"/>
        </w:rPr>
        <w:t>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20.4</w:t>
      </w:r>
      <w:r>
        <w:rPr>
          <w:rFonts w:hint="eastAsia" w:ascii="宋体" w:hAnsi="宋体"/>
          <w:bCs/>
          <w:sz w:val="28"/>
          <w:szCs w:val="28"/>
          <w:highlight w:val="none"/>
        </w:rPr>
        <w:t>投标供应商或通过资格性、符合性审查的投标供应商只有</w:t>
      </w:r>
      <w:r>
        <w:rPr>
          <w:rFonts w:ascii="宋体" w:hAnsi="宋体"/>
          <w:bCs/>
          <w:sz w:val="28"/>
          <w:szCs w:val="28"/>
          <w:highlight w:val="none"/>
        </w:rPr>
        <w:t>2家且预算金额在500万元以下项目，或重新组织</w:t>
      </w:r>
      <w:r>
        <w:rPr>
          <w:rFonts w:hint="eastAsia" w:ascii="宋体" w:hAnsi="宋体"/>
          <w:bCs/>
          <w:sz w:val="28"/>
          <w:szCs w:val="28"/>
          <w:highlight w:val="none"/>
        </w:rPr>
        <w:t>采购仍只有</w:t>
      </w:r>
      <w:r>
        <w:rPr>
          <w:rFonts w:ascii="宋体" w:hAnsi="宋体"/>
          <w:bCs/>
          <w:sz w:val="28"/>
          <w:szCs w:val="28"/>
          <w:highlight w:val="none"/>
        </w:rPr>
        <w:t>2家投标供应商响应的项目，采购机构应当组织评审委员会</w:t>
      </w:r>
      <w:r>
        <w:rPr>
          <w:rFonts w:hint="eastAsia" w:ascii="宋体" w:hAnsi="宋体"/>
          <w:bCs/>
          <w:sz w:val="28"/>
          <w:szCs w:val="28"/>
          <w:highlight w:val="none"/>
        </w:rPr>
        <w:t>成员</w:t>
      </w:r>
      <w:r>
        <w:rPr>
          <w:rFonts w:ascii="宋体" w:hAnsi="宋体"/>
          <w:bCs/>
          <w:sz w:val="28"/>
          <w:szCs w:val="28"/>
          <w:highlight w:val="none"/>
        </w:rPr>
        <w:t>对招标文件进行论证，并根据论证情况按照以下方式处理：</w:t>
      </w:r>
    </w:p>
    <w:p>
      <w:pPr>
        <w:adjustRightInd w:val="0"/>
        <w:snapToGrid w:val="0"/>
        <w:spacing w:line="560" w:lineRule="exact"/>
        <w:ind w:firstLine="560" w:firstLineChars="200"/>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评审委员会认为</w:t>
      </w:r>
      <w:r>
        <w:rPr>
          <w:rFonts w:ascii="宋体" w:hAnsi="宋体"/>
          <w:bCs/>
          <w:sz w:val="28"/>
          <w:szCs w:val="28"/>
          <w:highlight w:val="none"/>
        </w:rPr>
        <w:t>招标文件</w:t>
      </w:r>
      <w:r>
        <w:rPr>
          <w:rFonts w:hint="eastAsia" w:ascii="宋体" w:hAnsi="宋体"/>
          <w:bCs/>
          <w:sz w:val="28"/>
          <w:szCs w:val="28"/>
          <w:highlight w:val="none"/>
        </w:rPr>
        <w:t>无倾向性或排他性</w:t>
      </w:r>
      <w:r>
        <w:rPr>
          <w:rFonts w:hint="eastAsia" w:ascii="宋体" w:hAnsi="宋体"/>
          <w:bCs/>
          <w:sz w:val="28"/>
          <w:szCs w:val="28"/>
        </w:rPr>
        <w:t>条款，供应商选择程序合规的</w:t>
      </w:r>
      <w:r>
        <w:rPr>
          <w:rFonts w:ascii="宋体" w:hAnsi="宋体"/>
          <w:bCs/>
          <w:sz w:val="28"/>
          <w:szCs w:val="28"/>
        </w:rPr>
        <w:t>，采购机构可以重新招标</w:t>
      </w:r>
      <w:r>
        <w:rPr>
          <w:rFonts w:hint="eastAsia" w:ascii="宋体" w:hAnsi="宋体"/>
          <w:bCs/>
          <w:sz w:val="28"/>
          <w:szCs w:val="28"/>
        </w:rPr>
        <w:t>，也可以由采购机构报上级采购管理部门批准，并经采购单位同意后，</w:t>
      </w:r>
      <w:r>
        <w:rPr>
          <w:rFonts w:ascii="宋体" w:hAnsi="宋体"/>
          <w:bCs/>
          <w:sz w:val="28"/>
          <w:szCs w:val="28"/>
        </w:rPr>
        <w:t>在不变更投标供应商资格条件和采购需求的前提下与这两家供应商进行竞争性谈判。</w:t>
      </w:r>
      <w:r>
        <w:rPr>
          <w:rFonts w:hint="eastAsia" w:ascii="宋体" w:hAnsi="宋体"/>
          <w:bCs/>
          <w:sz w:val="28"/>
          <w:szCs w:val="28"/>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评审委员会认为</w:t>
      </w:r>
      <w:r>
        <w:rPr>
          <w:rFonts w:ascii="宋体" w:hAnsi="宋体"/>
          <w:bCs/>
          <w:sz w:val="28"/>
          <w:szCs w:val="28"/>
        </w:rPr>
        <w:t>招标文件存在不合理条款或招标程序不符合规定的，采购机构改正后依法重新招标</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63" w:name="_Toc26244"/>
      <w:bookmarkStart w:id="164" w:name="_Toc32061"/>
      <w:bookmarkStart w:id="165" w:name="_Toc12233"/>
      <w:bookmarkStart w:id="166" w:name="_Toc30106"/>
      <w:r>
        <w:rPr>
          <w:rFonts w:ascii="黑体" w:hAnsi="黑体"/>
          <w:b w:val="0"/>
        </w:rPr>
        <w:t>21.</w:t>
      </w:r>
      <w:r>
        <w:rPr>
          <w:rFonts w:hint="eastAsia" w:ascii="黑体" w:hAnsi="黑体"/>
          <w:b w:val="0"/>
        </w:rPr>
        <w:t>评审原则与方法</w:t>
      </w:r>
      <w:bookmarkEnd w:id="163"/>
      <w:bookmarkEnd w:id="164"/>
      <w:bookmarkEnd w:id="165"/>
      <w:bookmarkEnd w:id="166"/>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）严格依据招标文件规定的评审方法、程序和标准评审。不得以投票表决等形式修改招标文件规定的评审方法、</w:t>
      </w:r>
      <w:r>
        <w:rPr>
          <w:rFonts w:hint="eastAsia"/>
          <w:bCs/>
          <w:sz w:val="28"/>
          <w:szCs w:val="28"/>
        </w:rPr>
        <w:t>程序</w:t>
      </w:r>
      <w:r>
        <w:rPr>
          <w:rFonts w:hint="eastAsia" w:ascii="宋体" w:hAnsi="宋体"/>
          <w:bCs/>
          <w:sz w:val="28"/>
          <w:szCs w:val="28"/>
        </w:rPr>
        <w:t>和标准；招标文件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对所有投标</w:t>
      </w:r>
      <w:r>
        <w:rPr>
          <w:rFonts w:hint="eastAsia" w:ascii="宋体" w:hAnsi="宋体"/>
          <w:bCs/>
          <w:sz w:val="28"/>
          <w:szCs w:val="28"/>
        </w:rPr>
        <w:t>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w:t>
      </w:r>
      <w:r>
        <w:rPr>
          <w:rFonts w:ascii="宋体" w:hAnsi="宋体"/>
          <w:bCs/>
          <w:sz w:val="28"/>
          <w:szCs w:val="28"/>
        </w:rPr>
        <w:t>招标文件和投标文件</w:t>
      </w:r>
      <w:r>
        <w:rPr>
          <w:rFonts w:hint="eastAsia" w:ascii="宋体" w:hAnsi="宋体"/>
          <w:bCs/>
          <w:sz w:val="28"/>
          <w:szCs w:val="28"/>
        </w:rPr>
        <w:t>的</w:t>
      </w:r>
      <w:r>
        <w:rPr>
          <w:rFonts w:ascii="宋体" w:hAnsi="宋体"/>
          <w:bCs/>
          <w:sz w:val="28"/>
          <w:szCs w:val="28"/>
        </w:rPr>
        <w:t>解释澄清，在不改变文件原义的前提下，应当以有利于投标供应商为原则。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21.2评审方法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采购机构在【投标供应商须知前附表】中明确采用下列一种评审方法：</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综合评分法，是指投标文件满足招标文件资格性和符合性要求，将按照评审标准综合评审得分最高的投标供应商，作为预中标供应商的评审方法。采用百分制评分。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spacing w:line="560" w:lineRule="exact"/>
        <w:ind w:firstLine="560" w:firstLineChars="200"/>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经评审的最低价法，是指投标文件满足招标文件资格性和符合性要求，将报价最低的投标供应商，作为预中标供应商的评审方法。</w:t>
      </w:r>
    </w:p>
    <w:p>
      <w:pPr>
        <w:pStyle w:val="6"/>
        <w:keepNext w:val="0"/>
        <w:keepLines w:val="0"/>
        <w:adjustRightInd w:val="0"/>
        <w:snapToGrid w:val="0"/>
        <w:ind w:firstLine="560" w:firstLineChars="200"/>
        <w:rPr>
          <w:rFonts w:ascii="黑体" w:hAnsi="黑体"/>
          <w:b w:val="0"/>
        </w:rPr>
      </w:pPr>
      <w:bookmarkStart w:id="167" w:name="_Toc27886"/>
      <w:bookmarkStart w:id="168" w:name="_Toc13681"/>
      <w:bookmarkStart w:id="169" w:name="_Toc9920"/>
      <w:bookmarkStart w:id="170" w:name="_Toc10826"/>
      <w:r>
        <w:rPr>
          <w:rFonts w:ascii="黑体" w:hAnsi="黑体"/>
          <w:b w:val="0"/>
        </w:rPr>
        <w:t>22.</w:t>
      </w:r>
      <w:r>
        <w:rPr>
          <w:rFonts w:hint="eastAsia" w:ascii="黑体" w:hAnsi="黑体"/>
          <w:b w:val="0"/>
        </w:rPr>
        <w:t>评审标准</w:t>
      </w:r>
      <w:bookmarkEnd w:id="167"/>
      <w:bookmarkEnd w:id="168"/>
      <w:bookmarkEnd w:id="169"/>
      <w:bookmarkEnd w:id="170"/>
    </w:p>
    <w:p>
      <w:pPr>
        <w:tabs>
          <w:tab w:val="left" w:pos="1020"/>
        </w:tabs>
        <w:adjustRightInd w:val="0"/>
        <w:snapToGrid w:val="0"/>
        <w:spacing w:line="560" w:lineRule="exact"/>
        <w:ind w:firstLine="574" w:firstLineChars="205"/>
        <w:rPr>
          <w:rFonts w:ascii="宋体" w:hAnsi="宋体"/>
          <w:bCs/>
          <w:sz w:val="28"/>
          <w:szCs w:val="28"/>
        </w:rPr>
      </w:pPr>
      <w:r>
        <w:rPr>
          <w:rFonts w:ascii="宋体" w:hAnsi="宋体"/>
          <w:bCs/>
          <w:sz w:val="28"/>
          <w:szCs w:val="28"/>
        </w:rPr>
        <w:t>22.1</w:t>
      </w:r>
      <w:r>
        <w:rPr>
          <w:rFonts w:hint="eastAsia" w:ascii="宋体" w:hAnsi="宋体"/>
          <w:bCs/>
          <w:sz w:val="28"/>
          <w:szCs w:val="28"/>
        </w:rPr>
        <w:t>资格性审查标准，见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22.2</w:t>
      </w:r>
      <w:bookmarkStart w:id="171" w:name="_Hlk112422244"/>
      <w:r>
        <w:rPr>
          <w:rFonts w:hint="eastAsia" w:ascii="宋体" w:hAnsi="宋体"/>
          <w:bCs/>
          <w:sz w:val="28"/>
          <w:szCs w:val="28"/>
        </w:rPr>
        <w:t>符合性审查标准</w:t>
      </w:r>
      <w:bookmarkEnd w:id="171"/>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22.3</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72" w:name="_Toc3179"/>
      <w:bookmarkStart w:id="173" w:name="_Toc18131"/>
      <w:bookmarkStart w:id="174" w:name="_Toc13319"/>
      <w:bookmarkStart w:id="175" w:name="_Toc30894"/>
      <w:r>
        <w:rPr>
          <w:rFonts w:ascii="黑体" w:hAnsi="黑体"/>
          <w:b w:val="0"/>
        </w:rPr>
        <w:t>23.</w:t>
      </w:r>
      <w:r>
        <w:rPr>
          <w:rFonts w:hint="eastAsia" w:ascii="黑体" w:hAnsi="黑体"/>
          <w:b w:val="0"/>
        </w:rPr>
        <w:t>评审程序</w:t>
      </w:r>
      <w:bookmarkEnd w:id="172"/>
      <w:bookmarkEnd w:id="173"/>
      <w:bookmarkEnd w:id="174"/>
      <w:bookmarkEnd w:id="175"/>
    </w:p>
    <w:p>
      <w:pPr>
        <w:adjustRightInd w:val="0"/>
        <w:snapToGrid w:val="0"/>
        <w:spacing w:line="560" w:lineRule="exact"/>
        <w:ind w:firstLine="560" w:firstLineChars="200"/>
        <w:rPr>
          <w:rFonts w:ascii="宋体" w:hAnsi="宋体"/>
          <w:bCs/>
        </w:rPr>
      </w:pPr>
      <w:r>
        <w:rPr>
          <w:rFonts w:ascii="宋体" w:hAnsi="宋体"/>
          <w:bCs/>
          <w:sz w:val="28"/>
          <w:szCs w:val="28"/>
        </w:rPr>
        <w:t>23.1评审</w:t>
      </w:r>
      <w:r>
        <w:rPr>
          <w:rFonts w:hint="eastAsia" w:ascii="宋体" w:hAnsi="宋体"/>
          <w:bCs/>
          <w:sz w:val="28"/>
          <w:szCs w:val="28"/>
        </w:rPr>
        <w:t>按照资格性审查、召开评审预备会、审阅招标文件、符合性审查、商务技术评审、价格评审、复核评审结果、出具评审报告、宣布评审结果、公示评审结果的基本程序组织实施。</w:t>
      </w:r>
    </w:p>
    <w:p>
      <w:pPr>
        <w:pStyle w:val="6"/>
        <w:keepNext w:val="0"/>
        <w:keepLines w:val="0"/>
        <w:adjustRightInd w:val="0"/>
        <w:snapToGrid w:val="0"/>
        <w:ind w:firstLine="560" w:firstLineChars="200"/>
        <w:rPr>
          <w:rFonts w:ascii="黑体" w:hAnsi="黑体"/>
          <w:b w:val="0"/>
        </w:rPr>
      </w:pPr>
      <w:bookmarkStart w:id="176" w:name="_Toc12697"/>
      <w:bookmarkStart w:id="177" w:name="_Toc2840"/>
      <w:bookmarkStart w:id="178" w:name="_Toc24106"/>
      <w:bookmarkStart w:id="179" w:name="_Toc7141"/>
      <w:r>
        <w:rPr>
          <w:rFonts w:ascii="黑体" w:hAnsi="黑体"/>
          <w:b w:val="0"/>
        </w:rPr>
        <w:t>24.</w:t>
      </w:r>
      <w:r>
        <w:rPr>
          <w:rFonts w:hint="eastAsia" w:ascii="黑体" w:hAnsi="黑体"/>
          <w:b w:val="0"/>
        </w:rPr>
        <w:t>资格性审查</w:t>
      </w:r>
      <w:bookmarkEnd w:id="176"/>
      <w:bookmarkEnd w:id="177"/>
      <w:bookmarkEnd w:id="178"/>
      <w:bookmarkEnd w:id="17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开标后，采购机构</w:t>
      </w:r>
      <w:r>
        <w:rPr>
          <w:rFonts w:ascii="宋体" w:hAnsi="宋体"/>
          <w:bCs/>
          <w:sz w:val="28"/>
          <w:szCs w:val="28"/>
        </w:rPr>
        <w:t>依据招标文件规定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对投标供应商的资格进行审查。</w:t>
      </w:r>
    </w:p>
    <w:p>
      <w:pPr>
        <w:adjustRightInd w:val="0"/>
        <w:snapToGrid w:val="0"/>
        <w:spacing w:line="560" w:lineRule="exact"/>
        <w:ind w:firstLine="560" w:firstLineChars="200"/>
        <w:rPr>
          <w:rFonts w:ascii="仿宋_GB2312" w:hAnsi="仿宋"/>
          <w:bCs/>
          <w:sz w:val="28"/>
          <w:szCs w:val="36"/>
        </w:rPr>
      </w:pPr>
      <w:r>
        <w:rPr>
          <w:rFonts w:hint="eastAsia" w:ascii="仿宋_GB2312" w:hAnsi="仿宋"/>
          <w:bCs/>
          <w:sz w:val="28"/>
          <w:szCs w:val="36"/>
        </w:rPr>
        <w:t>（</w:t>
      </w:r>
      <w:r>
        <w:rPr>
          <w:rFonts w:ascii="仿宋_GB2312" w:hAnsi="仿宋"/>
          <w:bCs/>
          <w:sz w:val="28"/>
          <w:szCs w:val="36"/>
        </w:rPr>
        <w:t>1</w:t>
      </w:r>
      <w:r>
        <w:rPr>
          <w:rFonts w:hint="eastAsia" w:ascii="仿宋_GB2312" w:hAnsi="仿宋"/>
          <w:bCs/>
          <w:sz w:val="28"/>
          <w:szCs w:val="36"/>
        </w:rPr>
        <w:t>）通过资格性审查的</w:t>
      </w:r>
      <w:r>
        <w:rPr>
          <w:rFonts w:hint="eastAsia" w:ascii="宋体" w:hAnsi="宋体"/>
          <w:bCs/>
          <w:sz w:val="28"/>
          <w:szCs w:val="28"/>
        </w:rPr>
        <w:t>投标供应商</w:t>
      </w:r>
      <w:r>
        <w:rPr>
          <w:rFonts w:hint="eastAsia" w:ascii="仿宋_GB2312" w:hAnsi="仿宋"/>
          <w:bCs/>
          <w:sz w:val="28"/>
          <w:szCs w:val="36"/>
        </w:rPr>
        <w:t>进入后续评审；未通过资格性审查的</w:t>
      </w:r>
      <w:r>
        <w:rPr>
          <w:rFonts w:hint="eastAsia" w:ascii="宋体" w:hAnsi="宋体"/>
          <w:bCs/>
          <w:sz w:val="28"/>
          <w:szCs w:val="28"/>
        </w:rPr>
        <w:t>投标供应商不得</w:t>
      </w:r>
      <w:r>
        <w:rPr>
          <w:rFonts w:hint="eastAsia" w:ascii="仿宋_GB2312" w:hAnsi="仿宋"/>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w:t>
      </w:r>
      <w:r>
        <w:rPr>
          <w:rFonts w:hint="eastAsia" w:ascii="宋体" w:hAnsi="宋体"/>
          <w:bCs/>
          <w:sz w:val="28"/>
          <w:szCs w:val="36"/>
        </w:rPr>
        <w:t>）审查人员应当对资格性审查结果签字确认，并提交评审委员会。</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）审查人员应当当场向未通过资格性审查的</w:t>
      </w:r>
      <w:r>
        <w:rPr>
          <w:rFonts w:hint="eastAsia" w:ascii="宋体" w:hAnsi="宋体"/>
          <w:bCs/>
          <w:sz w:val="28"/>
          <w:szCs w:val="28"/>
        </w:rPr>
        <w:t>投标</w:t>
      </w:r>
      <w:r>
        <w:rPr>
          <w:rFonts w:hint="eastAsia" w:ascii="宋体" w:hAnsi="宋体"/>
          <w:bCs/>
          <w:sz w:val="28"/>
          <w:szCs w:val="36"/>
        </w:rPr>
        <w:t>供应商告知审查结果和未通过原因，</w:t>
      </w:r>
      <w:r>
        <w:rPr>
          <w:rFonts w:hint="eastAsia" w:ascii="宋体" w:hAnsi="宋体"/>
          <w:bCs/>
          <w:sz w:val="28"/>
          <w:szCs w:val="28"/>
        </w:rPr>
        <w:t>投标</w:t>
      </w:r>
      <w:r>
        <w:rPr>
          <w:rFonts w:hint="eastAsia" w:ascii="宋体" w:hAnsi="宋体"/>
          <w:bCs/>
          <w:sz w:val="28"/>
          <w:szCs w:val="36"/>
        </w:rPr>
        <w:t>供应商签字确认；拒绝签字确认的，不影响资格性审查结果，审查人员如实记录并存入采购档案。</w:t>
      </w:r>
      <w:r>
        <w:rPr>
          <w:rFonts w:hint="eastAsia" w:ascii="宋体" w:hAnsi="宋体"/>
          <w:bCs/>
          <w:sz w:val="28"/>
          <w:szCs w:val="28"/>
        </w:rPr>
        <w:t>投标</w:t>
      </w:r>
      <w:r>
        <w:rPr>
          <w:rFonts w:hint="eastAsia" w:ascii="宋体" w:hAnsi="宋体"/>
          <w:bCs/>
          <w:sz w:val="28"/>
          <w:szCs w:val="36"/>
        </w:rPr>
        <w:t>供应商有疑义的，审查人员应当当场解答。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24.2招标过程中，供应商发生合并、分立</w:t>
      </w:r>
      <w:r>
        <w:rPr>
          <w:rFonts w:hint="eastAsia" w:ascii="宋体" w:hAnsi="宋体"/>
          <w:bCs/>
          <w:sz w:val="28"/>
          <w:szCs w:val="28"/>
        </w:rPr>
        <w:t>或</w:t>
      </w:r>
      <w:r>
        <w:rPr>
          <w:rFonts w:ascii="宋体" w:hAnsi="宋体"/>
          <w:bCs/>
          <w:sz w:val="28"/>
          <w:szCs w:val="28"/>
        </w:rPr>
        <w:t>破产等重大变化时，应当及时书面告知采购机构。</w:t>
      </w:r>
    </w:p>
    <w:p>
      <w:pPr>
        <w:pStyle w:val="6"/>
        <w:keepNext w:val="0"/>
        <w:keepLines w:val="0"/>
        <w:adjustRightInd w:val="0"/>
        <w:snapToGrid w:val="0"/>
        <w:ind w:firstLine="560" w:firstLineChars="200"/>
        <w:rPr>
          <w:rFonts w:ascii="黑体" w:hAnsi="黑体"/>
          <w:b w:val="0"/>
        </w:rPr>
      </w:pPr>
      <w:bookmarkStart w:id="180" w:name="_Toc21070"/>
      <w:bookmarkStart w:id="181" w:name="_Toc5348"/>
      <w:bookmarkStart w:id="182" w:name="_Toc13786"/>
      <w:bookmarkStart w:id="183" w:name="_Toc9367"/>
      <w:r>
        <w:rPr>
          <w:rFonts w:ascii="黑体" w:hAnsi="黑体"/>
          <w:b w:val="0"/>
        </w:rPr>
        <w:t>25.</w:t>
      </w:r>
      <w:r>
        <w:rPr>
          <w:rFonts w:hint="eastAsia" w:ascii="黑体" w:hAnsi="黑体"/>
          <w:b w:val="0"/>
        </w:rPr>
        <w:t>召开评审预备会</w:t>
      </w:r>
      <w:bookmarkEnd w:id="180"/>
      <w:bookmarkEnd w:id="181"/>
      <w:bookmarkEnd w:id="182"/>
      <w:bookmarkEnd w:id="183"/>
    </w:p>
    <w:p>
      <w:pPr>
        <w:adjustRightInd w:val="0"/>
        <w:snapToGrid w:val="0"/>
        <w:spacing w:line="560" w:lineRule="exact"/>
        <w:ind w:firstLine="560" w:firstLineChars="200"/>
        <w:rPr>
          <w:rFonts w:ascii="仿宋_GB2312" w:hAnsi="仿宋"/>
          <w:bCs/>
          <w:sz w:val="28"/>
          <w:szCs w:val="36"/>
          <w:highlight w:val="none"/>
        </w:rPr>
      </w:pPr>
      <w:r>
        <w:rPr>
          <w:rFonts w:asciiTheme="minorEastAsia" w:hAnsiTheme="minorEastAsia" w:eastAsiaTheme="minorEastAsia"/>
          <w:bCs/>
          <w:sz w:val="28"/>
          <w:szCs w:val="36"/>
        </w:rPr>
        <w:t>25.1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w:t>
      </w:r>
      <w:r>
        <w:rPr>
          <w:rFonts w:hint="eastAsia" w:ascii="仿宋_GB2312" w:hAnsi="仿宋"/>
          <w:bCs/>
          <w:sz w:val="28"/>
          <w:szCs w:val="36"/>
          <w:highlight w:val="none"/>
        </w:rPr>
        <w:t>情况，采购机构重点说明评审标准和评审程序，并介绍招标文件主要内容和质疑答复情况。评审委员会全体成员按照少数服从多数的原则，实名投票推选评审委员会组长。</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26.</w:t>
      </w:r>
      <w:r>
        <w:rPr>
          <w:rFonts w:hint="eastAsia" w:ascii="黑体" w:hAnsi="黑体"/>
          <w:b w:val="0"/>
          <w:highlight w:val="none"/>
        </w:rPr>
        <w:t>审阅招标文件</w:t>
      </w:r>
    </w:p>
    <w:p>
      <w:pPr>
        <w:spacing w:line="560" w:lineRule="exact"/>
        <w:ind w:firstLine="560" w:firstLineChars="200"/>
        <w:rPr>
          <w:rFonts w:asciiTheme="minorEastAsia" w:hAnsiTheme="minorEastAsia" w:eastAsiaTheme="minorEastAsia"/>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pPr>
      <w:r>
        <w:rPr>
          <w:rFonts w:asciiTheme="minorEastAsia" w:hAnsiTheme="minorEastAsia" w:eastAsiaTheme="minorEastAsia"/>
          <w:bCs/>
          <w:sz w:val="28"/>
          <w:szCs w:val="36"/>
        </w:rPr>
        <w:t>26.2</w:t>
      </w:r>
      <w:r>
        <w:rPr>
          <w:rFonts w:ascii="宋体" w:hAnsi="宋体"/>
          <w:bCs/>
          <w:sz w:val="28"/>
          <w:szCs w:val="28"/>
        </w:rPr>
        <w:t>评审委员会成员对</w:t>
      </w:r>
      <w:r>
        <w:rPr>
          <w:rFonts w:hint="eastAsia" w:ascii="宋体" w:hAnsi="宋体"/>
          <w:bCs/>
          <w:sz w:val="28"/>
          <w:szCs w:val="28"/>
        </w:rPr>
        <w:t>招标文件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澄清仍不能解决招标文件存在的歧义或重大缺陷，导致评审工作无法进行的，应当终止评审工作，在评审报告中书面说明情况，并提出招标文件修改意见。采购机构应当予以记录。</w:t>
      </w:r>
    </w:p>
    <w:p>
      <w:pPr>
        <w:pStyle w:val="6"/>
        <w:keepNext w:val="0"/>
        <w:keepLines w:val="0"/>
        <w:adjustRightInd w:val="0"/>
        <w:snapToGrid w:val="0"/>
        <w:ind w:firstLine="560" w:firstLineChars="200"/>
        <w:rPr>
          <w:rFonts w:ascii="黑体" w:hAnsi="黑体"/>
          <w:b w:val="0"/>
        </w:rPr>
      </w:pPr>
      <w:bookmarkStart w:id="184" w:name="_Toc12912"/>
      <w:bookmarkStart w:id="185" w:name="_Toc6186"/>
      <w:bookmarkStart w:id="186" w:name="_Toc7999"/>
      <w:bookmarkStart w:id="187" w:name="_Toc23488"/>
      <w:r>
        <w:rPr>
          <w:rFonts w:ascii="黑体" w:hAnsi="黑体"/>
          <w:b w:val="0"/>
        </w:rPr>
        <w:t>27.</w:t>
      </w:r>
      <w:r>
        <w:rPr>
          <w:rFonts w:hint="eastAsia" w:ascii="黑体" w:hAnsi="黑体"/>
          <w:b w:val="0"/>
        </w:rPr>
        <w:t>符合性审查</w:t>
      </w:r>
      <w:bookmarkEnd w:id="184"/>
      <w:bookmarkEnd w:id="185"/>
      <w:bookmarkEnd w:id="186"/>
      <w:bookmarkEnd w:id="187"/>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27.1</w:t>
      </w:r>
      <w:r>
        <w:rPr>
          <w:rFonts w:hint="eastAsia" w:asciiTheme="minorEastAsia" w:hAnsiTheme="minorEastAsia" w:eastAsiaTheme="minorEastAsia"/>
          <w:bCs/>
          <w:sz w:val="28"/>
          <w:szCs w:val="28"/>
        </w:rPr>
        <w:t>投标文件的偏离与实质性响应：</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1）招标文件中用“★”号标明的条款不允许</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w:t>
      </w:r>
      <w:r>
        <w:rPr>
          <w:rFonts w:hint="eastAsia" w:asciiTheme="minorEastAsia" w:hAnsiTheme="minorEastAsia" w:eastAsiaTheme="minorEastAsia"/>
          <w:bCs/>
          <w:sz w:val="28"/>
          <w:szCs w:val="28"/>
        </w:rPr>
        <w:t>，投标供应商应当作出实质性响应</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未作实质性响应的视为无效投标。</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2）投标文件</w:t>
      </w:r>
      <w:r>
        <w:rPr>
          <w:rFonts w:hint="eastAsia" w:asciiTheme="minorEastAsia" w:hAnsiTheme="minorEastAsia" w:eastAsiaTheme="minorEastAsia"/>
          <w:bCs/>
          <w:sz w:val="28"/>
          <w:szCs w:val="28"/>
        </w:rPr>
        <w:t>中</w:t>
      </w:r>
      <w:bookmarkStart w:id="188" w:name="_Hlk126928482"/>
      <w:r>
        <w:rPr>
          <w:rFonts w:hint="eastAsia" w:asciiTheme="minorEastAsia" w:hAnsiTheme="minorEastAsia" w:eastAsiaTheme="minorEastAsia"/>
          <w:bCs/>
          <w:sz w:val="28"/>
          <w:szCs w:val="28"/>
        </w:rPr>
        <w:t>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bookmarkEnd w:id="188"/>
      <w:r>
        <w:rPr>
          <w:rFonts w:hint="eastAsia" w:asciiTheme="minorEastAsia" w:hAnsiTheme="minorEastAsia" w:eastAsiaTheme="minorEastAsia"/>
          <w:bCs/>
          <w:sz w:val="28"/>
          <w:szCs w:val="28"/>
        </w:rPr>
        <w:t>【投标供应商须知前附表】明确的要求，否则视为无效投标。</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36"/>
        </w:rPr>
        <w:t>27.2</w:t>
      </w:r>
      <w:r>
        <w:rPr>
          <w:rFonts w:hint="eastAsia" w:asciiTheme="minorEastAsia" w:hAnsiTheme="minorEastAsia" w:eastAsiaTheme="minorEastAsia"/>
          <w:bCs/>
          <w:sz w:val="28"/>
          <w:szCs w:val="28"/>
        </w:rPr>
        <w:t>采购机构资格性审查结束后，评审委员会应当依据招标文件规定的符</w:t>
      </w:r>
      <w:r>
        <w:rPr>
          <w:rFonts w:hint="eastAsia" w:ascii="宋体" w:hAnsi="宋体"/>
          <w:bCs/>
          <w:sz w:val="28"/>
          <w:szCs w:val="28"/>
        </w:rPr>
        <w:t>合性审查标准，对资格性审查合格的投标</w:t>
      </w:r>
      <w:r>
        <w:rPr>
          <w:rFonts w:hint="eastAsia" w:ascii="仿宋_GB2312" w:hAnsi="仿宋"/>
          <w:bCs/>
          <w:sz w:val="28"/>
          <w:szCs w:val="36"/>
        </w:rPr>
        <w:t>供应商</w:t>
      </w:r>
      <w:r>
        <w:rPr>
          <w:rFonts w:hint="eastAsia" w:ascii="宋体" w:hAnsi="宋体"/>
          <w:bCs/>
          <w:sz w:val="28"/>
          <w:szCs w:val="28"/>
        </w:rPr>
        <w:t>的投标文件进行符合性审查，确定其是否满足招标文件的实质性要求。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1）不得以招标文件未明确的内容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投标供应商</w:t>
      </w:r>
      <w:r>
        <w:rPr>
          <w:rFonts w:ascii="宋体" w:hAnsi="宋体"/>
          <w:bCs/>
          <w:sz w:val="28"/>
          <w:szCs w:val="28"/>
          <w:lang w:val="zh-CN"/>
        </w:rPr>
        <w:t>投标无效</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6"/>
        <w:keepNext w:val="0"/>
        <w:keepLines w:val="0"/>
        <w:adjustRightInd w:val="0"/>
        <w:snapToGrid w:val="0"/>
        <w:ind w:firstLine="560" w:firstLineChars="200"/>
        <w:rPr>
          <w:rFonts w:ascii="黑体" w:hAnsi="黑体"/>
          <w:b w:val="0"/>
        </w:rPr>
      </w:pPr>
      <w:bookmarkStart w:id="189" w:name="_Toc12589"/>
      <w:bookmarkStart w:id="190" w:name="_Toc11679"/>
      <w:bookmarkStart w:id="191" w:name="_Toc687"/>
      <w:bookmarkStart w:id="192" w:name="_Toc21212"/>
      <w:r>
        <w:rPr>
          <w:rFonts w:ascii="黑体" w:hAnsi="黑体"/>
          <w:b w:val="0"/>
        </w:rPr>
        <w:t>28.</w:t>
      </w:r>
      <w:bookmarkStart w:id="193" w:name="_Hlk112426492"/>
      <w:bookmarkStart w:id="194" w:name="_Hlk112422739"/>
      <w:r>
        <w:rPr>
          <w:rFonts w:hint="eastAsia" w:ascii="黑体" w:hAnsi="黑体"/>
          <w:b w:val="0"/>
        </w:rPr>
        <w:t>解释与澄清</w:t>
      </w:r>
      <w:bookmarkEnd w:id="189"/>
      <w:bookmarkEnd w:id="190"/>
      <w:bookmarkEnd w:id="191"/>
      <w:bookmarkEnd w:id="192"/>
      <w:bookmarkEnd w:id="193"/>
      <w:bookmarkEnd w:id="194"/>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w:t>
      </w:r>
      <w:r>
        <w:rPr>
          <w:rFonts w:hint="eastAsia" w:asciiTheme="minorEastAsia" w:hAnsiTheme="minorEastAsia" w:eastAsiaTheme="minorEastAsia"/>
          <w:bCs/>
          <w:sz w:val="28"/>
          <w:szCs w:val="28"/>
          <w:highlight w:val="none"/>
        </w:rPr>
        <w:t>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28.2</w:t>
      </w:r>
      <w:r>
        <w:rPr>
          <w:rFonts w:hint="eastAsia" w:asciiTheme="minorEastAsia" w:hAnsiTheme="minorEastAsia" w:eastAsiaTheme="minorEastAsia"/>
          <w:bCs/>
          <w:sz w:val="28"/>
          <w:szCs w:val="28"/>
          <w:highlight w:val="none"/>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28.3</w:t>
      </w:r>
      <w:r>
        <w:rPr>
          <w:rFonts w:hint="eastAsia" w:asciiTheme="minorEastAsia" w:hAnsiTheme="minorEastAsia" w:eastAsiaTheme="minorEastAsia"/>
          <w:bCs/>
          <w:sz w:val="28"/>
          <w:szCs w:val="28"/>
          <w:highlight w:val="none"/>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w:t>
      </w:r>
      <w:r>
        <w:rPr>
          <w:rFonts w:asciiTheme="minorEastAsia" w:hAnsiTheme="minorEastAsia" w:eastAsiaTheme="minorEastAsia"/>
          <w:bCs/>
          <w:sz w:val="28"/>
          <w:szCs w:val="28"/>
          <w:highlight w:val="none"/>
        </w:rPr>
        <w:t>1）投标文件中开标一览表内容与投标文件中相应</w:t>
      </w:r>
      <w:r>
        <w:rPr>
          <w:rFonts w:asciiTheme="minorEastAsia" w:hAnsiTheme="minorEastAsia" w:eastAsiaTheme="minorEastAsia"/>
          <w:bCs/>
          <w:sz w:val="28"/>
          <w:szCs w:val="28"/>
        </w:rPr>
        <w:t>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rPr>
        <w:t>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要求或接受投标供应商作出超出投标文件的范围、与投标文件原义不同，或改变投标文件实质性内容的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w:t>
      </w:r>
      <w:r>
        <w:rPr>
          <w:rFonts w:hint="eastAsia" w:cs="仿宋" w:asciiTheme="minorEastAsia" w:hAnsiTheme="minorEastAsia" w:eastAsiaTheme="minorEastAsia"/>
          <w:bCs/>
          <w:sz w:val="28"/>
          <w:szCs w:val="28"/>
          <w:highlight w:val="none"/>
        </w:rPr>
        <w:t>受投标供应商主动提出的</w:t>
      </w:r>
      <w:r>
        <w:rPr>
          <w:rFonts w:hint="eastAsia" w:asciiTheme="minorEastAsia" w:hAnsiTheme="minorEastAsia" w:eastAsiaTheme="minorEastAsia"/>
          <w:bCs/>
          <w:sz w:val="28"/>
          <w:szCs w:val="28"/>
          <w:highlight w:val="none"/>
        </w:rPr>
        <w:t>澄清、说明、补正</w:t>
      </w:r>
      <w:r>
        <w:rPr>
          <w:rFonts w:hint="eastAsia" w:cs="仿宋" w:asciiTheme="minorEastAsia" w:hAnsiTheme="minorEastAsia" w:eastAsiaTheme="minorEastAsia"/>
          <w:bCs/>
          <w:sz w:val="28"/>
          <w:szCs w:val="28"/>
          <w:highlight w:val="none"/>
        </w:rPr>
        <w:t>。</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28.6</w:t>
      </w:r>
      <w:r>
        <w:rPr>
          <w:rFonts w:hint="eastAsia" w:asciiTheme="minorEastAsia" w:hAnsiTheme="minorEastAsia" w:eastAsiaTheme="minorEastAsia"/>
          <w:bCs/>
          <w:sz w:val="28"/>
          <w:szCs w:val="28"/>
          <w:highlight w:val="none"/>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1）</w:t>
      </w:r>
      <w:r>
        <w:rPr>
          <w:rFonts w:hint="eastAsia" w:cs="仿宋" w:asciiTheme="minorEastAsia" w:hAnsiTheme="minorEastAsia" w:eastAsiaTheme="minorEastAsia"/>
          <w:bCs/>
          <w:sz w:val="28"/>
          <w:szCs w:val="28"/>
          <w:highlight w:val="none"/>
        </w:rPr>
        <w:t>开标时未宣读的投标价格、价格折扣、招标文件允许提供的备选投标方案等实质性内容；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2</w:t>
      </w:r>
      <w:r>
        <w:rPr>
          <w:rFonts w:hint="eastAsia" w:asciiTheme="minorEastAsia" w:hAnsiTheme="minorEastAsia" w:eastAsiaTheme="minorEastAsia"/>
          <w:bCs/>
          <w:sz w:val="28"/>
          <w:szCs w:val="28"/>
          <w:highlight w:val="none"/>
          <w:lang w:val="zh-CN"/>
        </w:rPr>
        <w:t>）</w:t>
      </w:r>
      <w:r>
        <w:rPr>
          <w:rFonts w:hint="eastAsia" w:cs="仿宋" w:asciiTheme="minorEastAsia" w:hAnsiTheme="minorEastAsia" w:eastAsiaTheme="minorEastAsia"/>
          <w:bCs/>
          <w:sz w:val="28"/>
          <w:szCs w:val="28"/>
          <w:highlight w:val="none"/>
        </w:rPr>
        <w:t>投标文件中不响应招标文件规定的技术参数指标和商务要求；</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cs="仿宋" w:asciiTheme="minorEastAsia" w:hAnsiTheme="minorEastAsia" w:eastAsiaTheme="minorEastAsia"/>
          <w:bCs/>
          <w:sz w:val="28"/>
          <w:szCs w:val="28"/>
          <w:highlight w:val="none"/>
        </w:rPr>
        <w:t>（</w:t>
      </w:r>
      <w:r>
        <w:rPr>
          <w:rFonts w:cs="仿宋" w:asciiTheme="minorEastAsia" w:hAnsiTheme="minorEastAsia" w:eastAsiaTheme="minorEastAsia"/>
          <w:bCs/>
          <w:sz w:val="28"/>
          <w:szCs w:val="28"/>
          <w:highlight w:val="none"/>
        </w:rPr>
        <w:t>3</w:t>
      </w:r>
      <w:r>
        <w:rPr>
          <w:rFonts w:hint="eastAsia" w:cs="仿宋" w:asciiTheme="minorEastAsia" w:hAnsiTheme="minorEastAsia" w:eastAsiaTheme="minorEastAsia"/>
          <w:bCs/>
          <w:sz w:val="28"/>
          <w:szCs w:val="28"/>
          <w:highlight w:val="none"/>
        </w:rPr>
        <w:t>）投标文件中未提供的资格性、符合性审查要求的证明材料。</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29.</w:t>
      </w:r>
      <w:r>
        <w:rPr>
          <w:rFonts w:hint="eastAsia" w:ascii="黑体" w:hAnsi="黑体"/>
          <w:b w:val="0"/>
          <w:highlight w:val="none"/>
        </w:rPr>
        <w:t>商务、技术评审</w:t>
      </w:r>
    </w:p>
    <w:p>
      <w:pPr>
        <w:spacing w:line="560" w:lineRule="exact"/>
        <w:ind w:firstLine="560" w:firstLineChars="200"/>
        <w:rPr>
          <w:sz w:val="28"/>
          <w:szCs w:val="28"/>
        </w:rPr>
      </w:pPr>
      <w:r>
        <w:rPr>
          <w:rFonts w:hint="eastAsia"/>
          <w:sz w:val="28"/>
          <w:szCs w:val="28"/>
          <w:highlight w:val="none"/>
        </w:rPr>
        <w:t>评审委员会按照招标文件中明确的评审方法和标准，对资格性和符合性审查合格的</w:t>
      </w:r>
      <w:r>
        <w:rPr>
          <w:rFonts w:hint="eastAsia" w:ascii="宋体" w:hAnsi="宋体"/>
          <w:sz w:val="28"/>
          <w:szCs w:val="28"/>
          <w:highlight w:val="none"/>
        </w:rPr>
        <w:t>投标供应商提交的</w:t>
      </w:r>
      <w:r>
        <w:rPr>
          <w:rFonts w:hint="eastAsia"/>
          <w:sz w:val="28"/>
          <w:szCs w:val="28"/>
          <w:highlight w:val="none"/>
        </w:rPr>
        <w:t>投标文件（不含价格文件）进行商务和技术</w:t>
      </w:r>
      <w:r>
        <w:rPr>
          <w:rFonts w:hint="eastAsia"/>
          <w:sz w:val="28"/>
          <w:szCs w:val="28"/>
        </w:rPr>
        <w:t>评审。</w:t>
      </w:r>
    </w:p>
    <w:p>
      <w:pPr>
        <w:spacing w:line="560" w:lineRule="exact"/>
        <w:ind w:firstLine="560" w:firstLineChars="200"/>
        <w:rPr>
          <w:rFonts w:ascii="宋体" w:hAnsi="宋体"/>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29.1</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29.2采用经评审的最低价法评审时：</w:t>
      </w:r>
    </w:p>
    <w:p>
      <w:pPr>
        <w:adjustRightInd w:val="0"/>
        <w:snapToGrid w:val="0"/>
        <w:spacing w:line="560" w:lineRule="exact"/>
        <w:ind w:firstLine="560" w:firstLineChars="200"/>
      </w:pPr>
      <w:r>
        <w:rPr>
          <w:rFonts w:hint="eastAsia" w:asciiTheme="minorEastAsia" w:hAnsiTheme="minorEastAsia" w:eastAsiaTheme="minorEastAsia"/>
          <w:bCs/>
          <w:sz w:val="28"/>
          <w:szCs w:val="28"/>
        </w:rPr>
        <w:t>评审委员会按招标文件规定的评审标准，对商务、技术指标是否实质性响应进行判定；必要时，对技术指标优劣进行排序。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3</w:t>
      </w:r>
      <w:r>
        <w:rPr>
          <w:rFonts w:ascii="宋体" w:hAnsi="宋体" w:cs="宋体"/>
          <w:bCs/>
          <w:snapToGrid w:val="0"/>
          <w:sz w:val="28"/>
          <w:szCs w:val="28"/>
          <w:lang w:val="zh-CN"/>
        </w:rPr>
        <w:t>样品评审。</w:t>
      </w:r>
      <w:r>
        <w:rPr>
          <w:rFonts w:hint="eastAsia" w:asciiTheme="minorEastAsia" w:hAnsiTheme="minorEastAsia" w:eastAsiaTheme="minorEastAsia"/>
          <w:bCs/>
          <w:sz w:val="28"/>
          <w:szCs w:val="28"/>
        </w:rPr>
        <w:t>除【投标供应商须知前附表】另有规定外，</w:t>
      </w:r>
      <w:r>
        <w:rPr>
          <w:rFonts w:hint="eastAsia" w:ascii="宋体" w:hAnsi="宋体" w:cs="宋体"/>
          <w:bCs/>
          <w:snapToGrid w:val="0"/>
          <w:sz w:val="28"/>
          <w:szCs w:val="28"/>
          <w:lang w:val="zh-CN"/>
        </w:rPr>
        <w:t>样品评审采用盲评。投标供应商应当对提供样品的明显标识、铭牌和标签等进行遮挡，采购机构在样品评审前统一编号，评审委员会依据样品评审标准进行盲评。</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4</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ascii="仿宋_GB2312" w:hAnsi="仿宋"/>
          <w:bCs/>
          <w:sz w:val="28"/>
          <w:szCs w:val="36"/>
        </w:rPr>
        <w:t>投标供应商</w:t>
      </w:r>
      <w:r>
        <w:rPr>
          <w:rFonts w:ascii="宋体" w:hAnsi="宋体"/>
          <w:bCs/>
          <w:sz w:val="28"/>
          <w:szCs w:val="36"/>
        </w:rPr>
        <w:t>提供相同品牌产品的</w:t>
      </w:r>
      <w:r>
        <w:rPr>
          <w:rFonts w:hint="eastAsia" w:ascii="宋体" w:hAnsi="宋体"/>
          <w:bCs/>
          <w:sz w:val="28"/>
          <w:szCs w:val="36"/>
        </w:rPr>
        <w:t>，投标供应商数量按1家</w:t>
      </w:r>
      <w:r>
        <w:rPr>
          <w:rFonts w:hint="eastAsia" w:ascii="仿宋_GB2312" w:hAnsi="仿宋"/>
          <w:bCs/>
          <w:sz w:val="28"/>
          <w:szCs w:val="36"/>
        </w:rPr>
        <w:t>投标供应商</w:t>
      </w:r>
      <w:r>
        <w:rPr>
          <w:rFonts w:hint="eastAsia" w:ascii="宋体" w:hAnsi="宋体"/>
          <w:bCs/>
          <w:sz w:val="28"/>
          <w:szCs w:val="36"/>
        </w:rPr>
        <w:t>计算。提供不同品牌产品的</w:t>
      </w:r>
      <w:r>
        <w:rPr>
          <w:rFonts w:hint="eastAsia" w:ascii="仿宋_GB2312" w:hAnsi="仿宋"/>
          <w:bCs/>
          <w:sz w:val="28"/>
          <w:szCs w:val="36"/>
        </w:rPr>
        <w:t>投标供</w:t>
      </w:r>
      <w:r>
        <w:rPr>
          <w:rFonts w:hint="eastAsia" w:asciiTheme="minorEastAsia" w:hAnsiTheme="minorEastAsia" w:eastAsiaTheme="minorEastAsia"/>
          <w:bCs/>
          <w:sz w:val="28"/>
          <w:szCs w:val="36"/>
        </w:rPr>
        <w:t>应商达到3家及以上的继续组织评审。其中，</w:t>
      </w:r>
      <w:r>
        <w:rPr>
          <w:rFonts w:hint="eastAsia" w:asciiTheme="minorEastAsia" w:hAnsiTheme="minorEastAsia" w:eastAsiaTheme="minorEastAsia"/>
          <w:bCs/>
          <w:sz w:val="28"/>
          <w:szCs w:val="36"/>
          <w:highlight w:val="none"/>
        </w:rPr>
        <w:t>采用综合评分法、质量优先法的，应当分</w:t>
      </w:r>
      <w:r>
        <w:rPr>
          <w:rFonts w:hint="eastAsia" w:ascii="仿宋_GB2312" w:hAnsi="仿宋"/>
          <w:bCs/>
          <w:sz w:val="28"/>
          <w:szCs w:val="36"/>
          <w:highlight w:val="none"/>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Pr>
          <w:rFonts w:hint="eastAsia" w:asciiTheme="minorEastAsia" w:hAnsiTheme="minorEastAsia" w:eastAsiaTheme="minorEastAsia"/>
          <w:bCs/>
          <w:sz w:val="28"/>
          <w:szCs w:val="28"/>
          <w:highlight w:val="none"/>
        </w:rPr>
        <w:t>【投标供应商须知前附表】明确的方式</w:t>
      </w:r>
      <w:r>
        <w:rPr>
          <w:rFonts w:hint="eastAsia" w:ascii="仿宋_GB2312" w:hAnsi="仿宋"/>
          <w:bCs/>
          <w:sz w:val="28"/>
          <w:szCs w:val="36"/>
          <w:highlight w:val="none"/>
        </w:rPr>
        <w:t>确定1家投标供应商参加后续评审。只有</w:t>
      </w:r>
      <w:r>
        <w:rPr>
          <w:rFonts w:asciiTheme="minorEastAsia" w:hAnsiTheme="minorEastAsia" w:eastAsiaTheme="minorEastAsia"/>
          <w:bCs/>
          <w:sz w:val="28"/>
          <w:szCs w:val="36"/>
          <w:highlight w:val="none"/>
        </w:rPr>
        <w:t>2</w:t>
      </w:r>
      <w:r>
        <w:rPr>
          <w:rFonts w:hint="eastAsia" w:asciiTheme="minorEastAsia" w:hAnsiTheme="minorEastAsia" w:eastAsiaTheme="minorEastAsia"/>
          <w:bCs/>
          <w:sz w:val="28"/>
          <w:szCs w:val="36"/>
        </w:rPr>
        <w:t>家</w:t>
      </w:r>
      <w:r>
        <w:rPr>
          <w:rFonts w:hint="eastAsia" w:ascii="仿宋_GB2312" w:hAnsi="仿宋"/>
          <w:bCs/>
          <w:sz w:val="28"/>
          <w:szCs w:val="36"/>
        </w:rPr>
        <w:t>品牌产品的，</w:t>
      </w:r>
      <w:r>
        <w:rPr>
          <w:rFonts w:hint="eastAsia" w:ascii="宋体" w:hAnsi="宋体"/>
          <w:bCs/>
          <w:sz w:val="28"/>
          <w:szCs w:val="36"/>
        </w:rPr>
        <w:t>按照第</w:t>
      </w:r>
      <w:r>
        <w:rPr>
          <w:rFonts w:ascii="宋体" w:hAnsi="宋体"/>
          <w:bCs/>
          <w:sz w:val="28"/>
          <w:szCs w:val="36"/>
        </w:rPr>
        <w:t>20.4</w:t>
      </w:r>
      <w:r>
        <w:rPr>
          <w:rFonts w:hint="eastAsia" w:ascii="宋体" w:hAnsi="宋体"/>
          <w:bCs/>
          <w:sz w:val="28"/>
          <w:szCs w:val="36"/>
        </w:rPr>
        <w:t>条明确的</w:t>
      </w:r>
      <w:r>
        <w:rPr>
          <w:rFonts w:hint="eastAsia" w:ascii="仿宋_GB2312" w:hAnsi="仿宋"/>
          <w:bCs/>
          <w:sz w:val="28"/>
          <w:szCs w:val="36"/>
        </w:rPr>
        <w:t>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【投标供应商须知前附表】</w:t>
      </w:r>
      <w:r>
        <w:rPr>
          <w:rFonts w:hint="eastAsia" w:ascii="宋体" w:hAnsi="宋体"/>
          <w:bCs/>
          <w:sz w:val="28"/>
          <w:szCs w:val="28"/>
        </w:rPr>
        <w:t>。</w:t>
      </w:r>
      <w:r>
        <w:rPr>
          <w:rFonts w:hint="eastAsia" w:ascii="宋体" w:hAnsi="宋体"/>
          <w:bCs/>
          <w:sz w:val="28"/>
          <w:szCs w:val="36"/>
        </w:rPr>
        <w:t>多家投标供应商提供的核心产品品牌相同的，以及招标文件未明确核心产品、不同投标供应商提供的相同品牌产品金额均超过各自报价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家投标供应商计算，依据前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29.5</w:t>
      </w:r>
      <w:r>
        <w:rPr>
          <w:rFonts w:hint="eastAsia" w:ascii="宋体" w:hAnsi="宋体"/>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pPr>
        <w:pStyle w:val="6"/>
        <w:keepNext w:val="0"/>
        <w:keepLines w:val="0"/>
        <w:adjustRightInd w:val="0"/>
        <w:snapToGrid w:val="0"/>
        <w:ind w:firstLine="560" w:firstLineChars="200"/>
        <w:rPr>
          <w:rFonts w:ascii="黑体" w:hAnsi="黑体"/>
          <w:b w:val="0"/>
        </w:rPr>
      </w:pPr>
      <w:r>
        <w:rPr>
          <w:rFonts w:ascii="黑体" w:hAnsi="黑体"/>
          <w:b w:val="0"/>
        </w:rPr>
        <w:t>30.</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highlight w:val="none"/>
        </w:rPr>
      </w:pPr>
      <w:r>
        <w:rPr>
          <w:rFonts w:hint="eastAsia" w:ascii="宋体" w:hAnsi="宋体"/>
          <w:bCs/>
          <w:snapToGrid w:val="0"/>
          <w:sz w:val="28"/>
          <w:szCs w:val="28"/>
          <w:highlight w:val="none"/>
          <w:lang w:val="zh-CN"/>
        </w:rPr>
        <w:t>商务、技术评审结束后，工作人员再将“价格文件”交</w:t>
      </w:r>
      <w:r>
        <w:rPr>
          <w:rFonts w:hint="eastAsia" w:ascii="宋体" w:hAnsi="宋体"/>
          <w:bCs/>
          <w:sz w:val="28"/>
          <w:szCs w:val="28"/>
          <w:highlight w:val="none"/>
        </w:rPr>
        <w:t>评审委员会。</w:t>
      </w:r>
      <w:r>
        <w:rPr>
          <w:rFonts w:hint="eastAsia" w:asciiTheme="minorEastAsia" w:hAnsiTheme="minorEastAsia" w:eastAsiaTheme="minorEastAsia"/>
          <w:bCs/>
          <w:sz w:val="28"/>
          <w:szCs w:val="28"/>
          <w:highlight w:val="none"/>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30.1</w:t>
      </w:r>
      <w:r>
        <w:rPr>
          <w:rFonts w:hint="eastAsia" w:asciiTheme="minorEastAsia" w:hAnsiTheme="minorEastAsia" w:eastAsiaTheme="minorEastAsia"/>
          <w:bCs/>
          <w:sz w:val="28"/>
          <w:szCs w:val="28"/>
          <w:highlight w:val="none"/>
        </w:rPr>
        <w:t>综合评分法和质量优先法的价格分，采用低价优先法计算，即满足招标文件实质性要求的投标供应商最低报价为评审基准价，其价格分为满分（标准分值）。其他投标供应商的价格分按照下列公式计算：</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价格得分</w:t>
      </w:r>
      <w:r>
        <w:rPr>
          <w:rFonts w:asciiTheme="minorEastAsia" w:hAnsiTheme="minorEastAsia" w:eastAsiaTheme="minorEastAsia"/>
          <w:bCs/>
          <w:sz w:val="28"/>
          <w:szCs w:val="28"/>
          <w:highlight w:val="none"/>
        </w:rPr>
        <w:t>=（评审基准价/报价）×标准分值</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如有第</w:t>
      </w: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条出现的算术修正，以算</w:t>
      </w:r>
      <w:r>
        <w:rPr>
          <w:rFonts w:hint="eastAsia" w:asciiTheme="minorEastAsia" w:hAnsiTheme="minorEastAsia" w:eastAsiaTheme="minorEastAsia"/>
          <w:bCs/>
          <w:sz w:val="28"/>
          <w:szCs w:val="28"/>
        </w:rPr>
        <w:t>术修正后的价格计算评审基准价和投标报价。</w:t>
      </w:r>
    </w:p>
    <w:p>
      <w:pPr>
        <w:adjustRightInd w:val="0"/>
        <w:snapToGrid w:val="0"/>
        <w:spacing w:line="560" w:lineRule="exact"/>
        <w:ind w:firstLine="560" w:firstLineChars="200"/>
      </w:pPr>
      <w:r>
        <w:rPr>
          <w:rFonts w:ascii="宋体" w:hAnsi="宋体"/>
          <w:bCs/>
          <w:sz w:val="28"/>
          <w:szCs w:val="28"/>
        </w:rPr>
        <w:t>30.2经评审的最低价法</w:t>
      </w:r>
      <w:r>
        <w:rPr>
          <w:rFonts w:hint="eastAsia" w:ascii="宋体" w:hAnsi="宋体"/>
          <w:bCs/>
          <w:sz w:val="28"/>
          <w:szCs w:val="28"/>
        </w:rPr>
        <w:t>的价格评审，</w:t>
      </w:r>
      <w:r>
        <w:rPr>
          <w:rFonts w:ascii="宋体" w:hAnsi="宋体"/>
          <w:bCs/>
          <w:sz w:val="28"/>
          <w:szCs w:val="28"/>
        </w:rPr>
        <w:t>按照投标报价由低到高顺序排列</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30.3</w:t>
      </w:r>
      <w:r>
        <w:rPr>
          <w:rFonts w:hint="eastAsia" w:ascii="宋体" w:hAnsi="宋体"/>
          <w:bCs/>
          <w:sz w:val="28"/>
          <w:szCs w:val="28"/>
        </w:rPr>
        <w:t>评审委员会认为投标供应商报价低于其他所有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投标供应商平均报价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30.4投标供应商投标报价超过预算的，按照下列方式处理：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rPr>
        <w:t>（</w:t>
      </w:r>
      <w:r>
        <w:rPr>
          <w:rFonts w:ascii="宋体" w:hAnsi="宋体"/>
          <w:bCs/>
          <w:sz w:val="28"/>
          <w:szCs w:val="28"/>
        </w:rPr>
        <w:t>1）投标供应商</w:t>
      </w:r>
      <w:r>
        <w:rPr>
          <w:rFonts w:hint="eastAsia" w:ascii="宋体" w:hAnsi="宋体"/>
          <w:bCs/>
          <w:sz w:val="28"/>
          <w:szCs w:val="28"/>
        </w:rPr>
        <w:t>投标</w:t>
      </w:r>
      <w:r>
        <w:rPr>
          <w:rFonts w:ascii="宋体" w:hAnsi="宋体"/>
          <w:bCs/>
          <w:sz w:val="28"/>
          <w:szCs w:val="28"/>
        </w:rPr>
        <w:t>报价均超预算的，</w:t>
      </w:r>
      <w:r>
        <w:rPr>
          <w:rFonts w:hint="eastAsia" w:ascii="宋体" w:hAnsi="宋体"/>
          <w:bCs/>
          <w:sz w:val="28"/>
          <w:szCs w:val="28"/>
        </w:rPr>
        <w:t>评审委员会和采购机构应当结合市场调查情况、投标供应商报价材料等进行综合分析研判，认定投标供应商报价合理的</w:t>
      </w:r>
      <w:r>
        <w:rPr>
          <w:rFonts w:hint="eastAsia" w:ascii="宋体" w:hAnsi="宋体"/>
          <w:bCs/>
          <w:sz w:val="28"/>
          <w:szCs w:val="28"/>
          <w:highlight w:val="none"/>
        </w:rPr>
        <w:t>，函询采购单位能否追加预算，采购单位函复确认追加的，继续评审；认定投标供应商报价不合理或采购单位无法追加的，终止评审。</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2）部分投标供应商</w:t>
      </w:r>
      <w:r>
        <w:rPr>
          <w:rFonts w:hint="eastAsia" w:ascii="宋体" w:hAnsi="宋体"/>
          <w:bCs/>
          <w:sz w:val="28"/>
          <w:szCs w:val="28"/>
          <w:highlight w:val="none"/>
        </w:rPr>
        <w:t>投标</w:t>
      </w:r>
      <w:r>
        <w:rPr>
          <w:rFonts w:ascii="宋体" w:hAnsi="宋体"/>
          <w:bCs/>
          <w:sz w:val="28"/>
          <w:szCs w:val="28"/>
          <w:highlight w:val="none"/>
        </w:rPr>
        <w:t>报价超预算的，应当继续评审。</w:t>
      </w:r>
      <w:r>
        <w:rPr>
          <w:rFonts w:hint="eastAsia" w:ascii="宋体" w:hAnsi="宋体"/>
          <w:bCs/>
          <w:sz w:val="28"/>
          <w:szCs w:val="28"/>
          <w:highlight w:val="none"/>
        </w:rPr>
        <w:t>评审后，预</w:t>
      </w:r>
      <w:r>
        <w:rPr>
          <w:rFonts w:ascii="宋体" w:hAnsi="宋体"/>
          <w:bCs/>
          <w:sz w:val="28"/>
          <w:szCs w:val="28"/>
          <w:highlight w:val="none"/>
        </w:rPr>
        <w:t>中标供应商报价未超预算的，评审结果有效</w:t>
      </w:r>
      <w:r>
        <w:rPr>
          <w:rFonts w:hint="eastAsia" w:ascii="宋体" w:hAnsi="宋体"/>
          <w:bCs/>
          <w:sz w:val="28"/>
          <w:szCs w:val="28"/>
          <w:highlight w:val="none"/>
        </w:rPr>
        <w:t>。预</w:t>
      </w:r>
      <w:r>
        <w:rPr>
          <w:rFonts w:ascii="宋体" w:hAnsi="宋体"/>
          <w:bCs/>
          <w:sz w:val="28"/>
          <w:szCs w:val="28"/>
          <w:highlight w:val="none"/>
        </w:rPr>
        <w:t>中标供应商</w:t>
      </w:r>
      <w:r>
        <w:rPr>
          <w:rFonts w:hint="eastAsia" w:ascii="宋体" w:hAnsi="宋体"/>
          <w:bCs/>
          <w:sz w:val="28"/>
          <w:szCs w:val="28"/>
          <w:highlight w:val="none"/>
        </w:rPr>
        <w:t>报价</w:t>
      </w:r>
      <w:r>
        <w:rPr>
          <w:rFonts w:ascii="宋体" w:hAnsi="宋体"/>
          <w:bCs/>
          <w:sz w:val="28"/>
          <w:szCs w:val="28"/>
          <w:highlight w:val="none"/>
        </w:rPr>
        <w:t>超预算，</w:t>
      </w:r>
      <w:r>
        <w:rPr>
          <w:rFonts w:hint="eastAsia" w:ascii="宋体" w:hAnsi="宋体"/>
          <w:bCs/>
          <w:sz w:val="28"/>
          <w:szCs w:val="28"/>
          <w:highlight w:val="none"/>
        </w:rPr>
        <w:t>经</w:t>
      </w:r>
      <w:r>
        <w:rPr>
          <w:rFonts w:ascii="宋体" w:hAnsi="宋体"/>
          <w:bCs/>
          <w:sz w:val="28"/>
          <w:szCs w:val="28"/>
          <w:highlight w:val="none"/>
        </w:rPr>
        <w:t>采购</w:t>
      </w:r>
      <w:r>
        <w:rPr>
          <w:rFonts w:hint="eastAsia" w:ascii="宋体" w:hAnsi="宋体"/>
          <w:bCs/>
          <w:sz w:val="28"/>
          <w:szCs w:val="28"/>
          <w:highlight w:val="none"/>
        </w:rPr>
        <w:t>单位书面确认能够追加</w:t>
      </w:r>
      <w:r>
        <w:rPr>
          <w:rFonts w:ascii="宋体" w:hAnsi="宋体"/>
          <w:bCs/>
          <w:sz w:val="28"/>
          <w:szCs w:val="28"/>
          <w:highlight w:val="none"/>
        </w:rPr>
        <w:t>的</w:t>
      </w:r>
      <w:r>
        <w:rPr>
          <w:rFonts w:hint="eastAsia" w:ascii="宋体" w:hAnsi="宋体"/>
          <w:bCs/>
          <w:sz w:val="28"/>
          <w:szCs w:val="28"/>
          <w:highlight w:val="none"/>
        </w:rPr>
        <w:t>，评审结果有效；不能追加的，采购单位</w:t>
      </w:r>
      <w:r>
        <w:rPr>
          <w:rFonts w:ascii="宋体" w:hAnsi="宋体"/>
          <w:bCs/>
          <w:sz w:val="28"/>
          <w:szCs w:val="28"/>
          <w:highlight w:val="none"/>
        </w:rPr>
        <w:t>可以按照评审排名结果依次</w:t>
      </w:r>
      <w:r>
        <w:rPr>
          <w:rFonts w:hint="eastAsia" w:ascii="宋体" w:hAnsi="宋体"/>
          <w:bCs/>
          <w:sz w:val="28"/>
          <w:szCs w:val="28"/>
          <w:highlight w:val="none"/>
        </w:rPr>
        <w:t>递补</w:t>
      </w:r>
      <w:r>
        <w:rPr>
          <w:rFonts w:ascii="宋体" w:hAnsi="宋体"/>
          <w:bCs/>
          <w:sz w:val="28"/>
          <w:szCs w:val="28"/>
          <w:highlight w:val="none"/>
        </w:rPr>
        <w:t>确定中标供应商，</w:t>
      </w:r>
      <w:r>
        <w:rPr>
          <w:rFonts w:hint="eastAsia" w:ascii="宋体" w:hAnsi="宋体"/>
          <w:bCs/>
          <w:sz w:val="28"/>
          <w:szCs w:val="28"/>
          <w:highlight w:val="none"/>
        </w:rPr>
        <w:t>但剩余有效投标供应商数量应当达到需要递补投标供应商数量的</w:t>
      </w:r>
      <w:r>
        <w:rPr>
          <w:rFonts w:ascii="宋体" w:hAnsi="宋体"/>
          <w:bCs/>
          <w:sz w:val="28"/>
          <w:szCs w:val="28"/>
          <w:highlight w:val="none"/>
        </w:rPr>
        <w:t>2倍，否则由采购</w:t>
      </w:r>
      <w:r>
        <w:rPr>
          <w:rFonts w:hint="eastAsia" w:ascii="宋体" w:hAnsi="宋体"/>
          <w:bCs/>
          <w:sz w:val="28"/>
          <w:szCs w:val="28"/>
          <w:highlight w:val="none"/>
        </w:rPr>
        <w:t>机构</w:t>
      </w:r>
      <w:r>
        <w:rPr>
          <w:rFonts w:ascii="宋体" w:hAnsi="宋体"/>
          <w:bCs/>
          <w:sz w:val="28"/>
          <w:szCs w:val="28"/>
          <w:highlight w:val="none"/>
        </w:rPr>
        <w:t>重新</w:t>
      </w:r>
      <w:r>
        <w:rPr>
          <w:rFonts w:hint="eastAsia" w:ascii="宋体" w:hAnsi="宋体"/>
          <w:bCs/>
          <w:sz w:val="28"/>
          <w:szCs w:val="28"/>
          <w:highlight w:val="none"/>
        </w:rPr>
        <w:t>组织采购。</w:t>
      </w:r>
    </w:p>
    <w:p>
      <w:pPr>
        <w:adjustRightInd w:val="0"/>
        <w:snapToGrid w:val="0"/>
        <w:spacing w:line="560" w:lineRule="exact"/>
        <w:ind w:firstLine="560" w:firstLineChars="200"/>
        <w:rPr>
          <w:highlight w:val="none"/>
        </w:rPr>
      </w:pPr>
      <w:r>
        <w:rPr>
          <w:rFonts w:hint="eastAsia" w:ascii="宋体" w:hAnsi="宋体"/>
          <w:bCs/>
          <w:sz w:val="28"/>
          <w:szCs w:val="28"/>
          <w:highlight w:val="none"/>
        </w:rPr>
        <w:t>（</w:t>
      </w:r>
      <w:r>
        <w:rPr>
          <w:rFonts w:ascii="宋体" w:hAnsi="宋体"/>
          <w:bCs/>
          <w:sz w:val="28"/>
          <w:szCs w:val="28"/>
          <w:highlight w:val="none"/>
        </w:rPr>
        <w:t>3）同一采购项目中的部分产品单价或金额超预算，</w:t>
      </w:r>
      <w:r>
        <w:rPr>
          <w:rFonts w:hint="eastAsia" w:ascii="宋体" w:hAnsi="宋体"/>
          <w:bCs/>
          <w:sz w:val="28"/>
          <w:szCs w:val="28"/>
          <w:highlight w:val="none"/>
        </w:rPr>
        <w:t>但</w:t>
      </w:r>
      <w:r>
        <w:rPr>
          <w:rFonts w:ascii="宋体" w:hAnsi="宋体"/>
          <w:bCs/>
          <w:sz w:val="28"/>
          <w:szCs w:val="28"/>
          <w:highlight w:val="none"/>
        </w:rPr>
        <w:t>中标总金额未超预算的，视为</w:t>
      </w:r>
      <w:r>
        <w:rPr>
          <w:rFonts w:hint="eastAsia" w:ascii="宋体" w:hAnsi="宋体"/>
          <w:bCs/>
          <w:sz w:val="28"/>
          <w:szCs w:val="28"/>
          <w:highlight w:val="none"/>
        </w:rPr>
        <w:t>采购项目未超预算</w:t>
      </w:r>
      <w:r>
        <w:rPr>
          <w:rFonts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31.</w:t>
      </w:r>
      <w:r>
        <w:rPr>
          <w:rFonts w:hint="eastAsia" w:ascii="黑体" w:hAnsi="黑体"/>
          <w:b w:val="0"/>
          <w:highlight w:val="none"/>
        </w:rPr>
        <w:t>汇总得分</w:t>
      </w:r>
    </w:p>
    <w:p>
      <w:pPr>
        <w:pStyle w:val="16"/>
        <w:spacing w:after="0" w:line="560" w:lineRule="exact"/>
        <w:ind w:firstLine="560" w:firstLineChars="200"/>
        <w:rPr>
          <w:highlight w:val="none"/>
        </w:rPr>
      </w:pPr>
      <w:r>
        <w:rPr>
          <w:rFonts w:asciiTheme="minorEastAsia" w:hAnsiTheme="minorEastAsia" w:eastAsiaTheme="minorEastAsia"/>
          <w:bCs/>
          <w:sz w:val="28"/>
          <w:szCs w:val="28"/>
          <w:highlight w:val="none"/>
        </w:rPr>
        <w:t>31.1</w:t>
      </w:r>
      <w:r>
        <w:rPr>
          <w:rFonts w:hint="eastAsia" w:ascii="宋体" w:hAnsi="宋体"/>
          <w:bCs/>
          <w:sz w:val="28"/>
          <w:szCs w:val="28"/>
          <w:highlight w:val="none"/>
        </w:rPr>
        <w:t>投标供应商评审总得分为投标报价、商务、技术评分项得分之和。评分分值计算保留小数点后两位，小数点后第三位“四舍五入”。</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32.复核评审</w:t>
      </w:r>
      <w:r>
        <w:rPr>
          <w:rFonts w:hint="eastAsia" w:ascii="黑体" w:hAnsi="黑体"/>
          <w:b w:val="0"/>
          <w:highlight w:val="none"/>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w:t>
      </w:r>
      <w:r>
        <w:rPr>
          <w:rFonts w:hint="eastAsia" w:ascii="宋体" w:hAnsi="宋体"/>
          <w:bCs/>
          <w:sz w:val="28"/>
          <w:szCs w:val="28"/>
          <w:highlight w:val="none"/>
        </w:rPr>
        <w:t>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6"/>
        <w:keepNext w:val="0"/>
        <w:keepLines w:val="0"/>
        <w:adjustRightInd w:val="0"/>
        <w:snapToGrid w:val="0"/>
        <w:ind w:firstLine="560" w:firstLineChars="200"/>
        <w:rPr>
          <w:rFonts w:ascii="黑体" w:hAnsi="黑体"/>
          <w:b w:val="0"/>
          <w:highlight w:val="none"/>
        </w:rPr>
      </w:pPr>
      <w:bookmarkStart w:id="195" w:name="_Toc20681"/>
      <w:bookmarkStart w:id="196" w:name="_Toc14049"/>
      <w:bookmarkStart w:id="197" w:name="_Toc4538"/>
      <w:bookmarkStart w:id="198" w:name="_Toc11969"/>
      <w:r>
        <w:rPr>
          <w:rFonts w:ascii="黑体" w:hAnsi="黑体"/>
          <w:b w:val="0"/>
          <w:highlight w:val="none"/>
        </w:rPr>
        <w:t>33.</w:t>
      </w:r>
      <w:r>
        <w:rPr>
          <w:rFonts w:hint="eastAsia" w:ascii="黑体" w:hAnsi="黑体"/>
          <w:b w:val="0"/>
          <w:highlight w:val="none"/>
        </w:rPr>
        <w:t>推荐预中标供应商</w:t>
      </w:r>
      <w:bookmarkEnd w:id="195"/>
      <w:bookmarkEnd w:id="196"/>
      <w:bookmarkEnd w:id="197"/>
      <w:bookmarkEnd w:id="198"/>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评审委员会依据经过复核的评审结果，对投标供应商进行排序并推荐预中标供应商</w:t>
      </w:r>
      <w:r>
        <w:rPr>
          <w:rFonts w:hint="eastAsia" w:ascii="宋体" w:hAnsi="宋体"/>
          <w:bCs/>
          <w:sz w:val="28"/>
          <w:szCs w:val="28"/>
          <w:highlight w:val="none"/>
        </w:rPr>
        <w:t>。</w:t>
      </w:r>
    </w:p>
    <w:p>
      <w:pPr>
        <w:adjustRightInd w:val="0"/>
        <w:snapToGrid w:val="0"/>
        <w:spacing w:line="560" w:lineRule="exact"/>
        <w:ind w:firstLine="560" w:firstLineChars="200"/>
      </w:pPr>
      <w:r>
        <w:rPr>
          <w:rFonts w:ascii="宋体" w:hAnsi="宋体"/>
          <w:bCs/>
          <w:sz w:val="28"/>
          <w:szCs w:val="28"/>
          <w:highlight w:val="none"/>
        </w:rPr>
        <w:t>33.1</w:t>
      </w:r>
      <w:r>
        <w:rPr>
          <w:rFonts w:hint="eastAsia" w:ascii="宋体" w:hAnsi="宋体"/>
          <w:bCs/>
          <w:sz w:val="28"/>
          <w:szCs w:val="28"/>
          <w:highlight w:val="none"/>
        </w:rPr>
        <w:t>采用综合评分法、</w:t>
      </w:r>
      <w:r>
        <w:rPr>
          <w:rFonts w:ascii="宋体" w:hAnsi="宋体"/>
          <w:bCs/>
          <w:sz w:val="28"/>
          <w:szCs w:val="28"/>
          <w:highlight w:val="none"/>
        </w:rPr>
        <w:t>质量优先法评审</w:t>
      </w:r>
      <w:r>
        <w:rPr>
          <w:rFonts w:hint="eastAsia" w:ascii="宋体" w:hAnsi="宋体"/>
          <w:bCs/>
          <w:sz w:val="28"/>
          <w:szCs w:val="28"/>
          <w:highlight w:val="none"/>
        </w:rPr>
        <w:t>时，评审委员会按照</w:t>
      </w:r>
      <w:r>
        <w:rPr>
          <w:rFonts w:ascii="宋体" w:hAnsi="宋体"/>
          <w:bCs/>
          <w:sz w:val="28"/>
          <w:szCs w:val="28"/>
          <w:highlight w:val="none"/>
        </w:rPr>
        <w:t>商务</w:t>
      </w:r>
      <w:r>
        <w:rPr>
          <w:rFonts w:hint="eastAsia" w:ascii="宋体" w:hAnsi="宋体"/>
          <w:bCs/>
          <w:sz w:val="28"/>
          <w:szCs w:val="28"/>
          <w:highlight w:val="none"/>
        </w:rPr>
        <w:t>、</w:t>
      </w:r>
      <w:r>
        <w:rPr>
          <w:rFonts w:ascii="宋体" w:hAnsi="宋体"/>
          <w:bCs/>
          <w:sz w:val="28"/>
          <w:szCs w:val="28"/>
          <w:highlight w:val="none"/>
        </w:rPr>
        <w:t>技术</w:t>
      </w:r>
      <w:r>
        <w:rPr>
          <w:rFonts w:hint="eastAsia" w:ascii="宋体" w:hAnsi="宋体"/>
          <w:bCs/>
          <w:sz w:val="28"/>
          <w:szCs w:val="28"/>
          <w:highlight w:val="none"/>
        </w:rPr>
        <w:t>和价格</w:t>
      </w:r>
      <w:r>
        <w:rPr>
          <w:rFonts w:ascii="宋体" w:hAnsi="宋体"/>
          <w:bCs/>
          <w:sz w:val="28"/>
          <w:szCs w:val="28"/>
          <w:highlight w:val="none"/>
        </w:rPr>
        <w:t>评审总得分由高到低顺序排列，</w:t>
      </w:r>
      <w:r>
        <w:rPr>
          <w:rFonts w:hint="eastAsia" w:ascii="宋体" w:hAnsi="宋体"/>
          <w:bCs/>
          <w:sz w:val="28"/>
          <w:szCs w:val="28"/>
          <w:highlight w:val="none"/>
        </w:rPr>
        <w:t>得分</w:t>
      </w:r>
      <w:r>
        <w:rPr>
          <w:rFonts w:ascii="宋体" w:hAnsi="宋体"/>
          <w:bCs/>
          <w:sz w:val="28"/>
          <w:szCs w:val="28"/>
          <w:highlight w:val="none"/>
        </w:rPr>
        <w:t>最高的投标供应商作为预中标供应商；</w:t>
      </w:r>
      <w:r>
        <w:rPr>
          <w:rFonts w:hint="eastAsia" w:ascii="宋体" w:hAnsi="宋体"/>
          <w:bCs/>
          <w:sz w:val="28"/>
          <w:szCs w:val="28"/>
          <w:highlight w:val="none"/>
        </w:rPr>
        <w:t>总得分相同的，按照技术评审得分由高</w:t>
      </w:r>
      <w:r>
        <w:rPr>
          <w:rFonts w:hint="eastAsia" w:ascii="宋体" w:hAnsi="宋体"/>
          <w:bCs/>
          <w:sz w:val="28"/>
          <w:szCs w:val="28"/>
        </w:rPr>
        <w:t>到低进行排序；技术评审得分也相同的，按照报价由低到高进行排序。技术评审得分和报价均相同的，按照专用文件规定的方式确定预中标供应商。专用文件未明确的，采取随机抽取方式确定。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w:t>
      </w:r>
      <w:r>
        <w:rPr>
          <w:rFonts w:ascii="宋体" w:hAnsi="宋体"/>
          <w:bCs/>
          <w:sz w:val="28"/>
          <w:szCs w:val="28"/>
        </w:rPr>
        <w:t>投标报价由低到高顺序排列</w:t>
      </w:r>
      <w:r>
        <w:rPr>
          <w:rFonts w:hint="eastAsia" w:ascii="宋体" w:hAnsi="宋体"/>
          <w:bCs/>
          <w:sz w:val="28"/>
          <w:szCs w:val="28"/>
        </w:rPr>
        <w:t>。</w:t>
      </w:r>
      <w:r>
        <w:rPr>
          <w:rFonts w:ascii="宋体" w:hAnsi="宋体"/>
          <w:bCs/>
          <w:sz w:val="28"/>
          <w:szCs w:val="28"/>
        </w:rPr>
        <w:t>最低报价的投标供应商作为预中标供应商。报价相同的，按照技术指标优劣顺序排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预中标供应商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w:t>
      </w:r>
      <w:r>
        <w:rPr>
          <w:rFonts w:hint="eastAsia" w:ascii="宋体" w:hAnsi="宋体"/>
          <w:bCs/>
          <w:sz w:val="28"/>
          <w:szCs w:val="28"/>
        </w:rPr>
        <w:t>投标</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33.2</w:t>
      </w:r>
      <w:r>
        <w:rPr>
          <w:rFonts w:hint="eastAsia" w:ascii="宋体" w:hAnsi="宋体"/>
          <w:bCs/>
          <w:sz w:val="28"/>
          <w:szCs w:val="28"/>
        </w:rPr>
        <w:t>投标供应商报价高于全体有效投标供应商平均报价40%以上的，不得推荐为预中标供应商。</w:t>
      </w:r>
      <w:r>
        <w:rPr>
          <w:rFonts w:ascii="宋体" w:hAnsi="宋体"/>
          <w:bCs/>
          <w:sz w:val="28"/>
          <w:szCs w:val="28"/>
        </w:rPr>
        <w:t>采用综合评分法</w:t>
      </w:r>
      <w:r>
        <w:rPr>
          <w:rFonts w:hint="eastAsia" w:ascii="宋体" w:hAnsi="宋体"/>
          <w:bCs/>
          <w:sz w:val="28"/>
          <w:szCs w:val="28"/>
        </w:rPr>
        <w:t>或质量优先法评审时，投标供应商的</w:t>
      </w:r>
      <w:r>
        <w:rPr>
          <w:rFonts w:ascii="宋体" w:hAnsi="宋体"/>
          <w:bCs/>
          <w:sz w:val="28"/>
          <w:szCs w:val="28"/>
        </w:rPr>
        <w:t>商务和技术得分低于所有有效投标供应商商务和技术得分平均值30%以上的</w:t>
      </w:r>
      <w:r>
        <w:rPr>
          <w:rFonts w:hint="eastAsia" w:ascii="宋体" w:hAnsi="宋体"/>
          <w:bCs/>
          <w:sz w:val="28"/>
          <w:szCs w:val="28"/>
        </w:rPr>
        <w:t>投标</w:t>
      </w:r>
      <w:r>
        <w:rPr>
          <w:rFonts w:ascii="宋体" w:hAnsi="宋体"/>
          <w:bCs/>
          <w:sz w:val="28"/>
          <w:szCs w:val="28"/>
        </w:rPr>
        <w:t>供应商，不得推荐为预中标供应商。</w:t>
      </w:r>
    </w:p>
    <w:p>
      <w:pPr>
        <w:pStyle w:val="16"/>
        <w:spacing w:after="0" w:line="560" w:lineRule="exact"/>
        <w:ind w:firstLine="560" w:firstLineChars="200"/>
        <w:rPr>
          <w:rFonts w:ascii="宋体" w:hAnsi="宋体"/>
          <w:sz w:val="28"/>
          <w:szCs w:val="28"/>
        </w:rPr>
      </w:pPr>
      <w:r>
        <w:rPr>
          <w:rFonts w:ascii="宋体" w:hAnsi="宋体"/>
          <w:sz w:val="28"/>
          <w:szCs w:val="28"/>
        </w:rPr>
        <w:t>33.3</w:t>
      </w:r>
      <w:r>
        <w:rPr>
          <w:rFonts w:hint="eastAsia" w:ascii="宋体" w:hAnsi="宋体"/>
          <w:sz w:val="28"/>
          <w:szCs w:val="28"/>
        </w:rPr>
        <w:t>中标供应商数量、价格</w:t>
      </w:r>
    </w:p>
    <w:p>
      <w:pPr>
        <w:pStyle w:val="16"/>
        <w:spacing w:after="0" w:line="560" w:lineRule="exact"/>
        <w:ind w:firstLine="560" w:firstLineChars="200"/>
        <w:rPr>
          <w:rFonts w:ascii="仿宋_GB2312" w:hAnsi="仿宋"/>
          <w:sz w:val="28"/>
          <w:szCs w:val="28"/>
        </w:rPr>
      </w:pPr>
      <w:r>
        <w:rPr>
          <w:rFonts w:hint="eastAsia" w:ascii="仿宋_GB2312" w:hAnsi="仿宋"/>
          <w:sz w:val="28"/>
          <w:szCs w:val="28"/>
        </w:rPr>
        <w:t>同一品种物资项目通常不得分包，但采购数量金额大或保障范围广，且</w:t>
      </w:r>
      <w:r>
        <w:rPr>
          <w:rFonts w:ascii="仿宋_GB2312" w:hAnsi="仿宋"/>
          <w:sz w:val="28"/>
          <w:szCs w:val="28"/>
        </w:rPr>
        <w:t>1</w:t>
      </w:r>
      <w:r>
        <w:rPr>
          <w:rFonts w:hint="eastAsia" w:ascii="仿宋_GB2312" w:hAnsi="仿宋"/>
          <w:sz w:val="28"/>
          <w:szCs w:val="28"/>
        </w:rPr>
        <w:t>家供应商履约能力无法满足要求的</w:t>
      </w:r>
      <w:r>
        <w:rPr>
          <w:rFonts w:hint="eastAsia" w:ascii="宋体" w:hAnsi="宋体"/>
          <w:sz w:val="28"/>
          <w:szCs w:val="28"/>
        </w:rPr>
        <w:t>，可以一包选取</w:t>
      </w:r>
      <w:r>
        <w:rPr>
          <w:rFonts w:ascii="宋体" w:hAnsi="宋体"/>
          <w:sz w:val="28"/>
          <w:szCs w:val="28"/>
        </w:rPr>
        <w:t>2</w:t>
      </w:r>
      <w:r>
        <w:rPr>
          <w:rFonts w:hint="eastAsia" w:ascii="宋体" w:hAnsi="宋体"/>
          <w:sz w:val="28"/>
          <w:szCs w:val="28"/>
        </w:rPr>
        <w:t>家以上中标供应商，</w:t>
      </w:r>
      <w:r>
        <w:rPr>
          <w:rFonts w:hint="eastAsia" w:ascii="仿宋_GB2312" w:hAnsi="仿宋"/>
          <w:sz w:val="28"/>
          <w:szCs w:val="28"/>
        </w:rPr>
        <w:t>依据排名依次递减的原则确定承担任务数量或范围；也可以分成多包，每包确定</w:t>
      </w:r>
      <w:r>
        <w:rPr>
          <w:rFonts w:ascii="仿宋_GB2312" w:hAnsi="仿宋"/>
          <w:sz w:val="28"/>
          <w:szCs w:val="28"/>
        </w:rPr>
        <w:t>1</w:t>
      </w:r>
      <w:r>
        <w:rPr>
          <w:rFonts w:hint="eastAsia" w:ascii="仿宋_GB2312" w:hAnsi="仿宋"/>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确定多家供应商中标的，投标供</w:t>
      </w:r>
      <w:r>
        <w:rPr>
          <w:rFonts w:hint="eastAsia" w:ascii="宋体" w:hAnsi="宋体"/>
          <w:sz w:val="28"/>
          <w:szCs w:val="28"/>
        </w:rPr>
        <w:t>应商数量通常为中标数量的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20.4</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经评审符合要求的投标供应商数量通常为中标数量的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w:t>
      </w:r>
      <w:r>
        <w:rPr>
          <w:rFonts w:hint="eastAsia" w:ascii="仿宋_GB2312"/>
          <w:sz w:val="28"/>
          <w:szCs w:val="28"/>
        </w:rPr>
        <w:t>购机构可以商采购单位相应减少中标数量，经采购单位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中标供应商可以执行各自报价，或按照下列方式处理：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多家投标供应商中标价格确定方式应当唯一，具体方式见招标文件专用文件。</w:t>
      </w:r>
    </w:p>
    <w:p>
      <w:pPr>
        <w:pStyle w:val="6"/>
        <w:keepNext w:val="0"/>
        <w:keepLines w:val="0"/>
        <w:adjustRightInd w:val="0"/>
        <w:snapToGrid w:val="0"/>
        <w:ind w:firstLine="560" w:firstLineChars="200"/>
        <w:rPr>
          <w:rFonts w:ascii="黑体" w:hAnsi="黑体"/>
          <w:b w:val="0"/>
        </w:rPr>
      </w:pPr>
      <w:r>
        <w:rPr>
          <w:rFonts w:ascii="黑体" w:hAnsi="黑体"/>
          <w:b w:val="0"/>
        </w:rPr>
        <w:t>34.</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34.1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adjustRightInd w:val="0"/>
        <w:snapToGrid w:val="0"/>
        <w:ind w:firstLine="560" w:firstLineChars="200"/>
        <w:rPr>
          <w:rFonts w:ascii="黑体" w:hAnsi="黑体"/>
          <w:b w:val="0"/>
        </w:rPr>
      </w:pPr>
      <w:r>
        <w:rPr>
          <w:rFonts w:ascii="黑体" w:hAnsi="黑体"/>
          <w:b w:val="0"/>
        </w:rPr>
        <w:t>35.</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35.1</w:t>
      </w:r>
      <w:r>
        <w:rPr>
          <w:rFonts w:hint="eastAsia" w:ascii="宋体" w:hAnsi="宋体"/>
          <w:bCs/>
          <w:sz w:val="28"/>
          <w:szCs w:val="28"/>
        </w:rPr>
        <w:t>评审委员会组长应当当场向所有投标供应商宣布评审结果，包括投标供应</w:t>
      </w:r>
      <w:r>
        <w:rPr>
          <w:rFonts w:hint="eastAsia" w:ascii="宋体" w:hAnsi="宋体"/>
          <w:bCs/>
          <w:sz w:val="28"/>
          <w:szCs w:val="28"/>
          <w:highlight w:val="none"/>
        </w:rPr>
        <w:t>商评审排名和报价，无效投标供应商名单和原因等。投标供应商有疑义的，评审委员会应当当场予以解答。</w:t>
      </w:r>
    </w:p>
    <w:p>
      <w:pPr>
        <w:pStyle w:val="6"/>
        <w:keepNext w:val="0"/>
        <w:keepLines w:val="0"/>
        <w:adjustRightInd w:val="0"/>
        <w:snapToGrid w:val="0"/>
        <w:ind w:firstLine="560" w:firstLineChars="200"/>
        <w:rPr>
          <w:rFonts w:ascii="黑体" w:hAnsi="黑体"/>
          <w:b w:val="0"/>
          <w:highlight w:val="none"/>
        </w:rPr>
      </w:pPr>
      <w:bookmarkStart w:id="199" w:name="_Toc2853"/>
      <w:bookmarkStart w:id="200" w:name="_Toc8122"/>
      <w:bookmarkStart w:id="201" w:name="_Toc25551"/>
      <w:bookmarkStart w:id="202" w:name="_Toc7662"/>
      <w:r>
        <w:rPr>
          <w:rFonts w:ascii="黑体" w:hAnsi="黑体"/>
          <w:b w:val="0"/>
          <w:highlight w:val="none"/>
        </w:rPr>
        <w:t>36.</w:t>
      </w:r>
      <w:r>
        <w:rPr>
          <w:rFonts w:hint="eastAsia" w:ascii="黑体" w:hAnsi="黑体"/>
          <w:b w:val="0"/>
          <w:highlight w:val="none"/>
        </w:rPr>
        <w:t>无效投标</w:t>
      </w:r>
      <w:bookmarkEnd w:id="199"/>
      <w:bookmarkEnd w:id="200"/>
      <w:bookmarkEnd w:id="201"/>
      <w:bookmarkEnd w:id="202"/>
    </w:p>
    <w:p>
      <w:pPr>
        <w:pStyle w:val="117"/>
        <w:adjustRightInd w:val="0"/>
        <w:snapToGrid w:val="0"/>
        <w:spacing w:line="560" w:lineRule="exact"/>
        <w:ind w:firstLine="560"/>
        <w:rPr>
          <w:rFonts w:ascii="宋体" w:hAnsi="宋体"/>
          <w:bCs/>
          <w:sz w:val="28"/>
          <w:szCs w:val="28"/>
          <w:highlight w:val="none"/>
        </w:rPr>
      </w:pPr>
      <w:r>
        <w:rPr>
          <w:rFonts w:ascii="宋体" w:hAnsi="宋体"/>
          <w:bCs/>
          <w:sz w:val="28"/>
          <w:szCs w:val="28"/>
          <w:highlight w:val="none"/>
        </w:rPr>
        <w:t>36.1在</w:t>
      </w:r>
      <w:r>
        <w:rPr>
          <w:rFonts w:hint="eastAsia" w:ascii="宋体" w:hAnsi="宋体"/>
          <w:bCs/>
          <w:sz w:val="28"/>
          <w:szCs w:val="28"/>
          <w:highlight w:val="none"/>
        </w:rPr>
        <w:t>资格性审查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w:t>
      </w:r>
      <w:r>
        <w:rPr>
          <w:rFonts w:hint="eastAsia" w:ascii="宋体" w:hAnsi="宋体"/>
          <w:bCs/>
          <w:sz w:val="28"/>
          <w:szCs w:val="28"/>
          <w:highlight w:val="none"/>
        </w:rPr>
        <w:t>条规定的情形除外：</w:t>
      </w:r>
    </w:p>
    <w:p>
      <w:pPr>
        <w:pStyle w:val="117"/>
        <w:adjustRightInd w:val="0"/>
        <w:snapToGrid w:val="0"/>
        <w:spacing w:line="560" w:lineRule="exact"/>
        <w:ind w:firstLine="56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未按照招标文件要求密封的；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2）</w:t>
      </w:r>
      <w:r>
        <w:rPr>
          <w:rFonts w:hint="eastAsia" w:ascii="宋体" w:hAnsi="宋体"/>
          <w:bCs/>
          <w:kern w:val="0"/>
          <w:sz w:val="28"/>
          <w:szCs w:val="28"/>
          <w:highlight w:val="none"/>
        </w:rPr>
        <w:t>不具备招标文件中规定的资格性要求的；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3）</w:t>
      </w:r>
      <w:r>
        <w:rPr>
          <w:rFonts w:hint="eastAsia" w:ascii="宋体" w:hAnsi="宋体"/>
          <w:bCs/>
          <w:kern w:val="0"/>
          <w:sz w:val="28"/>
          <w:szCs w:val="28"/>
          <w:highlight w:val="none"/>
        </w:rPr>
        <w:t>法定代表人授权不符合要求的；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4）</w:t>
      </w:r>
      <w:r>
        <w:rPr>
          <w:rFonts w:hint="eastAsia" w:ascii="宋体" w:hAnsi="宋体"/>
          <w:bCs/>
          <w:kern w:val="0"/>
          <w:sz w:val="28"/>
          <w:szCs w:val="28"/>
          <w:highlight w:val="none"/>
        </w:rPr>
        <w:t>属于禁止参加投标供应商的；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5）</w:t>
      </w:r>
      <w:r>
        <w:rPr>
          <w:rFonts w:hint="eastAsia" w:ascii="宋体" w:hAnsi="宋体"/>
          <w:bCs/>
          <w:kern w:val="0"/>
          <w:sz w:val="28"/>
          <w:szCs w:val="28"/>
          <w:highlight w:val="none"/>
        </w:rPr>
        <w:t>未按照规定交纳投标保证金的；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6）</w:t>
      </w:r>
      <w:r>
        <w:rPr>
          <w:rFonts w:hint="eastAsia" w:ascii="宋体" w:hAnsi="宋体"/>
          <w:bCs/>
          <w:kern w:val="0"/>
          <w:sz w:val="28"/>
          <w:szCs w:val="28"/>
          <w:highlight w:val="none"/>
        </w:rPr>
        <w:t>不符合国家和军队法律法规规定的资格性要求的。</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36.2在</w:t>
      </w:r>
      <w:r>
        <w:rPr>
          <w:rFonts w:hint="eastAsia" w:ascii="宋体" w:hAnsi="宋体"/>
          <w:bCs/>
          <w:sz w:val="28"/>
          <w:szCs w:val="28"/>
          <w:highlight w:val="none"/>
        </w:rPr>
        <w:t>符合性审查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37条规定的情形除外：</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未按照招标文件要求签署、盖章的；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2）</w:t>
      </w:r>
      <w:r>
        <w:rPr>
          <w:rFonts w:hint="eastAsia" w:ascii="仿宋_GB2312" w:hAnsi="仿宋" w:cs="仿宋"/>
          <w:bCs/>
          <w:sz w:val="28"/>
          <w:szCs w:val="28"/>
          <w:highlight w:val="none"/>
        </w:rPr>
        <w:t>投标有效期不符合招标文件要求的；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3）</w:t>
      </w:r>
      <w:r>
        <w:rPr>
          <w:rFonts w:hint="eastAsia" w:ascii="仿宋_GB2312" w:hAnsi="仿宋" w:cs="仿宋"/>
          <w:bCs/>
          <w:sz w:val="28"/>
          <w:szCs w:val="28"/>
          <w:highlight w:val="none"/>
        </w:rPr>
        <w:t>技术和商务的实质性条款不满足招标文件要求的；</w:t>
      </w:r>
    </w:p>
    <w:p>
      <w:pPr>
        <w:pStyle w:val="103"/>
        <w:adjustRightInd w:val="0"/>
        <w:snapToGrid w:val="0"/>
        <w:spacing w:line="560" w:lineRule="exact"/>
        <w:ind w:firstLine="560"/>
        <w:rPr>
          <w:rFonts w:ascii="仿宋_GB2312" w:hAnsi="仿宋" w:cs="仿宋"/>
          <w:bCs/>
          <w:sz w:val="28"/>
          <w:szCs w:val="28"/>
          <w:highlight w:val="none"/>
        </w:rPr>
      </w:pPr>
      <w:r>
        <w:rPr>
          <w:rFonts w:hint="eastAsia" w:ascii="宋体" w:hAnsi="宋体"/>
          <w:bCs/>
          <w:sz w:val="28"/>
          <w:szCs w:val="28"/>
          <w:highlight w:val="none"/>
        </w:rPr>
        <w:t>（4）其他</w:t>
      </w:r>
      <w:r>
        <w:rPr>
          <w:rFonts w:hint="eastAsia" w:ascii="仿宋_GB2312" w:hAnsi="仿宋" w:cs="仿宋"/>
          <w:bCs/>
          <w:sz w:val="28"/>
          <w:szCs w:val="28"/>
          <w:highlight w:val="none"/>
        </w:rPr>
        <w:t>不满足招标文件载明的符合性要求的。</w:t>
      </w:r>
    </w:p>
    <w:p>
      <w:pPr>
        <w:spacing w:line="580" w:lineRule="exact"/>
        <w:ind w:firstLine="560" w:firstLineChars="200"/>
        <w:rPr>
          <w:rFonts w:ascii="宋体" w:hAnsi="宋体"/>
          <w:sz w:val="28"/>
          <w:szCs w:val="28"/>
          <w:highlight w:val="none"/>
        </w:rPr>
      </w:pPr>
      <w:r>
        <w:rPr>
          <w:rFonts w:ascii="宋体" w:hAnsi="宋体"/>
          <w:bCs/>
          <w:sz w:val="28"/>
          <w:szCs w:val="28"/>
          <w:highlight w:val="none"/>
        </w:rPr>
        <w:t>36.3</w:t>
      </w:r>
      <w:r>
        <w:rPr>
          <w:rFonts w:hint="eastAsia" w:ascii="宋体" w:hAnsi="宋体"/>
          <w:sz w:val="28"/>
          <w:szCs w:val="28"/>
          <w:highlight w:val="none"/>
        </w:rPr>
        <w:t>有下列情形之一的，属于投标供应商相互串通投标，按照无效投标处理：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）投标供应商之间约定中标供应商的；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）投标供应商之间约定部分放弃投标或中标的；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）同一集团成员的投标供应商按照该集团要求协同投标的；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）投标供应商之间为谋取中标或排斥特定投标供应商而采取其他联合行动的；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）国家和</w:t>
      </w:r>
      <w:r>
        <w:rPr>
          <w:rFonts w:ascii="宋体" w:hAnsi="宋体" w:cs="仿宋"/>
          <w:sz w:val="28"/>
          <w:szCs w:val="28"/>
          <w:highlight w:val="none"/>
        </w:rPr>
        <w:t>军队法律法规规定的其他情形。</w:t>
      </w:r>
    </w:p>
    <w:p>
      <w:pPr>
        <w:spacing w:line="560" w:lineRule="exact"/>
        <w:ind w:firstLine="560" w:firstLineChars="200"/>
        <w:rPr>
          <w:rFonts w:ascii="宋体" w:hAnsi="宋体"/>
          <w:sz w:val="28"/>
          <w:szCs w:val="28"/>
          <w:highlight w:val="none"/>
        </w:rPr>
      </w:pPr>
      <w:r>
        <w:rPr>
          <w:rFonts w:ascii="宋体" w:hAnsi="宋体"/>
          <w:sz w:val="28"/>
          <w:szCs w:val="28"/>
          <w:highlight w:val="none"/>
        </w:rPr>
        <w:t>36.4</w:t>
      </w:r>
      <w:r>
        <w:rPr>
          <w:rFonts w:hint="eastAsia" w:ascii="宋体" w:hAnsi="宋体"/>
          <w:sz w:val="28"/>
          <w:szCs w:val="28"/>
          <w:highlight w:val="none"/>
        </w:rPr>
        <w:t>有下列情形之一的，视为投标供应商相互串通投标，按照无效投标处理：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）不同投标供应商的投标文件由同一单位或个人编制的，以及投标使用同一加密锁或具有相同</w:t>
      </w:r>
      <w:r>
        <w:rPr>
          <w:rFonts w:ascii="宋体" w:hAnsi="宋体" w:cs="仿宋"/>
          <w:sz w:val="28"/>
          <w:szCs w:val="28"/>
          <w:highlight w:val="none"/>
        </w:rPr>
        <w:t>Mac地址的；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）不同投标供应商委托同一单位或个人办理投标事宜的；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）不同投标供应商的投标文件载明的项目管理成员为同一人的；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）不同投标供应商的投标文件异常一致或投标呈规律性差异的；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）不同投标供应商的投标文件混装、签章混用</w:t>
      </w:r>
      <w:r>
        <w:rPr>
          <w:rFonts w:hint="eastAsia" w:ascii="宋体" w:hAnsi="宋体" w:cs="仿宋"/>
          <w:sz w:val="28"/>
          <w:szCs w:val="28"/>
        </w:rPr>
        <w:t>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）不同投标供应商的投标保证金从同一单位或个人的账户转出的；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36.5</w:t>
      </w:r>
      <w:r>
        <w:rPr>
          <w:rFonts w:hint="eastAsia" w:ascii="宋体" w:hAnsi="宋体"/>
          <w:sz w:val="28"/>
          <w:szCs w:val="28"/>
        </w:rPr>
        <w:t>有下列情形之一的，属于采购机构、采购单位与投标供应商串通投标，按照无效投标处理：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）在开标前开启投标文件并将有关信息泄露给其他投标供应商的；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）直接或间接向投标供应商泄露评审委员会成员信息的；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）明示或暗示投标供应商压低或抬高投标价格的；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）授意投标供应商撤换、修改投标文件的；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）明示或暗示投标供应商为特定投标供应商中标提供方便的；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）在开标前与投标供应商就采购项目进行实质性谈判的；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）与投标供应商为谋求特定投标供应商中标而采取其他串通行为的；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36.6</w:t>
      </w:r>
      <w:r>
        <w:rPr>
          <w:rFonts w:hint="eastAsia" w:ascii="宋体" w:hAnsi="宋体"/>
          <w:sz w:val="28"/>
          <w:szCs w:val="28"/>
        </w:rPr>
        <w:t>有下列情形之一的，属于虚假投标，按照无效投标处理：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）提供虚假样品或借用、冒用其他投标供应商样品的；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r>
        <w:rPr>
          <w:rFonts w:hint="eastAsia" w:ascii="宋体" w:hAnsi="宋体" w:cs="仿宋"/>
          <w:sz w:val="28"/>
          <w:szCs w:val="28"/>
        </w:rPr>
        <w:t>。</w:t>
      </w:r>
    </w:p>
    <w:p>
      <w:pPr>
        <w:spacing w:line="560" w:lineRule="exact"/>
        <w:ind w:firstLine="560" w:firstLineChars="200"/>
        <w:rPr>
          <w:rFonts w:ascii="宋体" w:hAnsi="宋体" w:cs="仿宋"/>
          <w:sz w:val="28"/>
          <w:szCs w:val="28"/>
        </w:rPr>
      </w:pPr>
      <w:r>
        <w:rPr>
          <w:rFonts w:ascii="宋体" w:hAnsi="宋体" w:cs="仿宋"/>
          <w:sz w:val="28"/>
          <w:szCs w:val="28"/>
        </w:rPr>
        <w:t>36.7</w:t>
      </w:r>
      <w:r>
        <w:rPr>
          <w:rFonts w:hint="eastAsia" w:ascii="宋体" w:hAnsi="宋体" w:cs="仿宋"/>
          <w:sz w:val="28"/>
          <w:szCs w:val="28"/>
        </w:rPr>
        <w:t>招标文件中明确的其他应当视为无效投标的情形。</w:t>
      </w:r>
    </w:p>
    <w:p>
      <w:pPr>
        <w:pStyle w:val="6"/>
        <w:keepNext w:val="0"/>
        <w:keepLines w:val="0"/>
        <w:adjustRightInd w:val="0"/>
        <w:snapToGrid w:val="0"/>
        <w:ind w:firstLine="560" w:firstLineChars="200"/>
        <w:rPr>
          <w:rFonts w:ascii="黑体" w:hAnsi="黑体"/>
          <w:b w:val="0"/>
        </w:rPr>
      </w:pPr>
      <w:r>
        <w:rPr>
          <w:rFonts w:hint="eastAsia" w:ascii="黑体" w:hAnsi="黑体"/>
          <w:b w:val="0"/>
        </w:rPr>
        <w:t>3</w:t>
      </w:r>
      <w:r>
        <w:rPr>
          <w:rFonts w:ascii="黑体" w:hAnsi="黑体"/>
          <w:b w:val="0"/>
        </w:rPr>
        <w:t>7.</w:t>
      </w:r>
      <w:r>
        <w:rPr>
          <w:rFonts w:hint="eastAsia" w:ascii="黑体" w:hAnsi="黑体"/>
          <w:b w:val="0"/>
        </w:rPr>
        <w:t>通过资格性、符合性审查的特殊情形</w:t>
      </w:r>
    </w:p>
    <w:p>
      <w:pPr>
        <w:pStyle w:val="103"/>
        <w:spacing w:line="560" w:lineRule="exact"/>
        <w:ind w:firstLine="560"/>
        <w:rPr>
          <w:rFonts w:ascii="宋体" w:hAnsi="宋体"/>
          <w:sz w:val="28"/>
          <w:szCs w:val="28"/>
        </w:rPr>
      </w:pPr>
      <w:r>
        <w:rPr>
          <w:rFonts w:hint="eastAsia" w:ascii="宋体" w:hAnsi="宋体"/>
          <w:sz w:val="28"/>
          <w:szCs w:val="28"/>
        </w:rPr>
        <w:t>3</w:t>
      </w:r>
      <w:r>
        <w:rPr>
          <w:rFonts w:ascii="宋体" w:hAnsi="宋体"/>
          <w:sz w:val="28"/>
          <w:szCs w:val="28"/>
        </w:rPr>
        <w:t>7.1</w:t>
      </w:r>
      <w:r>
        <w:rPr>
          <w:rFonts w:hint="eastAsia" w:ascii="宋体" w:hAnsi="宋体"/>
          <w:sz w:val="28"/>
          <w:szCs w:val="28"/>
        </w:rPr>
        <w:t>投标文件有下列情形，但其他方面符合要求，应当认定通过资格性、符合性审查：</w:t>
      </w:r>
    </w:p>
    <w:p>
      <w:pPr>
        <w:pStyle w:val="103"/>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（1）密封时未加盖、少加盖公章或密封章，但密封完好、完整标明了投标供应商名称且得到投标供应商现场认可的；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（2）正副本数量齐全、密封完好，但未按照招标文件要求进行分装或统装的；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（3）除招标文件规定要求法定代表人或授权代表签字以外，其他未签字的；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（4）除招标文件规定要求加盖投标供应商等公章以外，其他未盖章或加盖相关专用章的；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（5）投标文件印刷装订不规范、书写有错误，资格证明文件与投标文件混装，投标文件未标明正副本但能分辨出投标文件主体的。</w:t>
      </w:r>
    </w:p>
    <w:p>
      <w:pPr>
        <w:spacing w:line="560" w:lineRule="exact"/>
        <w:ind w:firstLine="560" w:firstLineChars="200"/>
        <w:rPr>
          <w:rFonts w:ascii="宋体" w:hAnsi="宋体"/>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6"/>
        <w:keepNext w:val="0"/>
        <w:keepLines w:val="0"/>
        <w:adjustRightInd w:val="0"/>
        <w:snapToGrid w:val="0"/>
        <w:ind w:firstLine="560" w:firstLineChars="200"/>
        <w:rPr>
          <w:rFonts w:ascii="黑体" w:hAnsi="黑体"/>
          <w:b w:val="0"/>
        </w:rPr>
      </w:pPr>
      <w:bookmarkStart w:id="203" w:name="_Toc4875"/>
      <w:bookmarkStart w:id="204" w:name="_Toc30788"/>
      <w:bookmarkStart w:id="205" w:name="_Toc20568"/>
      <w:bookmarkStart w:id="206" w:name="_Toc24181"/>
      <w:r>
        <w:rPr>
          <w:rFonts w:ascii="黑体" w:hAnsi="黑体"/>
          <w:b w:val="0"/>
        </w:rPr>
        <w:t>38.</w:t>
      </w:r>
      <w:r>
        <w:rPr>
          <w:rFonts w:hint="eastAsia" w:ascii="黑体" w:hAnsi="黑体"/>
          <w:b w:val="0"/>
        </w:rPr>
        <w:t>废标</w:t>
      </w:r>
      <w:bookmarkEnd w:id="203"/>
      <w:bookmarkEnd w:id="204"/>
      <w:bookmarkEnd w:id="205"/>
      <w:bookmarkEnd w:id="206"/>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3</w:t>
      </w:r>
      <w:r>
        <w:rPr>
          <w:rFonts w:ascii="宋体" w:hAnsi="宋体"/>
          <w:bCs/>
          <w:sz w:val="28"/>
          <w:szCs w:val="28"/>
          <w:highlight w:val="none"/>
        </w:rPr>
        <w:t>8.1有下列情形之一的，按照废标处理：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报名参加或实质性响应投标供应商不足</w:t>
      </w:r>
      <w:r>
        <w:rPr>
          <w:rFonts w:ascii="宋体" w:hAnsi="宋体"/>
          <w:bCs/>
          <w:sz w:val="28"/>
          <w:szCs w:val="28"/>
          <w:highlight w:val="none"/>
        </w:rPr>
        <w:t>3家</w:t>
      </w:r>
      <w:r>
        <w:rPr>
          <w:rFonts w:hint="eastAsia" w:ascii="宋体" w:hAnsi="宋体"/>
          <w:bCs/>
          <w:sz w:val="28"/>
          <w:szCs w:val="28"/>
          <w:highlight w:val="none"/>
        </w:rPr>
        <w:t>的</w:t>
      </w:r>
      <w:r>
        <w:rPr>
          <w:rFonts w:ascii="宋体" w:hAnsi="宋体"/>
          <w:bCs/>
          <w:sz w:val="28"/>
          <w:szCs w:val="28"/>
          <w:highlight w:val="none"/>
        </w:rPr>
        <w:t>，</w:t>
      </w:r>
      <w:r>
        <w:rPr>
          <w:rFonts w:hint="eastAsia" w:ascii="宋体" w:hAnsi="宋体"/>
          <w:bCs/>
          <w:sz w:val="28"/>
          <w:szCs w:val="28"/>
          <w:highlight w:val="none"/>
        </w:rPr>
        <w:t>符合本章第</w:t>
      </w:r>
      <w:r>
        <w:rPr>
          <w:rFonts w:ascii="宋体" w:hAnsi="宋体"/>
          <w:bCs/>
          <w:sz w:val="28"/>
          <w:szCs w:val="28"/>
          <w:highlight w:val="none"/>
        </w:rPr>
        <w:t>20.4</w:t>
      </w:r>
      <w:r>
        <w:rPr>
          <w:rFonts w:hint="eastAsia" w:ascii="宋体" w:hAnsi="宋体"/>
          <w:bCs/>
          <w:sz w:val="28"/>
          <w:szCs w:val="28"/>
          <w:highlight w:val="none"/>
        </w:rPr>
        <w:t>条情形的除外；</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2）出现影响采购公平公正的违法、违规行为的；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3）因重大变故，取消采购任务的</w:t>
      </w:r>
      <w:r>
        <w:rPr>
          <w:rFonts w:hint="eastAsia"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207" w:name="_Toc15536"/>
      <w:bookmarkStart w:id="208" w:name="_Toc28683"/>
      <w:bookmarkStart w:id="209" w:name="_Toc29718"/>
      <w:bookmarkStart w:id="210" w:name="_Toc21189"/>
      <w:r>
        <w:rPr>
          <w:rFonts w:ascii="黑体" w:hAnsi="黑体"/>
          <w:b w:val="0"/>
          <w:highlight w:val="none"/>
        </w:rPr>
        <w:t>39.</w:t>
      </w:r>
      <w:r>
        <w:rPr>
          <w:rFonts w:hint="eastAsia" w:ascii="黑体" w:hAnsi="黑体"/>
          <w:b w:val="0"/>
          <w:highlight w:val="none"/>
        </w:rPr>
        <w:t>终止评审</w:t>
      </w:r>
      <w:bookmarkEnd w:id="207"/>
      <w:bookmarkEnd w:id="208"/>
      <w:bookmarkEnd w:id="209"/>
      <w:bookmarkEnd w:id="210"/>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39.1</w:t>
      </w:r>
      <w:r>
        <w:rPr>
          <w:rFonts w:hint="eastAsia" w:ascii="仿宋_GB2312" w:hAnsi="仿宋"/>
          <w:bCs/>
          <w:sz w:val="28"/>
          <w:szCs w:val="28"/>
          <w:highlight w:val="none"/>
        </w:rPr>
        <w:t>在评审过程中，有下列情形之一的，评审委员会应当</w:t>
      </w:r>
      <w:bookmarkStart w:id="211" w:name="_Hlk112188545"/>
      <w:r>
        <w:rPr>
          <w:rFonts w:hint="eastAsia" w:ascii="仿宋_GB2312" w:hAnsi="仿宋"/>
          <w:bCs/>
          <w:sz w:val="28"/>
          <w:szCs w:val="28"/>
          <w:highlight w:val="none"/>
        </w:rPr>
        <w:t>终止评审</w:t>
      </w:r>
      <w:bookmarkEnd w:id="211"/>
      <w:r>
        <w:rPr>
          <w:rFonts w:hint="eastAsia" w:ascii="仿宋_GB2312" w:hAnsi="仿宋"/>
          <w:bCs/>
          <w:sz w:val="28"/>
          <w:szCs w:val="28"/>
          <w:highlight w:val="none"/>
        </w:rPr>
        <w:t>，并书面说明情况：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招标文件存在重大歧义、缺陷，导致评审</w:t>
      </w:r>
      <w:r>
        <w:rPr>
          <w:rFonts w:hint="eastAsia" w:ascii="仿宋_GB2312" w:hAnsi="仿宋" w:cs="仿宋"/>
          <w:bCs/>
          <w:sz w:val="28"/>
          <w:szCs w:val="28"/>
        </w:rPr>
        <w:t>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招标文件存在明显的倾向性、排他性或歧视性的；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招标文件违反国家和军队强制性规定的；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参加投标供应商均不符合相关要求的；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投标供应商报价均超预算，且采购单位无法追加预算的；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有关投标供应商和个人干预评审委员会依法独立评审的；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5"/>
        <w:keepNext w:val="0"/>
        <w:keepLines w:val="0"/>
        <w:adjustRightInd w:val="0"/>
        <w:snapToGrid w:val="0"/>
        <w:spacing w:before="120" w:beforeLines="50" w:after="120" w:afterLines="50" w:line="560" w:lineRule="exact"/>
        <w:jc w:val="center"/>
        <w:rPr>
          <w:b w:val="0"/>
        </w:rPr>
      </w:pPr>
      <w:bookmarkStart w:id="212" w:name="_Toc112317773"/>
      <w:bookmarkStart w:id="213" w:name="_Toc28701"/>
      <w:bookmarkStart w:id="214" w:name="_Toc32353"/>
      <w:bookmarkStart w:id="215" w:name="_Toc31487"/>
      <w:bookmarkStart w:id="216" w:name="_Toc6366"/>
      <w:bookmarkStart w:id="217" w:name="_Toc6307"/>
      <w:bookmarkStart w:id="218" w:name="_Toc26245"/>
      <w:bookmarkStart w:id="219" w:name="_Toc14148"/>
      <w:r>
        <w:rPr>
          <w:rFonts w:hint="eastAsia"/>
          <w:b w:val="0"/>
        </w:rPr>
        <w:t>六、定标</w:t>
      </w:r>
      <w:bookmarkEnd w:id="212"/>
      <w:bookmarkEnd w:id="213"/>
      <w:bookmarkEnd w:id="214"/>
      <w:bookmarkEnd w:id="215"/>
      <w:bookmarkEnd w:id="216"/>
      <w:bookmarkEnd w:id="217"/>
      <w:bookmarkEnd w:id="218"/>
      <w:bookmarkEnd w:id="219"/>
    </w:p>
    <w:p>
      <w:pPr>
        <w:pStyle w:val="6"/>
        <w:keepNext w:val="0"/>
        <w:keepLines w:val="0"/>
        <w:adjustRightInd w:val="0"/>
        <w:snapToGrid w:val="0"/>
        <w:ind w:firstLine="560" w:firstLineChars="200"/>
        <w:rPr>
          <w:rFonts w:ascii="黑体" w:hAnsi="黑体"/>
          <w:b w:val="0"/>
        </w:rPr>
      </w:pPr>
      <w:bookmarkStart w:id="220" w:name="_Toc23367"/>
      <w:bookmarkStart w:id="221" w:name="_Toc28022"/>
      <w:bookmarkStart w:id="222" w:name="_Toc15909"/>
      <w:bookmarkStart w:id="223" w:name="_Toc26800"/>
      <w:r>
        <w:rPr>
          <w:rFonts w:ascii="黑体" w:hAnsi="黑体"/>
          <w:b w:val="0"/>
        </w:rPr>
        <w:t>40.</w:t>
      </w:r>
      <w:r>
        <w:rPr>
          <w:rFonts w:hint="eastAsia" w:ascii="黑体" w:hAnsi="黑体"/>
          <w:b w:val="0"/>
        </w:rPr>
        <w:t>中标供应商公示</w:t>
      </w:r>
      <w:bookmarkEnd w:id="220"/>
      <w:bookmarkEnd w:id="221"/>
      <w:bookmarkEnd w:id="222"/>
      <w:bookmarkEnd w:id="223"/>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40.1评审结束后2个工作日内，采购机构在军队采购网（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采购机构将评审结果报采购单位；有异议的，投标供应商可以依据招标文件规定的方式提出质疑。</w:t>
      </w:r>
    </w:p>
    <w:p>
      <w:pPr>
        <w:adjustRightInd w:val="0"/>
        <w:snapToGrid w:val="0"/>
        <w:spacing w:line="560" w:lineRule="exact"/>
        <w:ind w:firstLine="560" w:firstLineChars="200"/>
      </w:pPr>
      <w:r>
        <w:rPr>
          <w:rFonts w:ascii="宋体" w:hAnsi="宋体"/>
          <w:bCs/>
          <w:sz w:val="28"/>
          <w:szCs w:val="28"/>
        </w:rPr>
        <w:t>40.2</w:t>
      </w:r>
      <w:r>
        <w:rPr>
          <w:rFonts w:hint="eastAsia" w:ascii="宋体" w:hAnsi="宋体"/>
          <w:bCs/>
          <w:sz w:val="28"/>
          <w:szCs w:val="28"/>
        </w:rPr>
        <w:t>中标供应商</w:t>
      </w:r>
      <w:r>
        <w:rPr>
          <w:rFonts w:ascii="宋体" w:hAnsi="宋体"/>
          <w:bCs/>
          <w:sz w:val="28"/>
          <w:szCs w:val="28"/>
        </w:rPr>
        <w:t>无正当理由放弃中标的，不予退还投标保证金，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40.3中标供应</w:t>
      </w:r>
      <w:r>
        <w:rPr>
          <w:rFonts w:hint="eastAsia" w:ascii="宋体" w:hAnsi="宋体"/>
          <w:bCs/>
          <w:sz w:val="28"/>
          <w:szCs w:val="28"/>
        </w:rPr>
        <w:t>商出现下列情况之一的，一经查实，将被取消中标资格：</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1</w:t>
      </w:r>
      <w:r>
        <w:rPr>
          <w:rFonts w:hint="eastAsia" w:cs="仿宋" w:asciiTheme="majorEastAsia" w:hAnsiTheme="majorEastAsia" w:eastAsiaTheme="majorEastAsia"/>
          <w:sz w:val="28"/>
          <w:szCs w:val="28"/>
        </w:rPr>
        <w:t>）属于招标文件规定的虚假投标的；</w:t>
      </w:r>
      <w:r>
        <w:rPr>
          <w:rFonts w:cs="仿宋" w:asciiTheme="majorEastAsia" w:hAnsiTheme="majorEastAsia" w:eastAsiaTheme="majorEastAsia"/>
          <w:sz w:val="28"/>
          <w:szCs w:val="28"/>
        </w:rPr>
        <w:t xml:space="preserve"> </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2</w:t>
      </w:r>
      <w:r>
        <w:rPr>
          <w:rFonts w:hint="eastAsia" w:cs="仿宋" w:asciiTheme="majorEastAsia" w:hAnsiTheme="majorEastAsia" w:eastAsiaTheme="majorEastAsia"/>
          <w:sz w:val="28"/>
          <w:szCs w:val="28"/>
        </w:rPr>
        <w:t>）向采购单位、采购机构、评审委员会成员行贿或进行其他不正当利益输送的；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3</w:t>
      </w:r>
      <w:r>
        <w:rPr>
          <w:rFonts w:hint="eastAsia" w:cs="仿宋" w:asciiTheme="majorEastAsia" w:hAnsiTheme="majorEastAsia" w:eastAsiaTheme="majorEastAsia"/>
          <w:sz w:val="28"/>
          <w:szCs w:val="28"/>
        </w:rPr>
        <w:t>）属于恶意低价竞争，投标明显低于合理成本且不能证明其报价合理的；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4</w:t>
      </w:r>
      <w:r>
        <w:rPr>
          <w:rFonts w:hint="eastAsia" w:cs="仿宋" w:asciiTheme="majorEastAsia" w:hAnsiTheme="majorEastAsia" w:eastAsiaTheme="majorEastAsia"/>
          <w:sz w:val="28"/>
          <w:szCs w:val="28"/>
        </w:rPr>
        <w:t>）属于招标文件规定的无效投标情形，但在评审过程中未被评审委员会发现的；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5</w:t>
      </w:r>
      <w:r>
        <w:rPr>
          <w:rFonts w:hint="eastAsia" w:cs="仿宋" w:asciiTheme="majorEastAsia" w:hAnsiTheme="majorEastAsia" w:eastAsiaTheme="majorEastAsia"/>
          <w:sz w:val="28"/>
          <w:szCs w:val="28"/>
        </w:rPr>
        <w:t>）属于招标文件规定的串通投标的；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6</w:t>
      </w:r>
      <w:r>
        <w:rPr>
          <w:rFonts w:hint="eastAsia" w:cs="仿宋" w:asciiTheme="majorEastAsia" w:hAnsiTheme="majorEastAsia" w:eastAsiaTheme="majorEastAsia"/>
          <w:sz w:val="28"/>
          <w:szCs w:val="28"/>
        </w:rPr>
        <w:t>）出现干扰或影响评审客观公正行为的；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7</w:t>
      </w:r>
      <w:r>
        <w:rPr>
          <w:rFonts w:hint="eastAsia" w:cs="仿宋" w:asciiTheme="majorEastAsia" w:hAnsiTheme="majorEastAsia" w:eastAsiaTheme="majorEastAsia"/>
          <w:sz w:val="28"/>
          <w:szCs w:val="28"/>
        </w:rPr>
        <w:t>）存在其他违法违规行为的；</w:t>
      </w:r>
    </w:p>
    <w:p>
      <w:pPr>
        <w:spacing w:line="560" w:lineRule="exact"/>
        <w:ind w:firstLine="560" w:firstLineChars="200"/>
        <w:rPr>
          <w:rFonts w:asciiTheme="majorEastAsia" w:hAnsiTheme="majorEastAsia" w:eastAsiaTheme="majorEastAsia"/>
          <w:highlight w:val="none"/>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8</w:t>
      </w:r>
      <w:r>
        <w:rPr>
          <w:rFonts w:hint="eastAsia" w:cs="仿宋" w:asciiTheme="majorEastAsia" w:hAnsiTheme="majorEastAsia" w:eastAsiaTheme="majorEastAsia"/>
          <w:sz w:val="28"/>
          <w:szCs w:val="28"/>
        </w:rPr>
        <w:t>）国</w:t>
      </w:r>
      <w:r>
        <w:rPr>
          <w:rFonts w:hint="eastAsia" w:cs="仿宋" w:asciiTheme="majorEastAsia" w:hAnsiTheme="majorEastAsia" w:eastAsiaTheme="majorEastAsia"/>
          <w:sz w:val="28"/>
          <w:szCs w:val="28"/>
          <w:highlight w:val="none"/>
        </w:rPr>
        <w:t>家和军队法律法规规定的其他情形。</w:t>
      </w:r>
    </w:p>
    <w:p>
      <w:pPr>
        <w:adjustRightInd w:val="0"/>
        <w:snapToGrid w:val="0"/>
        <w:spacing w:line="560" w:lineRule="exact"/>
        <w:ind w:firstLine="560" w:firstLineChars="200"/>
        <w:rPr>
          <w:rFonts w:ascii="宋体" w:hAnsi="宋体"/>
          <w:bCs/>
          <w:sz w:val="28"/>
          <w:szCs w:val="28"/>
          <w:highlight w:val="none"/>
        </w:rPr>
      </w:pPr>
      <w:r>
        <w:rPr>
          <w:rFonts w:hint="eastAsia" w:ascii="仿宋_GB2312" w:hAnsi="仿宋"/>
          <w:sz w:val="28"/>
          <w:szCs w:val="28"/>
          <w:highlight w:val="none"/>
        </w:rPr>
        <w:t>中标供应商在签订正式合同前，受到禁止参加军队采购活动处罚且本项目在处罚范围内的，取消中标资格。</w:t>
      </w:r>
      <w:r>
        <w:rPr>
          <w:rFonts w:ascii="仿宋_GB2312" w:hAnsi="仿宋"/>
          <w:sz w:val="28"/>
          <w:szCs w:val="28"/>
          <w:highlight w:val="none"/>
        </w:rPr>
        <w:t>中标供应商</w:t>
      </w:r>
      <w:r>
        <w:rPr>
          <w:rFonts w:hint="eastAsia" w:ascii="仿宋_GB2312" w:hAnsi="仿宋"/>
          <w:sz w:val="28"/>
          <w:szCs w:val="28"/>
          <w:highlight w:val="none"/>
        </w:rPr>
        <w:t>被取消或</w:t>
      </w:r>
      <w:r>
        <w:rPr>
          <w:rFonts w:ascii="仿宋_GB2312" w:hAnsi="仿宋"/>
          <w:sz w:val="28"/>
          <w:szCs w:val="28"/>
          <w:highlight w:val="none"/>
        </w:rPr>
        <w:t>放弃中标</w:t>
      </w:r>
      <w:r>
        <w:rPr>
          <w:rFonts w:hint="eastAsia" w:ascii="仿宋_GB2312" w:hAnsi="仿宋"/>
          <w:sz w:val="28"/>
          <w:szCs w:val="28"/>
          <w:highlight w:val="none"/>
        </w:rPr>
        <w:t>资格的，采购单位</w:t>
      </w:r>
      <w:r>
        <w:rPr>
          <w:rFonts w:ascii="仿宋_GB2312" w:hAnsi="仿宋"/>
          <w:sz w:val="28"/>
          <w:szCs w:val="28"/>
          <w:highlight w:val="none"/>
        </w:rPr>
        <w:t>可以按照评审排名结果依</w:t>
      </w:r>
      <w:r>
        <w:rPr>
          <w:rFonts w:ascii="仿宋_GB2312" w:hAnsi="仿宋"/>
          <w:sz w:val="28"/>
          <w:szCs w:val="28"/>
        </w:rPr>
        <w:t>次</w:t>
      </w:r>
      <w:r>
        <w:rPr>
          <w:rFonts w:hint="eastAsia" w:ascii="仿宋_GB2312" w:hAnsi="仿宋"/>
          <w:sz w:val="28"/>
          <w:szCs w:val="28"/>
        </w:rPr>
        <w:t>递补</w:t>
      </w:r>
      <w:r>
        <w:rPr>
          <w:rFonts w:ascii="仿宋_GB2312" w:hAnsi="仿宋"/>
          <w:sz w:val="28"/>
          <w:szCs w:val="28"/>
        </w:rPr>
        <w:t>确定中标供应商，</w:t>
      </w:r>
      <w:r>
        <w:rPr>
          <w:rFonts w:hint="eastAsia" w:ascii="仿宋_GB2312" w:hAnsi="仿宋"/>
          <w:sz w:val="28"/>
          <w:szCs w:val="28"/>
        </w:rPr>
        <w:t>但剩余有效投标</w:t>
      </w:r>
      <w:r>
        <w:rPr>
          <w:rFonts w:hint="eastAsia" w:ascii="仿宋_GB2312" w:hAnsi="仿宋"/>
          <w:sz w:val="28"/>
          <w:szCs w:val="28"/>
          <w:highlight w:val="none"/>
        </w:rPr>
        <w:t>供应商数量应当达到需要递补投标供应商数量的</w:t>
      </w:r>
      <w:r>
        <w:rPr>
          <w:rFonts w:ascii="仿宋_GB2312" w:hAnsi="仿宋"/>
          <w:sz w:val="28"/>
          <w:szCs w:val="28"/>
          <w:highlight w:val="none"/>
        </w:rPr>
        <w:t>2</w:t>
      </w:r>
      <w:r>
        <w:rPr>
          <w:rFonts w:hint="eastAsia" w:ascii="仿宋_GB2312" w:hAnsi="仿宋"/>
          <w:sz w:val="28"/>
          <w:szCs w:val="28"/>
          <w:highlight w:val="none"/>
        </w:rPr>
        <w:t>倍，否则由采购机构</w:t>
      </w:r>
      <w:r>
        <w:rPr>
          <w:rFonts w:ascii="仿宋_GB2312" w:hAnsi="仿宋"/>
          <w:sz w:val="28"/>
          <w:szCs w:val="28"/>
          <w:highlight w:val="none"/>
        </w:rPr>
        <w:t>重新</w:t>
      </w:r>
      <w:r>
        <w:rPr>
          <w:rFonts w:hint="eastAsia" w:ascii="仿宋_GB2312" w:hAnsi="仿宋"/>
          <w:sz w:val="28"/>
          <w:szCs w:val="28"/>
          <w:highlight w:val="none"/>
        </w:rPr>
        <w:t>组织采购</w:t>
      </w:r>
      <w:r>
        <w:rPr>
          <w:rFonts w:ascii="仿宋_GB2312" w:hAnsi="仿宋"/>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224" w:name="_Toc8401"/>
      <w:bookmarkStart w:id="225" w:name="_Toc20846"/>
      <w:bookmarkStart w:id="226" w:name="_Toc8490"/>
      <w:bookmarkStart w:id="227" w:name="_Toc26261"/>
      <w:r>
        <w:rPr>
          <w:rFonts w:ascii="黑体" w:hAnsi="黑体"/>
          <w:b w:val="0"/>
          <w:highlight w:val="none"/>
        </w:rPr>
        <w:t>41.</w:t>
      </w:r>
      <w:r>
        <w:rPr>
          <w:rFonts w:hint="eastAsia" w:ascii="黑体" w:hAnsi="黑体"/>
          <w:b w:val="0"/>
          <w:highlight w:val="none"/>
        </w:rPr>
        <w:t>中标通知</w:t>
      </w:r>
      <w:bookmarkEnd w:id="224"/>
      <w:bookmarkEnd w:id="225"/>
      <w:bookmarkEnd w:id="226"/>
      <w:bookmarkEnd w:id="227"/>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评审结果公示无异议、招标人完成价格复核并确定中标人后2个工作日内，采购机构以书面形式向中标供应商发出《中标通知书》，同时向未中标供应商发出《未中标通知书》。</w:t>
      </w:r>
    </w:p>
    <w:p>
      <w:pPr>
        <w:pStyle w:val="5"/>
        <w:keepNext w:val="0"/>
        <w:keepLines w:val="0"/>
        <w:adjustRightInd w:val="0"/>
        <w:snapToGrid w:val="0"/>
        <w:spacing w:before="120" w:beforeLines="50" w:after="120" w:afterLines="50" w:line="560" w:lineRule="exact"/>
        <w:jc w:val="center"/>
        <w:rPr>
          <w:b w:val="0"/>
          <w:highlight w:val="none"/>
        </w:rPr>
      </w:pPr>
      <w:bookmarkStart w:id="228" w:name="_Toc3139"/>
      <w:bookmarkStart w:id="229" w:name="_Toc24174"/>
      <w:bookmarkStart w:id="230" w:name="_Toc1401"/>
      <w:bookmarkStart w:id="231" w:name="_Toc20086"/>
      <w:bookmarkStart w:id="232" w:name="_Toc7207"/>
      <w:bookmarkStart w:id="233" w:name="_Toc17482"/>
      <w:bookmarkStart w:id="234" w:name="_Toc112317774"/>
      <w:bookmarkStart w:id="235" w:name="_Toc26039"/>
      <w:r>
        <w:rPr>
          <w:rFonts w:hint="eastAsia"/>
          <w:b w:val="0"/>
          <w:highlight w:val="none"/>
        </w:rPr>
        <w:t>七、</w:t>
      </w:r>
      <w:r>
        <w:rPr>
          <w:b w:val="0"/>
          <w:highlight w:val="none"/>
        </w:rPr>
        <w:t>质疑</w:t>
      </w:r>
      <w:r>
        <w:rPr>
          <w:rFonts w:hint="eastAsia"/>
          <w:b w:val="0"/>
          <w:highlight w:val="none"/>
        </w:rPr>
        <w:t>、投诉和投诉复议</w:t>
      </w:r>
      <w:bookmarkEnd w:id="228"/>
      <w:bookmarkEnd w:id="229"/>
      <w:bookmarkEnd w:id="230"/>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42.</w:t>
      </w:r>
      <w:r>
        <w:rPr>
          <w:rFonts w:hint="eastAsia" w:ascii="黑体" w:hAnsi="黑体"/>
          <w:b w:val="0"/>
          <w:highlight w:val="none"/>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42.1供应商认为</w:t>
      </w:r>
      <w:r>
        <w:rPr>
          <w:rFonts w:hint="eastAsia" w:ascii="宋体" w:hAnsi="宋体"/>
          <w:bCs/>
          <w:sz w:val="28"/>
          <w:szCs w:val="28"/>
          <w:highlight w:val="none"/>
        </w:rPr>
        <w:t>招标文件、招标过程、中标结果使自己权益受到损害的，以书面形式向采购机构提出质疑。供应商应当在规定质疑期内一次性提出针</w:t>
      </w:r>
      <w:r>
        <w:rPr>
          <w:rFonts w:hint="eastAsia" w:ascii="宋体" w:hAnsi="宋体"/>
          <w:bCs/>
          <w:sz w:val="28"/>
          <w:szCs w:val="28"/>
        </w:rPr>
        <w:t>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领取资格预审</w:t>
      </w:r>
      <w:r>
        <w:rPr>
          <w:rFonts w:ascii="宋体" w:hAnsi="宋体"/>
          <w:bCs/>
          <w:sz w:val="28"/>
          <w:szCs w:val="28"/>
        </w:rPr>
        <w:t>文件</w:t>
      </w:r>
      <w:r>
        <w:rPr>
          <w:rFonts w:hint="eastAsia" w:ascii="宋体" w:hAnsi="宋体"/>
          <w:bCs/>
          <w:sz w:val="28"/>
          <w:szCs w:val="28"/>
        </w:rPr>
        <w:t>的供应商，对资格预审文件的质疑应当在提交资格预审申请文件截止时间</w:t>
      </w:r>
      <w:r>
        <w:rPr>
          <w:rFonts w:ascii="宋体" w:hAnsi="宋体"/>
          <w:bCs/>
          <w:sz w:val="28"/>
          <w:szCs w:val="28"/>
        </w:rPr>
        <w:t>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z w:val="28"/>
          <w:szCs w:val="28"/>
        </w:rPr>
        <w:t>对招标文件的质疑应当在</w:t>
      </w:r>
      <w:r>
        <w:rPr>
          <w:rFonts w:hint="eastAsia" w:ascii="宋体" w:hAnsi="宋体"/>
          <w:bCs/>
          <w:sz w:val="28"/>
          <w:szCs w:val="28"/>
        </w:rPr>
        <w:t>投标截止时间</w:t>
      </w:r>
      <w:r>
        <w:rPr>
          <w:rFonts w:ascii="宋体" w:hAnsi="宋体"/>
          <w:bCs/>
          <w:sz w:val="28"/>
          <w:szCs w:val="28"/>
        </w:rPr>
        <w:t>10日前提出。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投标供应商</w:t>
      </w:r>
      <w:r>
        <w:rPr>
          <w:rFonts w:ascii="宋体" w:hAnsi="宋体"/>
          <w:bCs/>
          <w:sz w:val="28"/>
          <w:szCs w:val="28"/>
        </w:rPr>
        <w:t>对招标过程提出质疑的，应当在各采购程序环节结束之日起3日内提出，但对开标的质疑应当在当场提出，质疑受理单位应当当场</w:t>
      </w:r>
      <w:r>
        <w:rPr>
          <w:rFonts w:hint="eastAsia" w:ascii="宋体" w:hAnsi="宋体"/>
          <w:bCs/>
          <w:sz w:val="28"/>
          <w:szCs w:val="28"/>
        </w:rPr>
        <w:t>作出答复，并如实记录。</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投标供应商</w:t>
      </w:r>
      <w:r>
        <w:rPr>
          <w:rFonts w:ascii="宋体" w:hAnsi="宋体"/>
          <w:bCs/>
          <w:sz w:val="28"/>
          <w:szCs w:val="28"/>
        </w:rPr>
        <w:t>对中标结果提出质疑的，应当在中标结果公示期内提出。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投标</w:t>
      </w:r>
      <w:r>
        <w:rPr>
          <w:rFonts w:ascii="宋体" w:hAnsi="宋体"/>
          <w:bCs/>
          <w:sz w:val="28"/>
          <w:szCs w:val="28"/>
        </w:rPr>
        <w:t>供应商应当按照</w:t>
      </w:r>
      <w:r>
        <w:rPr>
          <w:rFonts w:hint="eastAsia" w:ascii="宋体" w:hAnsi="宋体"/>
          <w:bCs/>
          <w:sz w:val="28"/>
          <w:szCs w:val="28"/>
        </w:rPr>
        <w:t>招标文件规定</w:t>
      </w:r>
      <w:r>
        <w:rPr>
          <w:rFonts w:ascii="宋体" w:hAnsi="宋体"/>
          <w:bCs/>
          <w:sz w:val="28"/>
          <w:szCs w:val="28"/>
        </w:rPr>
        <w:t>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）投标供应商名称、通讯地址、联系人及联系电话；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42.3质疑</w:t>
      </w:r>
      <w:r>
        <w:rPr>
          <w:rFonts w:hint="eastAsia" w:ascii="宋体" w:hAnsi="宋体"/>
          <w:bCs/>
          <w:sz w:val="28"/>
          <w:szCs w:val="28"/>
        </w:rPr>
        <w:t>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42.4质疑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43.</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43.1质疑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43.2</w:t>
      </w:r>
      <w:r>
        <w:rPr>
          <w:rFonts w:hint="eastAsia" w:ascii="仿宋_GB2312" w:hAnsi="宋体" w:cs="宋体"/>
          <w:bCs/>
          <w:sz w:val="28"/>
          <w:szCs w:val="36"/>
        </w:rPr>
        <w:t>投诉人投诉时</w:t>
      </w:r>
      <w:r>
        <w:rPr>
          <w:rFonts w:hint="eastAsia" w:ascii="宋体" w:hAnsi="宋体"/>
          <w:bCs/>
          <w:sz w:val="28"/>
          <w:szCs w:val="28"/>
        </w:rPr>
        <w:t>，</w:t>
      </w:r>
      <w:r>
        <w:rPr>
          <w:rFonts w:hint="eastAsia"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2）</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w:t>
      </w:r>
      <w:r>
        <w:rPr>
          <w:rFonts w:hAnsi="宋体" w:cs="宋体"/>
          <w:bCs/>
          <w:sz w:val="28"/>
          <w:szCs w:val="36"/>
        </w:rPr>
        <w:t>3）</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4）</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5）</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6）</w:t>
      </w:r>
      <w:r>
        <w:rPr>
          <w:rFonts w:hint="eastAsia" w:hAnsi="宋体" w:cs="宋体"/>
          <w:bCs/>
          <w:sz w:val="28"/>
          <w:szCs w:val="36"/>
        </w:rPr>
        <w:t>提起投诉的日期。</w:t>
      </w:r>
    </w:p>
    <w:p>
      <w:pPr>
        <w:pStyle w:val="22"/>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43.3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43.4受理、处理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44.</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1）</w:t>
      </w:r>
      <w:r>
        <w:rPr>
          <w:rFonts w:hint="eastAsia" w:hAnsi="宋体"/>
          <w:bCs/>
          <w:kern w:val="0"/>
          <w:sz w:val="28"/>
          <w:szCs w:val="36"/>
        </w:rPr>
        <w:t>申请人和被申请人名称、通讯地址、联系人、联系电话；</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2）</w:t>
      </w:r>
      <w:r>
        <w:rPr>
          <w:rFonts w:hint="eastAsia" w:hAnsi="宋体"/>
          <w:bCs/>
          <w:kern w:val="0"/>
          <w:sz w:val="28"/>
          <w:szCs w:val="36"/>
        </w:rPr>
        <w:t>投诉和投诉处理决定情况说明及相关证明材料；</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3）</w:t>
      </w:r>
      <w:r>
        <w:rPr>
          <w:rFonts w:hint="eastAsia" w:hAnsi="宋体"/>
          <w:bCs/>
          <w:kern w:val="0"/>
          <w:sz w:val="28"/>
          <w:szCs w:val="36"/>
        </w:rPr>
        <w:t>具体、明确的复议事项和与复议事项相关的请求；</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4）</w:t>
      </w:r>
      <w:r>
        <w:rPr>
          <w:rFonts w:hint="eastAsia" w:hAnsi="宋体"/>
          <w:bCs/>
          <w:kern w:val="0"/>
          <w:sz w:val="28"/>
          <w:szCs w:val="36"/>
        </w:rPr>
        <w:t>事实依据；</w:t>
      </w:r>
    </w:p>
    <w:p>
      <w:pPr>
        <w:pStyle w:val="22"/>
        <w:adjustRightInd w:val="0"/>
        <w:snapToGrid w:val="0"/>
        <w:spacing w:line="560" w:lineRule="exact"/>
        <w:ind w:firstLine="560" w:firstLineChars="200"/>
        <w:rPr>
          <w:rFonts w:hAnsi="宋体"/>
          <w:bCs/>
          <w:kern w:val="0"/>
          <w:sz w:val="28"/>
          <w:szCs w:val="36"/>
        </w:rPr>
      </w:pPr>
      <w:r>
        <w:rPr>
          <w:rFonts w:hint="eastAsia" w:hAnsi="宋体"/>
          <w:bCs/>
          <w:kern w:val="0"/>
          <w:sz w:val="28"/>
          <w:szCs w:val="36"/>
        </w:rPr>
        <w:t>（5）法律依据；</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6）</w:t>
      </w:r>
      <w:r>
        <w:rPr>
          <w:rFonts w:hint="eastAsia" w:hAnsi="宋体"/>
          <w:bCs/>
          <w:kern w:val="0"/>
          <w:sz w:val="28"/>
          <w:szCs w:val="36"/>
        </w:rPr>
        <w:t>申请</w:t>
      </w:r>
      <w:r>
        <w:rPr>
          <w:rFonts w:hint="eastAsia" w:hAnsi="宋体" w:cs="宋体"/>
          <w:bCs/>
          <w:sz w:val="28"/>
          <w:szCs w:val="36"/>
        </w:rPr>
        <w:t>投诉</w:t>
      </w:r>
      <w:r>
        <w:rPr>
          <w:rFonts w:hint="eastAsia" w:hAnsi="宋体"/>
          <w:bCs/>
          <w:kern w:val="0"/>
          <w:sz w:val="28"/>
          <w:szCs w:val="36"/>
        </w:rPr>
        <w:t>复议的日期。</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44.3</w:t>
      </w:r>
      <w:r>
        <w:rPr>
          <w:rFonts w:hint="eastAsia" w:ascii="仿宋_GB2312" w:hAnsi="宋体" w:cs="宋体"/>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44.4</w:t>
      </w:r>
      <w:r>
        <w:rPr>
          <w:rFonts w:hint="eastAsia" w:ascii="仿宋_GB2312" w:hAnsi="宋体" w:cs="宋体"/>
          <w:bCs/>
          <w:sz w:val="28"/>
          <w:szCs w:val="36"/>
        </w:rPr>
        <w:t>受理、处理投诉复议申请部门及</w:t>
      </w:r>
      <w:r>
        <w:rPr>
          <w:rFonts w:hint="eastAsia" w:ascii="宋体" w:hAnsi="宋体"/>
          <w:bCs/>
          <w:sz w:val="28"/>
          <w:szCs w:val="28"/>
        </w:rPr>
        <w:t>联系方式见</w:t>
      </w:r>
      <w:r>
        <w:rPr>
          <w:rFonts w:hint="eastAsia" w:ascii="宋体" w:hAnsi="宋体"/>
          <w:bCs/>
          <w:sz w:val="28"/>
          <w:szCs w:val="28"/>
          <w:lang w:val="zh-CN"/>
        </w:rPr>
        <w:t>【投标供应商须知前附表】</w:t>
      </w:r>
      <w:r>
        <w:rPr>
          <w:rFonts w:hint="eastAsia" w:ascii="仿宋_GB2312" w:hAnsi="宋体" w:cs="宋体"/>
          <w:bCs/>
          <w:sz w:val="28"/>
          <w:szCs w:val="36"/>
        </w:rPr>
        <w:t>。</w:t>
      </w:r>
    </w:p>
    <w:p>
      <w:pPr>
        <w:pStyle w:val="5"/>
        <w:keepNext w:val="0"/>
        <w:keepLines w:val="0"/>
        <w:adjustRightInd w:val="0"/>
        <w:snapToGrid w:val="0"/>
        <w:spacing w:before="120" w:beforeLines="50" w:after="120" w:afterLines="50" w:line="560" w:lineRule="exact"/>
        <w:jc w:val="center"/>
        <w:rPr>
          <w:b w:val="0"/>
        </w:rPr>
      </w:pPr>
      <w:bookmarkStart w:id="236" w:name="_Toc16352"/>
      <w:bookmarkStart w:id="237" w:name="_Toc24816"/>
      <w:bookmarkStart w:id="238" w:name="_Toc23987"/>
      <w:r>
        <w:rPr>
          <w:rFonts w:hint="eastAsia"/>
          <w:b w:val="0"/>
        </w:rPr>
        <w:t>八、签订合同</w:t>
      </w:r>
      <w:bookmarkEnd w:id="231"/>
      <w:bookmarkEnd w:id="232"/>
      <w:bookmarkEnd w:id="233"/>
      <w:bookmarkEnd w:id="234"/>
      <w:bookmarkEnd w:id="235"/>
      <w:bookmarkEnd w:id="236"/>
      <w:bookmarkEnd w:id="237"/>
      <w:bookmarkEnd w:id="238"/>
    </w:p>
    <w:p>
      <w:pPr>
        <w:pStyle w:val="6"/>
        <w:keepNext w:val="0"/>
        <w:keepLines w:val="0"/>
        <w:adjustRightInd w:val="0"/>
        <w:snapToGrid w:val="0"/>
        <w:ind w:firstLine="560" w:firstLineChars="200"/>
        <w:rPr>
          <w:rFonts w:ascii="黑体" w:hAnsi="黑体"/>
          <w:b w:val="0"/>
        </w:rPr>
      </w:pPr>
      <w:bookmarkStart w:id="239" w:name="_Toc19884"/>
      <w:bookmarkStart w:id="240" w:name="_Toc24078"/>
      <w:bookmarkStart w:id="241" w:name="_Toc29124"/>
      <w:bookmarkStart w:id="242" w:name="_Toc96"/>
      <w:r>
        <w:rPr>
          <w:rFonts w:ascii="黑体" w:hAnsi="黑体"/>
          <w:b w:val="0"/>
        </w:rPr>
        <w:t>45.</w:t>
      </w:r>
      <w:r>
        <w:rPr>
          <w:rFonts w:hint="eastAsia" w:ascii="黑体" w:hAnsi="黑体"/>
          <w:b w:val="0"/>
        </w:rPr>
        <w:t>签订合同</w:t>
      </w:r>
      <w:bookmarkEnd w:id="239"/>
      <w:bookmarkEnd w:id="240"/>
      <w:bookmarkEnd w:id="241"/>
      <w:bookmarkEnd w:id="24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45.1中标供应商在采购机构发出《中标通知书》之日起30日内，</w:t>
      </w:r>
      <w:r>
        <w:rPr>
          <w:rFonts w:hint="eastAsia" w:ascii="宋体" w:hAnsi="宋体"/>
          <w:bCs/>
          <w:sz w:val="28"/>
          <w:szCs w:val="28"/>
        </w:rPr>
        <w:t>依据招标文件、中标供应商投标文件和澄清承诺，与采购单位签订采购合同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45.2采购合同不得对招标文件和中标供应商投标文件作实质性修改</w:t>
      </w:r>
      <w:r>
        <w:rPr>
          <w:rFonts w:hint="eastAsia" w:ascii="宋体" w:hAnsi="宋体"/>
          <w:bCs/>
          <w:sz w:val="28"/>
          <w:szCs w:val="28"/>
        </w:rPr>
        <w:t>，采购单位不得向中标供应商提出任何不合理要求，作为签订合同的条件。</w:t>
      </w:r>
      <w:r>
        <w:rPr>
          <w:rFonts w:ascii="宋体" w:hAnsi="宋体"/>
          <w:bCs/>
          <w:sz w:val="28"/>
          <w:szCs w:val="28"/>
        </w:rPr>
        <w:t>招标文件、中标供应商投标文件、补充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45.3签订合同后，中标供应商不得将中标项目</w:t>
      </w:r>
      <w:r>
        <w:rPr>
          <w:rFonts w:hint="eastAsia" w:ascii="宋体" w:hAnsi="宋体"/>
          <w:bCs/>
          <w:sz w:val="28"/>
          <w:szCs w:val="28"/>
        </w:rPr>
        <w:t>整体转包或将项目拆分后分别向他人转包，不得违反招标文件、投标文件和合同约定，擅自将合同分包，一经查实将按有关规定进行严肃处理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t xml:space="preserve"> </w:t>
      </w:r>
      <w:r>
        <w:rPr>
          <w:rFonts w:hint="eastAsia" w:ascii="宋体" w:hAnsi="宋体"/>
          <w:bCs/>
          <w:sz w:val="28"/>
          <w:szCs w:val="28"/>
        </w:rPr>
        <w:t>未经甲方允许，乙方不得在合同未生效前履行合同相关义务。</w:t>
      </w:r>
    </w:p>
    <w:p>
      <w:pPr>
        <w:pStyle w:val="5"/>
        <w:keepNext w:val="0"/>
        <w:keepLines w:val="0"/>
        <w:adjustRightInd w:val="0"/>
        <w:snapToGrid w:val="0"/>
        <w:spacing w:before="120" w:beforeLines="50" w:after="120" w:afterLines="50" w:line="560" w:lineRule="exact"/>
        <w:jc w:val="center"/>
        <w:rPr>
          <w:b w:val="0"/>
        </w:rPr>
      </w:pPr>
      <w:bookmarkStart w:id="243" w:name="_Toc28366"/>
      <w:bookmarkStart w:id="244" w:name="_Toc24504"/>
      <w:bookmarkStart w:id="245" w:name="_Toc19987"/>
      <w:bookmarkStart w:id="246" w:name="_Toc112317776"/>
      <w:bookmarkStart w:id="247" w:name="_Toc4696"/>
      <w:bookmarkStart w:id="248" w:name="_Toc5523"/>
      <w:bookmarkStart w:id="249" w:name="_Toc24627"/>
      <w:bookmarkStart w:id="250" w:name="_Toc13094"/>
      <w:r>
        <w:rPr>
          <w:rFonts w:hint="eastAsia"/>
          <w:b w:val="0"/>
        </w:rPr>
        <w:t>九、解释权限</w:t>
      </w:r>
      <w:bookmarkEnd w:id="243"/>
      <w:bookmarkEnd w:id="244"/>
      <w:bookmarkEnd w:id="245"/>
      <w:bookmarkEnd w:id="246"/>
      <w:bookmarkEnd w:id="247"/>
      <w:bookmarkEnd w:id="248"/>
      <w:bookmarkEnd w:id="249"/>
      <w:bookmarkEnd w:id="250"/>
    </w:p>
    <w:p>
      <w:pPr>
        <w:pStyle w:val="6"/>
        <w:keepNext w:val="0"/>
        <w:keepLines w:val="0"/>
        <w:adjustRightInd w:val="0"/>
        <w:snapToGrid w:val="0"/>
        <w:ind w:firstLine="560" w:firstLineChars="200"/>
        <w:outlineLvl w:val="3"/>
        <w:rPr>
          <w:rFonts w:ascii="黑体" w:hAnsi="黑体"/>
          <w:b w:val="0"/>
        </w:rPr>
      </w:pPr>
      <w:bookmarkStart w:id="251" w:name="_Toc18827"/>
      <w:bookmarkStart w:id="252" w:name="_Toc31881"/>
      <w:bookmarkStart w:id="253" w:name="_Toc8428"/>
      <w:bookmarkStart w:id="254" w:name="_Toc10805"/>
      <w:r>
        <w:rPr>
          <w:rFonts w:ascii="黑体" w:hAnsi="黑体"/>
          <w:b w:val="0"/>
        </w:rPr>
        <w:t>46.</w:t>
      </w:r>
      <w:r>
        <w:rPr>
          <w:rFonts w:hint="eastAsia" w:ascii="黑体" w:hAnsi="黑体"/>
          <w:b w:val="0"/>
        </w:rPr>
        <w:t>解释权限</w:t>
      </w:r>
      <w:bookmarkEnd w:id="251"/>
      <w:bookmarkEnd w:id="252"/>
      <w:bookmarkEnd w:id="253"/>
      <w:bookmarkEnd w:id="254"/>
    </w:p>
    <w:p>
      <w:pPr>
        <w:adjustRightInd w:val="0"/>
        <w:snapToGrid w:val="0"/>
        <w:spacing w:line="560" w:lineRule="exact"/>
        <w:ind w:firstLine="560" w:firstLineChars="200"/>
        <w:rPr>
          <w:rFonts w:ascii="黑体" w:hAnsi="黑体" w:eastAsia="黑体" w:cs="黑体"/>
          <w:bCs/>
          <w:sz w:val="28"/>
          <w:szCs w:val="28"/>
        </w:rPr>
      </w:pPr>
      <w:r>
        <w:rPr>
          <w:rFonts w:ascii="宋体" w:hAnsi="宋体"/>
          <w:bCs/>
          <w:sz w:val="28"/>
          <w:szCs w:val="28"/>
        </w:rPr>
        <w:t>46.1</w:t>
      </w:r>
      <w:r>
        <w:rPr>
          <w:rFonts w:hint="eastAsia"/>
          <w:bCs/>
          <w:sz w:val="28"/>
          <w:szCs w:val="28"/>
        </w:rPr>
        <w:t>本招标文件由采购机构负责解释。</w:t>
      </w:r>
    </w:p>
    <w:p>
      <w:pPr>
        <w:pStyle w:val="6"/>
        <w:spacing w:before="120" w:beforeLines="50" w:after="120" w:afterLines="50" w:line="560" w:lineRule="exact"/>
        <w:rPr>
          <w:rFonts w:ascii="黑体" w:hAnsi="黑体" w:cs="黑体"/>
          <w:b w:val="0"/>
          <w:sz w:val="28"/>
          <w:szCs w:val="28"/>
        </w:rPr>
        <w:sectPr>
          <w:headerReference r:id="rId5" w:type="default"/>
          <w:footerReference r:id="rId6" w:type="default"/>
          <w:pgSz w:w="11906" w:h="16838"/>
          <w:pgMar w:top="1418" w:right="1134" w:bottom="1418" w:left="1418" w:header="850" w:footer="851" w:gutter="0"/>
          <w:pgNumType w:fmt="numberInDash" w:start="1"/>
          <w:cols w:space="720" w:num="1"/>
        </w:sectPr>
      </w:pPr>
      <w:bookmarkStart w:id="255" w:name="_Toc11888"/>
      <w:bookmarkStart w:id="256" w:name="_Toc21065"/>
      <w:bookmarkStart w:id="257" w:name="_Toc19792"/>
      <w:bookmarkStart w:id="258" w:name="_Toc7344"/>
    </w:p>
    <w:p>
      <w:pPr>
        <w:spacing w:before="120" w:beforeLines="50" w:after="120" w:afterLines="50" w:line="560" w:lineRule="exact"/>
        <w:outlineLvl w:val="9"/>
        <w:rPr>
          <w:rFonts w:ascii="黑体" w:hAnsi="黑体" w:cs="黑体"/>
          <w:b w:val="0"/>
          <w:sz w:val="28"/>
          <w:szCs w:val="28"/>
        </w:rPr>
      </w:pPr>
      <w:bookmarkStart w:id="259" w:name="_Toc17509"/>
      <w:r>
        <w:rPr>
          <w:rFonts w:hint="eastAsia" w:ascii="黑体" w:hAnsi="黑体" w:cs="黑体"/>
          <w:b w:val="0"/>
          <w:sz w:val="28"/>
          <w:szCs w:val="28"/>
        </w:rPr>
        <w:t>附页1 招标文件更正确认函</w:t>
      </w:r>
      <w:bookmarkEnd w:id="255"/>
      <w:bookmarkEnd w:id="256"/>
      <w:bookmarkEnd w:id="257"/>
      <w:bookmarkEnd w:id="258"/>
      <w:bookmarkEnd w:id="259"/>
    </w:p>
    <w:p>
      <w:pPr>
        <w:spacing w:before="120" w:beforeLines="50" w:after="120" w:afterLines="50" w:line="560" w:lineRule="exact"/>
        <w:ind w:firstLine="720" w:firstLineChars="200"/>
        <w:jc w:val="center"/>
        <w:rPr>
          <w:rFonts w:ascii="宋体" w:hAnsi="宋体" w:cs="宋体"/>
          <w:bCs/>
          <w:sz w:val="28"/>
          <w:szCs w:val="28"/>
        </w:rPr>
      </w:pPr>
      <w:r>
        <w:rPr>
          <w:rFonts w:hint="eastAsia" w:ascii="黑体" w:hAnsi="黑体" w:eastAsia="黑体" w:cs="黑体"/>
          <w:bCs/>
          <w:sz w:val="36"/>
          <w:szCs w:val="36"/>
        </w:rPr>
        <w:t>招标文件更正确认函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）的招标文件更正信息已收悉。</w:t>
      </w: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6160" w:firstLineChars="22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仿宋_GB2312" w:cs="宋体"/>
          <w:bCs/>
          <w:szCs w:val="32"/>
        </w:rPr>
      </w:pPr>
    </w:p>
    <w:p>
      <w:pPr>
        <w:spacing w:before="120" w:beforeLines="50" w:after="120" w:afterLines="50" w:line="560" w:lineRule="exact"/>
        <w:outlineLvl w:val="9"/>
        <w:rPr>
          <w:rFonts w:cs="宋体" w:asciiTheme="minorEastAsia" w:hAnsiTheme="minorEastAsia" w:eastAsiaTheme="minorEastAsia"/>
          <w:b w:val="0"/>
          <w:sz w:val="28"/>
          <w:szCs w:val="28"/>
        </w:rPr>
      </w:pPr>
      <w:r>
        <w:rPr>
          <w:b w:val="0"/>
        </w:rPr>
        <w:br w:type="page"/>
      </w:r>
      <w:bookmarkStart w:id="260" w:name="_Toc3566"/>
      <w:bookmarkStart w:id="261" w:name="_Toc20737"/>
      <w:bookmarkStart w:id="262" w:name="_Toc11525"/>
      <w:bookmarkStart w:id="263" w:name="_Toc21635"/>
      <w:bookmarkStart w:id="264" w:name="_Toc9904"/>
      <w:r>
        <w:rPr>
          <w:rFonts w:hint="eastAsia" w:ascii="黑体" w:hAnsi="黑体" w:cs="黑体"/>
          <w:b w:val="0"/>
          <w:sz w:val="28"/>
          <w:szCs w:val="28"/>
        </w:rPr>
        <w:t>附页2 质疑函（格式）</w:t>
      </w:r>
      <w:bookmarkEnd w:id="260"/>
      <w:bookmarkEnd w:id="261"/>
      <w:bookmarkEnd w:id="262"/>
      <w:bookmarkEnd w:id="263"/>
      <w:bookmarkEnd w:id="26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kern w:val="0"/>
          <w:sz w:val="28"/>
          <w:szCs w:val="28"/>
        </w:rPr>
      </w:pPr>
      <w:bookmarkStart w:id="265" w:name="_Toc28425"/>
      <w:bookmarkStart w:id="266" w:name="_Toc30926"/>
      <w:bookmarkStart w:id="267" w:name="_Toc6068"/>
      <w:bookmarkStart w:id="268" w:name="_Toc15296"/>
      <w:r>
        <w:rPr>
          <w:rFonts w:hint="eastAsia"/>
          <w:kern w:val="0"/>
          <w:sz w:val="28"/>
          <w:szCs w:val="28"/>
        </w:rPr>
        <w:t>质疑供应商名称：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r>
        <w:rPr>
          <w:kern w:val="0"/>
          <w:sz w:val="28"/>
          <w:szCs w:val="28"/>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4592" w:firstLineChars="1640"/>
        <w:rPr>
          <w:rFonts w:ascii="宋体" w:hAnsi="宋体"/>
          <w:kern w:val="0"/>
          <w:sz w:val="28"/>
          <w:szCs w:val="28"/>
        </w:rPr>
      </w:pPr>
      <w:r>
        <w:rPr>
          <w:rFonts w:hint="eastAsia" w:ascii="宋体" w:hAnsi="宋体"/>
          <w:kern w:val="0"/>
          <w:sz w:val="28"/>
          <w:szCs w:val="28"/>
        </w:rPr>
        <w:t>质疑供应商名称：（盖章）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spacing w:line="560" w:lineRule="exact"/>
        <w:ind w:firstLine="560" w:firstLineChars="200"/>
        <w:jc w:val="right"/>
        <w:rPr>
          <w:rFonts w:ascii="宋体" w:hAnsi="宋体"/>
          <w:kern w:val="0"/>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kern w:val="0"/>
          <w:sz w:val="28"/>
          <w:szCs w:val="28"/>
        </w:rPr>
        <w:t>年</w:t>
      </w:r>
      <w:r>
        <w:rPr>
          <w:rFonts w:ascii="宋体" w:hAnsi="宋体"/>
          <w:sz w:val="28"/>
          <w:szCs w:val="28"/>
          <w:u w:val="single"/>
        </w:rPr>
        <w:t xml:space="preserve">    </w:t>
      </w:r>
      <w:r>
        <w:rPr>
          <w:rFonts w:hint="eastAsia" w:ascii="宋体" w:hAnsi="宋体"/>
          <w:kern w:val="0"/>
          <w:sz w:val="28"/>
          <w:szCs w:val="28"/>
        </w:rPr>
        <w:t>月</w:t>
      </w:r>
      <w:r>
        <w:rPr>
          <w:rFonts w:ascii="宋体" w:hAnsi="宋体"/>
          <w:sz w:val="28"/>
          <w:szCs w:val="28"/>
          <w:u w:val="single"/>
        </w:rPr>
        <w:t xml:space="preserve">    </w:t>
      </w:r>
      <w:r>
        <w:rPr>
          <w:rFonts w:hint="eastAsia" w:ascii="宋体" w:hAnsi="宋体"/>
          <w:kern w:val="0"/>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spacing w:before="120" w:beforeLines="50" w:after="120" w:afterLines="50" w:line="560" w:lineRule="exact"/>
        <w:outlineLvl w:val="9"/>
        <w:rPr>
          <w:rFonts w:cs="宋体" w:asciiTheme="minorEastAsia" w:hAnsiTheme="minorEastAsia" w:eastAsiaTheme="minorEastAsia"/>
          <w:b w:val="0"/>
          <w:sz w:val="28"/>
          <w:szCs w:val="28"/>
        </w:rPr>
      </w:pPr>
      <w:bookmarkStart w:id="269" w:name="_Toc16924"/>
      <w:r>
        <w:rPr>
          <w:rFonts w:hint="eastAsia" w:ascii="黑体" w:hAnsi="黑体" w:cs="黑体"/>
          <w:b w:val="0"/>
          <w:sz w:val="28"/>
          <w:szCs w:val="28"/>
        </w:rPr>
        <w:t>附页3 投诉书（格式）</w:t>
      </w:r>
      <w:bookmarkEnd w:id="265"/>
      <w:bookmarkEnd w:id="266"/>
      <w:bookmarkEnd w:id="267"/>
      <w:bookmarkEnd w:id="268"/>
      <w:bookmarkEnd w:id="269"/>
    </w:p>
    <w:p>
      <w:pPr>
        <w:spacing w:before="120" w:beforeLines="50" w:after="120" w:afterLines="50" w:line="560" w:lineRule="exact"/>
        <w:jc w:val="center"/>
        <w:rPr>
          <w:rFonts w:hint="eastAsia" w:ascii="黑体" w:hAnsi="黑体" w:eastAsia="黑体" w:cs="黑体"/>
          <w:bCs/>
          <w:sz w:val="36"/>
          <w:szCs w:val="36"/>
        </w:rPr>
      </w:pP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kern w:val="0"/>
          <w:sz w:val="28"/>
          <w:szCs w:val="28"/>
        </w:rPr>
      </w:pPr>
      <w:r>
        <w:rPr>
          <w:rFonts w:hint="eastAsia"/>
          <w:kern w:val="0"/>
          <w:sz w:val="28"/>
          <w:szCs w:val="28"/>
        </w:rPr>
        <w:t>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被投诉人名称：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联系人：</w:t>
      </w:r>
      <w:r>
        <w:rPr>
          <w:rFonts w:ascii="仿宋_GB2312"/>
          <w:sz w:val="28"/>
          <w:szCs w:val="28"/>
          <w:u w:val="single"/>
        </w:rPr>
        <w:t xml:space="preserve">                    </w:t>
      </w:r>
      <w:r>
        <w:rPr>
          <w:kern w:val="0"/>
          <w:sz w:val="28"/>
          <w:szCs w:val="28"/>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w:t>
      </w:r>
      <w:r>
        <w:rPr>
          <w:rFonts w:hint="eastAsia" w:ascii="宋体" w:hAnsi="宋体"/>
          <w:sz w:val="28"/>
          <w:szCs w:val="28"/>
        </w:rPr>
        <w:t>单位</w:t>
      </w:r>
      <w:r>
        <w:rPr>
          <w:rFonts w:hint="eastAsia" w:ascii="宋体" w:hAnsi="宋体"/>
          <w:kern w:val="0"/>
          <w:sz w:val="28"/>
          <w:szCs w:val="28"/>
        </w:rPr>
        <w:t>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firstLine="4606" w:firstLineChars="1645"/>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pStyle w:val="22"/>
        <w:adjustRightInd w:val="0"/>
        <w:snapToGrid w:val="0"/>
        <w:spacing w:line="560" w:lineRule="exact"/>
        <w:jc w:val="right"/>
        <w:rPr>
          <w:rFonts w:hAnsi="宋体"/>
          <w:bCs/>
          <w:sz w:val="32"/>
          <w:szCs w:val="32"/>
        </w:rPr>
        <w:sectPr>
          <w:pgSz w:w="11906" w:h="16838"/>
          <w:pgMar w:top="1418" w:right="1134" w:bottom="1418" w:left="1418" w:header="850" w:footer="851" w:gutter="0"/>
          <w:pgNumType w:fmt="numberInDash"/>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rPr>
          <w:rFonts w:hint="eastAsia"/>
          <w:b/>
          <w:bCs/>
          <w:szCs w:val="44"/>
          <w:lang w:val="zh-CN"/>
        </w:rPr>
      </w:pPr>
    </w:p>
    <w:p>
      <w:pPr>
        <w:pStyle w:val="3"/>
        <w:keepNext w:val="0"/>
        <w:keepLines w:val="0"/>
        <w:adjustRightInd w:val="0"/>
        <w:snapToGrid w:val="0"/>
        <w:spacing w:line="560" w:lineRule="exact"/>
        <w:jc w:val="center"/>
        <w:outlineLvl w:val="1"/>
        <w:rPr>
          <w:b w:val="0"/>
          <w:szCs w:val="44"/>
          <w:lang w:val="zh-CN"/>
        </w:rPr>
      </w:pPr>
      <w:bookmarkStart w:id="270" w:name="_Toc20222"/>
      <w:bookmarkStart w:id="271" w:name="_Toc7157"/>
      <w:bookmarkStart w:id="272" w:name="_Toc25686"/>
      <w:r>
        <w:rPr>
          <w:rFonts w:hint="eastAsia"/>
          <w:b w:val="0"/>
          <w:szCs w:val="44"/>
          <w:lang w:val="zh-CN"/>
        </w:rPr>
        <w:t>第二章</w:t>
      </w:r>
      <w:r>
        <w:rPr>
          <w:b w:val="0"/>
          <w:szCs w:val="44"/>
          <w:lang w:val="zh-CN"/>
        </w:rPr>
        <w:t xml:space="preserve"> </w:t>
      </w:r>
      <w:bookmarkEnd w:id="21"/>
      <w:bookmarkEnd w:id="22"/>
      <w:bookmarkEnd w:id="23"/>
      <w:bookmarkEnd w:id="24"/>
      <w:bookmarkEnd w:id="25"/>
      <w:r>
        <w:rPr>
          <w:rFonts w:hint="eastAsia"/>
          <w:b w:val="0"/>
          <w:szCs w:val="44"/>
          <w:lang w:val="zh-CN"/>
        </w:rPr>
        <w:t>合同通用条款</w:t>
      </w:r>
      <w:bookmarkEnd w:id="26"/>
      <w:bookmarkEnd w:id="270"/>
      <w:bookmarkEnd w:id="271"/>
      <w:bookmarkEnd w:id="272"/>
    </w:p>
    <w:p>
      <w:pPr>
        <w:pStyle w:val="5"/>
        <w:spacing w:before="0" w:after="0" w:line="560" w:lineRule="exact"/>
        <w:ind w:firstLine="560" w:firstLineChars="200"/>
        <w:rPr>
          <w:rFonts w:ascii="黑体" w:hAnsi="黑体" w:cs="黑体"/>
          <w:b w:val="0"/>
          <w:sz w:val="28"/>
          <w:szCs w:val="28"/>
        </w:rPr>
      </w:pPr>
      <w:bookmarkStart w:id="273" w:name="_Toc7292"/>
      <w:bookmarkStart w:id="274" w:name="_Toc18663"/>
      <w:bookmarkStart w:id="275" w:name="_Toc25781"/>
      <w:bookmarkStart w:id="276" w:name="_Toc29586"/>
      <w:bookmarkStart w:id="277" w:name="_Toc6236"/>
      <w:bookmarkStart w:id="278" w:name="_Toc26542"/>
      <w:bookmarkStart w:id="279" w:name="_Toc6390"/>
      <w:r>
        <w:rPr>
          <w:rFonts w:hint="eastAsia" w:ascii="黑体" w:hAnsi="黑体" w:cs="黑体"/>
          <w:b w:val="0"/>
          <w:sz w:val="28"/>
          <w:szCs w:val="28"/>
        </w:rPr>
        <w:t>一、定义</w:t>
      </w:r>
      <w:bookmarkEnd w:id="273"/>
      <w:bookmarkEnd w:id="274"/>
      <w:bookmarkEnd w:id="275"/>
      <w:bookmarkEnd w:id="276"/>
      <w:bookmarkEnd w:id="277"/>
      <w:bookmarkEnd w:id="278"/>
      <w:bookmarkEnd w:id="279"/>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pPr>
      <w:r>
        <w:rPr>
          <w:rFonts w:hint="eastAsia"/>
          <w:bCs/>
          <w:sz w:val="28"/>
          <w:szCs w:val="28"/>
        </w:rPr>
        <w:t>（三）“甲方”</w:t>
      </w:r>
      <w:r>
        <w:rPr>
          <w:rFonts w:hint="eastAsia" w:asciiTheme="minorEastAsia" w:hAnsiTheme="minorEastAsia" w:eastAsiaTheme="minorEastAsia"/>
          <w:bCs/>
          <w:sz w:val="28"/>
          <w:szCs w:val="28"/>
        </w:rPr>
        <w:t>是</w:t>
      </w:r>
      <w:r>
        <w:rPr>
          <w:rFonts w:hint="eastAsia"/>
          <w:bCs/>
          <w:sz w:val="28"/>
          <w:szCs w:val="28"/>
        </w:rPr>
        <w:t>指采购物资和相关服务的采购单位。</w:t>
      </w:r>
    </w:p>
    <w:p>
      <w:pPr>
        <w:spacing w:line="560" w:lineRule="exact"/>
        <w:ind w:firstLine="560" w:firstLineChars="200"/>
      </w:pPr>
      <w:r>
        <w:rPr>
          <w:rFonts w:hint="eastAsia"/>
          <w:bCs/>
          <w:sz w:val="28"/>
          <w:szCs w:val="28"/>
        </w:rPr>
        <w:t>（四）“乙方”</w:t>
      </w:r>
      <w:r>
        <w:rPr>
          <w:rFonts w:hint="eastAsia" w:asciiTheme="minorEastAsia" w:hAnsiTheme="minorEastAsia" w:eastAsiaTheme="minorEastAsia"/>
          <w:bCs/>
          <w:sz w:val="28"/>
          <w:szCs w:val="28"/>
        </w:rPr>
        <w:t>是</w:t>
      </w:r>
      <w:r>
        <w:rPr>
          <w:rFonts w:hint="eastAsia"/>
          <w:bCs/>
          <w:sz w:val="28"/>
          <w:szCs w:val="28"/>
        </w:rPr>
        <w:t>指中标后提供物资和相关服务的供应商。</w:t>
      </w:r>
      <w:bookmarkStart w:id="280" w:name="_Toc12135"/>
      <w:bookmarkStart w:id="281" w:name="_Toc26599"/>
      <w:bookmarkStart w:id="282" w:name="_Toc30125"/>
      <w:bookmarkStart w:id="283" w:name="_Toc28764"/>
    </w:p>
    <w:p>
      <w:pPr>
        <w:pStyle w:val="5"/>
        <w:spacing w:before="0" w:after="0" w:line="560" w:lineRule="exact"/>
        <w:ind w:firstLine="560" w:firstLineChars="200"/>
        <w:rPr>
          <w:rFonts w:ascii="黑体" w:hAnsi="黑体" w:cs="黑体"/>
          <w:b w:val="0"/>
          <w:sz w:val="28"/>
          <w:szCs w:val="28"/>
        </w:rPr>
      </w:pPr>
      <w:bookmarkStart w:id="284" w:name="_Toc20733"/>
      <w:bookmarkStart w:id="285" w:name="_Toc13801"/>
      <w:bookmarkStart w:id="286" w:name="_Toc21043"/>
      <w:r>
        <w:rPr>
          <w:rFonts w:hint="eastAsia" w:ascii="黑体" w:hAnsi="黑体" w:cs="黑体"/>
          <w:b w:val="0"/>
          <w:sz w:val="28"/>
          <w:szCs w:val="28"/>
        </w:rPr>
        <w:t>二、物资编目编码、打码贴签要求</w:t>
      </w:r>
      <w:bookmarkEnd w:id="280"/>
      <w:bookmarkEnd w:id="281"/>
      <w:bookmarkEnd w:id="282"/>
      <w:bookmarkEnd w:id="283"/>
      <w:bookmarkEnd w:id="284"/>
      <w:bookmarkEnd w:id="285"/>
      <w:bookmarkEnd w:id="286"/>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（www.plap.mil.cn）或“通用物资编目数据平台”（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w:t>
      </w:r>
      <w:r>
        <w:rPr>
          <w:rFonts w:hint="eastAsia"/>
          <w:bCs/>
          <w:sz w:val="28"/>
          <w:szCs w:val="28"/>
        </w:rPr>
        <w:t>，下载安装编目用户终端软件。按要求录入采购物资数据，导入技术规范、产品说明书、图片等便于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w:t>
      </w:r>
      <w:r>
        <w:rPr>
          <w:bCs/>
          <w:sz w:val="28"/>
          <w:szCs w:val="28"/>
        </w:rPr>
        <w:t>或</w:t>
      </w:r>
      <w:r>
        <w:rPr>
          <w:rFonts w:hint="eastAsia"/>
          <w:bCs/>
          <w:sz w:val="28"/>
          <w:szCs w:val="28"/>
        </w:rPr>
        <w:t>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hint="eastAsia" w:ascii="宋体" w:hAnsi="宋体" w:cs="宋体"/>
          <w:bCs/>
          <w:sz w:val="28"/>
          <w:szCs w:val="28"/>
        </w:rPr>
        <w:t>4</w:t>
      </w:r>
      <w:r>
        <w:rPr>
          <w:rFonts w:ascii="宋体" w:hAnsi="宋体" w:cs="宋体"/>
          <w:bCs/>
          <w:sz w:val="28"/>
          <w:szCs w:val="28"/>
        </w:rPr>
        <w:t>.</w:t>
      </w:r>
      <w:r>
        <w:rPr>
          <w:rFonts w:hint="eastAsia" w:ascii="宋体" w:hAnsi="宋体" w:cs="宋体"/>
          <w:bCs/>
          <w:sz w:val="28"/>
          <w:szCs w:val="28"/>
        </w:rPr>
        <w:t>甲方有单件管理需要的，乙方应当依据规则或示例程序自行生成单件码。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物资标识标签上的品种码应当与合同物资明细表中的品种码完全一致。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w:t>
      </w:r>
      <w:r>
        <w:rPr>
          <w:bCs/>
          <w:sz w:val="28"/>
          <w:szCs w:val="28"/>
        </w:rPr>
        <w:t>7</w:t>
      </w:r>
      <w:r>
        <w:rPr>
          <w:rFonts w:hint="eastAsia"/>
          <w:bCs/>
          <w:sz w:val="28"/>
          <w:szCs w:val="28"/>
        </w:rPr>
        <w:t>日内完成整改，重新协调甲方组织验收。</w:t>
      </w:r>
    </w:p>
    <w:p>
      <w:pPr>
        <w:pStyle w:val="5"/>
        <w:spacing w:before="0" w:after="0" w:line="560" w:lineRule="exact"/>
        <w:ind w:firstLine="560" w:firstLineChars="200"/>
        <w:rPr>
          <w:rFonts w:ascii="黑体" w:hAnsi="黑体" w:cs="黑体"/>
          <w:b w:val="0"/>
          <w:sz w:val="28"/>
          <w:szCs w:val="28"/>
        </w:rPr>
      </w:pPr>
      <w:bookmarkStart w:id="287" w:name="_Toc16243"/>
      <w:bookmarkStart w:id="288" w:name="_Toc32103"/>
      <w:bookmarkStart w:id="289" w:name="_Toc26288"/>
      <w:r>
        <w:rPr>
          <w:rFonts w:hint="eastAsia" w:ascii="黑体" w:hAnsi="黑体" w:cs="黑体"/>
          <w:b w:val="0"/>
          <w:sz w:val="28"/>
          <w:szCs w:val="28"/>
        </w:rPr>
        <w:t>三、履约验收</w:t>
      </w:r>
      <w:bookmarkEnd w:id="287"/>
      <w:bookmarkEnd w:id="288"/>
      <w:bookmarkEnd w:id="289"/>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rFonts w:ascii="仿宋_GB2312"/>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w:t>
      </w:r>
      <w:r>
        <w:rPr>
          <w:rFonts w:hint="eastAsia" w:ascii="仿宋_GB2312"/>
          <w:bCs/>
          <w:sz w:val="28"/>
          <w:szCs w:val="28"/>
        </w:rPr>
        <w:t>检验合格后方可出厂。若第二次检验仍未通过的，甲方有权取消或解除采购合同，由此造成的损失，由</w:t>
      </w:r>
      <w:r>
        <w:rPr>
          <w:rFonts w:hint="eastAsia"/>
          <w:bCs/>
          <w:sz w:val="28"/>
          <w:szCs w:val="28"/>
        </w:rPr>
        <w:t>乙方</w:t>
      </w:r>
      <w:r>
        <w:rPr>
          <w:rFonts w:hint="eastAsia" w:ascii="仿宋_GB2312"/>
          <w:bCs/>
          <w:sz w:val="28"/>
          <w:szCs w:val="28"/>
        </w:rPr>
        <w:t>承担。</w:t>
      </w:r>
    </w:p>
    <w:p>
      <w:pPr>
        <w:pStyle w:val="16"/>
        <w:spacing w:line="560" w:lineRule="exact"/>
        <w:ind w:firstLine="560" w:firstLineChars="200"/>
      </w:pPr>
      <w:r>
        <w:rPr>
          <w:rFonts w:hint="eastAsia" w:ascii="仿宋_GB2312"/>
          <w:bCs/>
          <w:sz w:val="28"/>
          <w:szCs w:val="28"/>
        </w:rPr>
        <w:t>（六）甲方在产品使用过程中，发现产品性能指标未达到要求的，</w:t>
      </w:r>
      <w:r>
        <w:rPr>
          <w:rFonts w:hint="eastAsia"/>
          <w:bCs/>
          <w:sz w:val="28"/>
          <w:szCs w:val="28"/>
        </w:rPr>
        <w:t>乙方</w:t>
      </w:r>
      <w:r>
        <w:rPr>
          <w:rFonts w:hint="eastAsia" w:ascii="仿宋_GB2312"/>
          <w:bCs/>
          <w:sz w:val="28"/>
          <w:szCs w:val="28"/>
        </w:rPr>
        <w:t>按照甲方明确的整改期限（不超过</w:t>
      </w:r>
      <w:r>
        <w:rPr>
          <w:rFonts w:ascii="仿宋_GB2312"/>
          <w:bCs/>
          <w:sz w:val="28"/>
          <w:szCs w:val="28"/>
        </w:rPr>
        <w:t>1</w:t>
      </w:r>
      <w:r>
        <w:rPr>
          <w:rFonts w:hint="eastAsia" w:ascii="仿宋_GB2312"/>
          <w:bCs/>
          <w:sz w:val="28"/>
          <w:szCs w:val="28"/>
        </w:rPr>
        <w:t>个月），可有</w:t>
      </w:r>
      <w:r>
        <w:rPr>
          <w:rFonts w:ascii="仿宋_GB2312"/>
          <w:bCs/>
          <w:sz w:val="28"/>
          <w:szCs w:val="28"/>
        </w:rPr>
        <w:t>1</w:t>
      </w:r>
      <w:r>
        <w:rPr>
          <w:rFonts w:hint="eastAsia" w:ascii="仿宋_GB2312"/>
          <w:bCs/>
          <w:sz w:val="28"/>
          <w:szCs w:val="28"/>
        </w:rPr>
        <w:t>次整改机会，在规定期限内未整改完毕的，由此造成的损失，由</w:t>
      </w:r>
      <w:r>
        <w:rPr>
          <w:rFonts w:hint="eastAsia"/>
          <w:bCs/>
          <w:sz w:val="28"/>
          <w:szCs w:val="28"/>
        </w:rPr>
        <w:t>乙方</w:t>
      </w:r>
      <w:r>
        <w:rPr>
          <w:rFonts w:hint="eastAsia" w:ascii="仿宋_GB2312"/>
          <w:bCs/>
          <w:sz w:val="28"/>
          <w:szCs w:val="28"/>
        </w:rPr>
        <w:t>承担</w:t>
      </w:r>
      <w:r>
        <w:rPr>
          <w:rFonts w:hint="eastAsia"/>
          <w:bCs/>
          <w:sz w:val="28"/>
          <w:szCs w:val="28"/>
        </w:rPr>
        <w:t>。</w:t>
      </w:r>
    </w:p>
    <w:p>
      <w:pPr>
        <w:pStyle w:val="5"/>
        <w:spacing w:before="0" w:after="0" w:line="560" w:lineRule="exact"/>
        <w:ind w:firstLine="560" w:firstLineChars="200"/>
        <w:rPr>
          <w:rFonts w:ascii="黑体" w:hAnsi="黑体" w:cs="黑体"/>
          <w:b w:val="0"/>
          <w:sz w:val="28"/>
          <w:szCs w:val="28"/>
        </w:rPr>
      </w:pPr>
      <w:bookmarkStart w:id="290" w:name="_Toc25074"/>
      <w:bookmarkStart w:id="291" w:name="_Toc3155"/>
      <w:bookmarkStart w:id="292" w:name="_Toc28103"/>
      <w:r>
        <w:rPr>
          <w:rFonts w:hint="eastAsia" w:ascii="黑体" w:hAnsi="黑体" w:cs="黑体"/>
          <w:b w:val="0"/>
          <w:sz w:val="28"/>
          <w:szCs w:val="28"/>
        </w:rPr>
        <w:t>四、保密条款</w:t>
      </w:r>
      <w:bookmarkEnd w:id="290"/>
      <w:bookmarkEnd w:id="291"/>
      <w:bookmarkEnd w:id="29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5"/>
        <w:spacing w:before="0" w:after="0" w:line="560" w:lineRule="exact"/>
        <w:ind w:firstLine="560" w:firstLineChars="200"/>
        <w:rPr>
          <w:rFonts w:ascii="黑体" w:hAnsi="黑体" w:cs="黑体"/>
          <w:b w:val="0"/>
          <w:sz w:val="28"/>
          <w:szCs w:val="28"/>
        </w:rPr>
      </w:pPr>
      <w:bookmarkStart w:id="293" w:name="_Toc11039"/>
      <w:bookmarkStart w:id="294" w:name="_Toc3978"/>
      <w:bookmarkStart w:id="295" w:name="_Toc22190"/>
      <w:r>
        <w:rPr>
          <w:rFonts w:hint="eastAsia" w:ascii="黑体" w:hAnsi="黑体" w:cs="黑体"/>
          <w:b w:val="0"/>
          <w:sz w:val="28"/>
          <w:szCs w:val="28"/>
        </w:rPr>
        <w:t>五、知识产权</w:t>
      </w:r>
      <w:bookmarkEnd w:id="293"/>
      <w:bookmarkEnd w:id="294"/>
      <w:bookmarkEnd w:id="295"/>
    </w:p>
    <w:p>
      <w:pPr>
        <w:spacing w:line="560" w:lineRule="exact"/>
        <w:ind w:firstLine="560" w:firstLineChars="200"/>
        <w:rPr>
          <w:rFonts w:ascii="宋体" w:hAnsi="宋体"/>
          <w:bCs/>
          <w:sz w:val="28"/>
          <w:szCs w:val="28"/>
        </w:rPr>
      </w:pPr>
      <w:bookmarkStart w:id="296" w:name="_Toc11458"/>
      <w:bookmarkStart w:id="297" w:name="_Toc9733"/>
      <w:bookmarkStart w:id="298" w:name="_Toc83738986"/>
      <w:bookmarkStart w:id="299" w:name="_Toc13927"/>
      <w:bookmarkStart w:id="300" w:name="_Toc32592"/>
      <w:bookmarkStart w:id="301" w:name="_Toc29139"/>
      <w:bookmarkStart w:id="302" w:name="_Toc19371"/>
      <w:r>
        <w:rPr>
          <w:rFonts w:hint="eastAsia" w:ascii="宋体" w:hAnsi="宋体"/>
          <w:bCs/>
          <w:sz w:val="28"/>
          <w:szCs w:val="28"/>
        </w:rPr>
        <w:t>（一）乙方应当保证甲方在使用物资和服务时不受第三方提出侵犯其知识产权的指控，对此甲方不承担任何连带责任或赔偿责任。</w:t>
      </w:r>
    </w:p>
    <w:p>
      <w:pPr>
        <w:pStyle w:val="16"/>
        <w:spacing w:after="0" w:line="560" w:lineRule="exact"/>
        <w:ind w:firstLine="562" w:firstLineChars="200"/>
        <w:rPr>
          <w:rFonts w:ascii="宋体" w:hAnsi="宋体"/>
        </w:rPr>
      </w:pPr>
      <w:r>
        <w:rPr>
          <w:rFonts w:hint="eastAsia" w:ascii="宋体" w:hAnsi="宋体"/>
          <w:b/>
          <w:sz w:val="28"/>
          <w:szCs w:val="28"/>
        </w:rPr>
        <w:t>（二）基于项目合同履行形成的知识产权和其他权益，其权属归甲方所有，法律另有规定的除外。</w:t>
      </w:r>
    </w:p>
    <w:p>
      <w:pPr>
        <w:pStyle w:val="5"/>
        <w:spacing w:before="0" w:after="0" w:line="560" w:lineRule="exact"/>
        <w:ind w:firstLine="560" w:firstLineChars="200"/>
        <w:rPr>
          <w:rFonts w:ascii="黑体" w:hAnsi="黑体" w:cs="黑体"/>
          <w:b w:val="0"/>
          <w:sz w:val="28"/>
          <w:szCs w:val="28"/>
        </w:rPr>
      </w:pPr>
      <w:bookmarkStart w:id="303" w:name="_Toc14768"/>
      <w:bookmarkStart w:id="304" w:name="_Toc3080"/>
      <w:bookmarkStart w:id="305" w:name="_Toc23646"/>
      <w:r>
        <w:rPr>
          <w:rFonts w:hint="eastAsia" w:ascii="黑体" w:hAnsi="黑体" w:cs="黑体"/>
          <w:b w:val="0"/>
          <w:sz w:val="28"/>
          <w:szCs w:val="28"/>
        </w:rPr>
        <w:t>六、合同的变更和解除</w:t>
      </w:r>
      <w:bookmarkEnd w:id="296"/>
      <w:bookmarkEnd w:id="297"/>
      <w:bookmarkEnd w:id="298"/>
      <w:bookmarkEnd w:id="299"/>
      <w:bookmarkEnd w:id="300"/>
      <w:bookmarkEnd w:id="301"/>
      <w:bookmarkEnd w:id="302"/>
      <w:bookmarkEnd w:id="303"/>
      <w:bookmarkEnd w:id="304"/>
      <w:bookmarkEnd w:id="305"/>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5"/>
        <w:spacing w:before="0" w:after="0" w:line="560" w:lineRule="exact"/>
        <w:ind w:firstLine="560" w:firstLineChars="200"/>
        <w:rPr>
          <w:rFonts w:ascii="黑体" w:hAnsi="黑体" w:cs="黑体"/>
          <w:b w:val="0"/>
          <w:sz w:val="28"/>
          <w:szCs w:val="28"/>
        </w:rPr>
      </w:pPr>
      <w:bookmarkStart w:id="306" w:name="_Toc2228"/>
      <w:bookmarkStart w:id="307" w:name="_Toc17906"/>
      <w:bookmarkStart w:id="308" w:name="_Toc16097"/>
      <w:bookmarkStart w:id="309" w:name="_Toc22397"/>
      <w:bookmarkStart w:id="310" w:name="_Toc30200"/>
      <w:bookmarkStart w:id="311" w:name="_Toc19429"/>
      <w:bookmarkStart w:id="312" w:name="_Toc13788"/>
      <w:bookmarkStart w:id="313" w:name="_Toc494"/>
      <w:bookmarkStart w:id="314" w:name="_Toc83738987"/>
      <w:bookmarkStart w:id="315" w:name="_Toc376"/>
      <w:r>
        <w:rPr>
          <w:rFonts w:hint="eastAsia" w:ascii="黑体" w:hAnsi="黑体" w:cs="黑体"/>
          <w:b w:val="0"/>
          <w:sz w:val="28"/>
          <w:szCs w:val="28"/>
        </w:rPr>
        <w:t>七、履约监督</w:t>
      </w:r>
      <w:bookmarkEnd w:id="306"/>
      <w:bookmarkEnd w:id="307"/>
      <w:bookmarkEnd w:id="308"/>
      <w:bookmarkEnd w:id="309"/>
      <w:bookmarkEnd w:id="310"/>
      <w:bookmarkEnd w:id="311"/>
      <w:bookmarkEnd w:id="312"/>
      <w:bookmarkEnd w:id="313"/>
      <w:bookmarkEnd w:id="314"/>
      <w:bookmarkEnd w:id="315"/>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4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5"/>
        <w:spacing w:before="0" w:after="0" w:line="560" w:lineRule="exact"/>
        <w:ind w:firstLine="560" w:firstLineChars="200"/>
        <w:rPr>
          <w:rFonts w:ascii="黑体" w:hAnsi="黑体" w:cs="黑体"/>
          <w:b w:val="0"/>
          <w:sz w:val="28"/>
          <w:szCs w:val="28"/>
        </w:rPr>
      </w:pPr>
      <w:bookmarkStart w:id="316" w:name="_Toc20116"/>
      <w:bookmarkStart w:id="317" w:name="_Toc11402"/>
      <w:bookmarkStart w:id="318" w:name="_Toc24153"/>
      <w:r>
        <w:rPr>
          <w:rFonts w:hint="eastAsia" w:ascii="黑体" w:hAnsi="黑体" w:cs="黑体"/>
          <w:b w:val="0"/>
          <w:sz w:val="28"/>
          <w:szCs w:val="28"/>
        </w:rPr>
        <w:t>八、转包与分包</w:t>
      </w:r>
      <w:bookmarkEnd w:id="316"/>
      <w:bookmarkEnd w:id="317"/>
      <w:bookmarkEnd w:id="318"/>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16"/>
        <w:spacing w:after="0"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（三）合同分包履行的，乙方应当与分包承担主体就分包项目向甲方承担连带责任。</w:t>
      </w:r>
    </w:p>
    <w:p>
      <w:pPr>
        <w:pStyle w:val="5"/>
        <w:spacing w:before="0" w:after="0" w:line="560" w:lineRule="exact"/>
        <w:ind w:firstLine="640" w:firstLineChars="200"/>
        <w:rPr>
          <w:b w:val="0"/>
        </w:rPr>
      </w:pPr>
      <w:bookmarkStart w:id="319" w:name="_Toc32282"/>
      <w:bookmarkStart w:id="320" w:name="_Toc23679"/>
      <w:bookmarkStart w:id="321" w:name="_Toc31717"/>
      <w:bookmarkStart w:id="322" w:name="_Toc16941"/>
      <w:bookmarkStart w:id="323" w:name="_Toc30656"/>
      <w:bookmarkStart w:id="324" w:name="_Toc27612"/>
      <w:bookmarkStart w:id="325" w:name="_Toc1573"/>
      <w:bookmarkStart w:id="326" w:name="_Toc83738988"/>
      <w:bookmarkStart w:id="327" w:name="_Toc25769"/>
      <w:bookmarkStart w:id="328" w:name="_Toc9757"/>
      <w:r>
        <w:rPr>
          <w:rFonts w:hint="eastAsia"/>
          <w:b w:val="0"/>
        </w:rPr>
        <w:t>九、违约责任</w:t>
      </w:r>
      <w:bookmarkEnd w:id="319"/>
      <w:bookmarkEnd w:id="320"/>
      <w:bookmarkEnd w:id="321"/>
      <w:bookmarkEnd w:id="322"/>
      <w:bookmarkEnd w:id="323"/>
      <w:bookmarkEnd w:id="324"/>
      <w:bookmarkEnd w:id="325"/>
      <w:bookmarkEnd w:id="326"/>
      <w:bookmarkEnd w:id="327"/>
      <w:bookmarkEnd w:id="328"/>
    </w:p>
    <w:p>
      <w:pPr>
        <w:spacing w:line="560" w:lineRule="exact"/>
        <w:ind w:firstLine="560" w:firstLineChars="200"/>
        <w:rPr>
          <w:rFonts w:ascii="宋体" w:hAnsi="宋体"/>
          <w:bCs/>
          <w:sz w:val="28"/>
          <w:szCs w:val="28"/>
        </w:rPr>
      </w:pPr>
      <w:r>
        <w:rPr>
          <w:rFonts w:hint="eastAsia" w:ascii="宋体" w:hAnsi="宋体"/>
          <w:bCs/>
          <w:sz w:val="28"/>
          <w:szCs w:val="28"/>
        </w:rPr>
        <w:t>（一）乙方未经甲方同意而延期交货时，应当向甲方偿付违约金，违约金每天按违约物资金额的</w:t>
      </w:r>
      <w:r>
        <w:rPr>
          <w:rFonts w:ascii="宋体" w:hAnsi="宋体"/>
          <w:bCs/>
          <w:sz w:val="28"/>
          <w:szCs w:val="28"/>
        </w:rPr>
        <w:t>1</w:t>
      </w:r>
      <w:r>
        <w:rPr>
          <w:rFonts w:hint="eastAsia" w:ascii="宋体" w:hAnsi="宋体"/>
          <w:bCs/>
          <w:sz w:val="28"/>
          <w:szCs w:val="28"/>
        </w:rPr>
        <w:t>‰计算，违约金最高限额为违约总金额的</w:t>
      </w:r>
      <w:r>
        <w:rPr>
          <w:rFonts w:ascii="宋体" w:hAnsi="宋体"/>
          <w:bCs/>
          <w:sz w:val="28"/>
          <w:szCs w:val="28"/>
        </w:rPr>
        <w:t>5%</w:t>
      </w:r>
      <w:r>
        <w:rPr>
          <w:rFonts w:hint="eastAsia" w:ascii="宋体" w:hAnsi="宋体"/>
          <w:bCs/>
          <w:sz w:val="28"/>
          <w:szCs w:val="28"/>
        </w:rPr>
        <w:t>。如果达到违约金最高限额时仍不能交货，或交货时间影响甲方任务实施，甲方可以终止合同，而由此给甲方造成的实际损失，乙方应当给予足额赔偿。</w:t>
      </w:r>
    </w:p>
    <w:p>
      <w:pPr>
        <w:spacing w:line="560" w:lineRule="exact"/>
        <w:ind w:firstLine="560" w:firstLineChars="200"/>
        <w:rPr>
          <w:rFonts w:ascii="仿宋_GB2312" w:hAnsi="宋体"/>
          <w:bCs/>
          <w:sz w:val="28"/>
          <w:szCs w:val="28"/>
        </w:rPr>
      </w:pPr>
      <w:r>
        <w:rPr>
          <w:rFonts w:hint="eastAsia" w:ascii="仿宋_GB2312" w:hAnsi="宋体"/>
          <w:bCs/>
          <w:sz w:val="28"/>
          <w:szCs w:val="28"/>
        </w:rPr>
        <w:t>（二）乙方未按合同约定履行服务义务或产品技术性能指标不达标而给甲方或产品使用单位造成损失的，乙方要按损失金额予以赔偿。</w:t>
      </w:r>
    </w:p>
    <w:p>
      <w:pPr>
        <w:spacing w:line="560" w:lineRule="exact"/>
        <w:ind w:firstLine="560" w:firstLineChars="200"/>
        <w:rPr>
          <w:rFonts w:ascii="宋体" w:hAnsi="宋体"/>
          <w:bCs/>
          <w:sz w:val="28"/>
          <w:szCs w:val="28"/>
        </w:rPr>
      </w:pPr>
      <w:r>
        <w:rPr>
          <w:rFonts w:hint="eastAsia" w:ascii="宋体" w:hAnsi="宋体"/>
          <w:bCs/>
          <w:sz w:val="28"/>
          <w:szCs w:val="28"/>
        </w:rPr>
        <w:t>（三）甲方需按约定及时足额支付货款，未按约定及时足额支付货款时，每迟付一天按违约金额</w:t>
      </w:r>
      <w:r>
        <w:rPr>
          <w:rFonts w:ascii="宋体" w:hAnsi="宋体"/>
          <w:bCs/>
          <w:sz w:val="28"/>
          <w:szCs w:val="28"/>
        </w:rPr>
        <w:t>1</w:t>
      </w:r>
      <w:r>
        <w:rPr>
          <w:rFonts w:hint="eastAsia" w:ascii="宋体" w:hAnsi="宋体"/>
          <w:bCs/>
          <w:sz w:val="28"/>
          <w:szCs w:val="28"/>
        </w:rPr>
        <w:t>‰向乙方偿付违约金，违约金最高限额为违约总金额的</w:t>
      </w:r>
      <w:r>
        <w:rPr>
          <w:rFonts w:ascii="宋体" w:hAnsi="宋体"/>
          <w:bCs/>
          <w:sz w:val="28"/>
          <w:szCs w:val="28"/>
        </w:rPr>
        <w:t>5%</w:t>
      </w:r>
      <w:r>
        <w:rPr>
          <w:rFonts w:hint="eastAsia" w:ascii="宋体" w:hAnsi="宋体"/>
          <w:bCs/>
          <w:sz w:val="28"/>
          <w:szCs w:val="28"/>
        </w:rPr>
        <w:t>。</w:t>
      </w:r>
    </w:p>
    <w:p>
      <w:pPr>
        <w:pStyle w:val="5"/>
        <w:spacing w:before="0" w:after="0" w:line="560" w:lineRule="exact"/>
        <w:ind w:firstLine="560" w:firstLineChars="200"/>
        <w:rPr>
          <w:rFonts w:ascii="黑体" w:hAnsi="黑体" w:cs="黑体"/>
          <w:b w:val="0"/>
          <w:sz w:val="28"/>
          <w:szCs w:val="28"/>
        </w:rPr>
      </w:pPr>
      <w:bookmarkStart w:id="329" w:name="_Toc4921"/>
      <w:bookmarkStart w:id="330" w:name="_Toc83738989"/>
      <w:bookmarkStart w:id="331" w:name="_Toc10954"/>
      <w:bookmarkStart w:id="332" w:name="_Toc32568"/>
      <w:bookmarkStart w:id="333" w:name="_Toc15949"/>
      <w:bookmarkStart w:id="334" w:name="_Toc7908"/>
      <w:bookmarkStart w:id="335" w:name="_Toc10383"/>
      <w:bookmarkStart w:id="336" w:name="_Toc25283"/>
      <w:bookmarkStart w:id="337" w:name="_Toc22345"/>
      <w:bookmarkStart w:id="338" w:name="_Toc28750"/>
      <w:r>
        <w:rPr>
          <w:rFonts w:hint="eastAsia" w:ascii="黑体" w:hAnsi="黑体" w:cs="黑体"/>
          <w:b w:val="0"/>
          <w:sz w:val="28"/>
          <w:szCs w:val="28"/>
        </w:rPr>
        <w:t>十、争议解决方式</w:t>
      </w:r>
      <w:bookmarkEnd w:id="329"/>
      <w:bookmarkEnd w:id="330"/>
      <w:bookmarkEnd w:id="331"/>
      <w:bookmarkEnd w:id="332"/>
      <w:bookmarkEnd w:id="333"/>
      <w:bookmarkEnd w:id="334"/>
      <w:bookmarkEnd w:id="335"/>
      <w:bookmarkEnd w:id="336"/>
      <w:bookmarkEnd w:id="337"/>
      <w:bookmarkEnd w:id="338"/>
    </w:p>
    <w:p>
      <w:pPr>
        <w:spacing w:line="54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4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4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40" w:lineRule="exact"/>
        <w:ind w:firstLine="560" w:firstLineChars="200"/>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spacing w:line="560" w:lineRule="exact"/>
        <w:ind w:firstLine="880" w:firstLineChars="200"/>
        <w:jc w:val="left"/>
        <w:rPr>
          <w:bCs/>
          <w:sz w:val="44"/>
          <w:szCs w:val="44"/>
        </w:rPr>
        <w:sectPr>
          <w:headerReference r:id="rId7" w:type="default"/>
          <w:footerReference r:id="rId8" w:type="default"/>
          <w:pgSz w:w="11906" w:h="16838"/>
          <w:pgMar w:top="1418" w:right="1134" w:bottom="1418" w:left="1418" w:header="851" w:footer="851" w:gutter="0"/>
          <w:pgNumType w:fmt="numberInDash"/>
          <w:cols w:space="720" w:num="1"/>
        </w:sectPr>
      </w:pPr>
      <w:bookmarkStart w:id="339" w:name="_Toc112317784"/>
      <w:r>
        <w:rPr>
          <w:bCs/>
          <w:sz w:val="44"/>
          <w:szCs w:val="44"/>
        </w:rPr>
        <w:br w:type="page"/>
      </w:r>
    </w:p>
    <w:p>
      <w:pPr>
        <w:pStyle w:val="3"/>
        <w:keepNext w:val="0"/>
        <w:keepLines w:val="0"/>
        <w:adjustRightInd w:val="0"/>
        <w:snapToGrid w:val="0"/>
        <w:spacing w:line="560" w:lineRule="exact"/>
        <w:jc w:val="center"/>
        <w:outlineLvl w:val="1"/>
        <w:rPr>
          <w:b w:val="0"/>
          <w:szCs w:val="44"/>
          <w:lang w:val="zh-CN"/>
        </w:rPr>
      </w:pPr>
      <w:bookmarkStart w:id="340" w:name="_Toc11466"/>
      <w:bookmarkStart w:id="341" w:name="_Toc30778"/>
      <w:bookmarkStart w:id="342" w:name="_Toc10691"/>
      <w:bookmarkStart w:id="343" w:name="_Toc18886"/>
      <w:bookmarkStart w:id="344" w:name="_Toc31933"/>
      <w:bookmarkStart w:id="345" w:name="_Toc5712"/>
      <w:bookmarkStart w:id="346" w:name="_Toc31091"/>
      <w:bookmarkStart w:id="347" w:name="_Toc1061"/>
      <w:r>
        <w:rPr>
          <w:rFonts w:hint="eastAsia"/>
          <w:b w:val="0"/>
          <w:szCs w:val="44"/>
          <w:lang w:val="zh-CN"/>
        </w:rPr>
        <w:t>第三章</w:t>
      </w:r>
      <w:r>
        <w:rPr>
          <w:b w:val="0"/>
          <w:szCs w:val="44"/>
          <w:lang w:val="zh-CN"/>
        </w:rPr>
        <w:t xml:space="preserve"> </w:t>
      </w:r>
      <w:bookmarkStart w:id="348" w:name="_Hlk112353117"/>
      <w:r>
        <w:rPr>
          <w:rFonts w:hint="eastAsia"/>
          <w:b w:val="0"/>
          <w:szCs w:val="44"/>
          <w:lang w:val="zh-CN"/>
        </w:rPr>
        <w:t>投标文件内容及格式</w:t>
      </w:r>
      <w:bookmarkEnd w:id="339"/>
      <w:bookmarkEnd w:id="340"/>
      <w:bookmarkEnd w:id="341"/>
      <w:bookmarkEnd w:id="342"/>
      <w:bookmarkEnd w:id="343"/>
      <w:bookmarkEnd w:id="344"/>
      <w:bookmarkEnd w:id="345"/>
      <w:bookmarkEnd w:id="346"/>
      <w:bookmarkEnd w:id="347"/>
      <w:bookmarkEnd w:id="348"/>
    </w:p>
    <w:p>
      <w:pPr>
        <w:spacing w:line="560" w:lineRule="exact"/>
        <w:ind w:firstLine="560" w:firstLineChars="200"/>
        <w:rPr>
          <w:bCs/>
          <w:sz w:val="28"/>
          <w:szCs w:val="28"/>
        </w:rPr>
      </w:pPr>
      <w:r>
        <w:rPr>
          <w:rFonts w:hint="eastAsia"/>
          <w:bCs/>
          <w:sz w:val="28"/>
          <w:szCs w:val="28"/>
        </w:rPr>
        <w:t>投标文件分为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”“商务技术文件”</w:t>
      </w:r>
      <w:r>
        <w:rPr>
          <w:rFonts w:hint="eastAsia"/>
          <w:bCs/>
          <w:sz w:val="28"/>
          <w:szCs w:val="28"/>
        </w:rPr>
        <w:t>和</w:t>
      </w:r>
      <w:r>
        <w:rPr>
          <w:rFonts w:hint="eastAsia" w:ascii="宋体" w:hAnsi="宋体"/>
          <w:bCs/>
          <w:sz w:val="28"/>
          <w:szCs w:val="28"/>
        </w:rPr>
        <w:t>“</w:t>
      </w:r>
      <w:r>
        <w:rPr>
          <w:rFonts w:hint="eastAsia"/>
          <w:bCs/>
          <w:sz w:val="28"/>
          <w:szCs w:val="28"/>
        </w:rPr>
        <w:t>资格证明文件</w:t>
      </w:r>
      <w:r>
        <w:rPr>
          <w:rFonts w:hint="eastAsia" w:ascii="宋体" w:hAnsi="宋体"/>
          <w:bCs/>
          <w:sz w:val="28"/>
          <w:szCs w:val="28"/>
        </w:rPr>
        <w:t>”</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pStyle w:val="16"/>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349" w:name="_Toc81213694"/>
      <w:bookmarkStart w:id="350" w:name="_Toc3800"/>
      <w:bookmarkStart w:id="351" w:name="_Toc8608"/>
      <w:bookmarkStart w:id="352" w:name="_Toc31021"/>
      <w:bookmarkStart w:id="353" w:name="_Toc19170"/>
      <w:bookmarkStart w:id="354" w:name="_Toc13568"/>
      <w:bookmarkStart w:id="355" w:name="_Toc18151"/>
      <w:bookmarkStart w:id="356" w:name="_Toc21986"/>
      <w:r>
        <w:rPr>
          <w:rFonts w:hint="eastAsia" w:ascii="方正小标宋简体" w:eastAsia="方正小标宋简体"/>
          <w:b w:val="0"/>
          <w:sz w:val="52"/>
          <w:szCs w:val="52"/>
        </w:rPr>
        <w:t>一、</w:t>
      </w:r>
      <w:bookmarkEnd w:id="349"/>
      <w:r>
        <w:rPr>
          <w:rFonts w:hint="eastAsia" w:ascii="方正小标宋简体" w:eastAsia="方正小标宋简体"/>
          <w:b w:val="0"/>
          <w:sz w:val="52"/>
          <w:szCs w:val="52"/>
        </w:rPr>
        <w:t>价格文件</w:t>
      </w:r>
      <w:bookmarkEnd w:id="350"/>
      <w:bookmarkEnd w:id="351"/>
      <w:bookmarkEnd w:id="352"/>
      <w:bookmarkEnd w:id="353"/>
      <w:bookmarkEnd w:id="354"/>
      <w:bookmarkEnd w:id="355"/>
      <w:bookmarkEnd w:id="356"/>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9" w:type="default"/>
          <w:pgSz w:w="11906" w:h="16838"/>
          <w:pgMar w:top="1418" w:right="1134" w:bottom="1418" w:left="1418" w:header="851" w:footer="851" w:gutter="0"/>
          <w:pgNumType w:fmt="numberInDash"/>
          <w:cols w:space="720" w:num="1"/>
        </w:sectPr>
      </w:pPr>
    </w:p>
    <w:p>
      <w:pPr>
        <w:pStyle w:val="6"/>
        <w:spacing w:before="120" w:beforeLines="50" w:after="120" w:afterLines="50"/>
        <w:rPr>
          <w:b w:val="0"/>
        </w:rPr>
      </w:pPr>
      <w:bookmarkStart w:id="357" w:name="_Toc12492"/>
      <w:bookmarkStart w:id="358" w:name="_Toc8444"/>
      <w:bookmarkStart w:id="359" w:name="_Toc1873"/>
      <w:bookmarkStart w:id="360" w:name="_Toc13727"/>
      <w:r>
        <w:rPr>
          <w:rFonts w:hint="eastAsia"/>
          <w:b w:val="0"/>
        </w:rPr>
        <w:t>附件</w:t>
      </w:r>
      <w:r>
        <w:rPr>
          <w:b w:val="0"/>
        </w:rPr>
        <w:t xml:space="preserve">1-1 </w:t>
      </w:r>
      <w:r>
        <w:rPr>
          <w:rFonts w:hint="eastAsia"/>
          <w:b w:val="0"/>
        </w:rPr>
        <w:t>开标一览表</w:t>
      </w:r>
      <w:bookmarkEnd w:id="357"/>
      <w:bookmarkEnd w:id="358"/>
      <w:bookmarkEnd w:id="359"/>
      <w:bookmarkEnd w:id="360"/>
    </w:p>
    <w:p>
      <w:pPr>
        <w:spacing w:before="120" w:beforeLines="50" w:after="120" w:afterLines="50" w:line="56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开标一览表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rFonts w:hint="eastAsia"/>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pacing w:val="-4"/>
                <w:sz w:val="24"/>
              </w:rPr>
            </w:pPr>
            <w:r>
              <w:rPr>
                <w:rFonts w:hint="eastAsia"/>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w:t>
            </w:r>
          </w:p>
          <w:p>
            <w:pPr>
              <w:jc w:val="center"/>
              <w:rPr>
                <w:bCs/>
                <w:sz w:val="24"/>
              </w:rPr>
            </w:pPr>
            <w:r>
              <w:rPr>
                <w:rFonts w:hint="eastAsia"/>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投标总价（人民币大写）：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ascii="宋体" w:hAnsi="宋体" w:cs="宋体"/>
                <w:bCs/>
                <w:spacing w:val="-4"/>
                <w:sz w:val="24"/>
              </w:rPr>
            </w:pPr>
            <w:r>
              <w:rPr>
                <w:rFonts w:hint="eastAsia" w:ascii="宋体" w:hAnsi="宋体" w:cs="宋体"/>
                <w:bCs/>
                <w:spacing w:val="-4"/>
                <w:sz w:val="24"/>
                <w:lang w:val="en-US" w:eastAsia="zh-CN"/>
              </w:rPr>
              <w:t>免费保修期：                                                      保修期外维修费用：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ascii="宋体" w:hAnsi="宋体" w:cs="宋体"/>
                <w:b/>
                <w:bCs/>
                <w:sz w:val="28"/>
                <w:szCs w:val="28"/>
              </w:rPr>
            </w:pPr>
            <w:r>
              <w:rPr>
                <w:rFonts w:hint="eastAsia" w:ascii="宋体" w:hAnsi="宋体" w:cs="宋体"/>
                <w:bCs/>
                <w:spacing w:val="-4"/>
                <w:sz w:val="24"/>
              </w:rPr>
              <w:t>说明：金额=单价×数量，投标总价=金额之和。</w:t>
            </w:r>
          </w:p>
        </w:tc>
      </w:tr>
    </w:tbl>
    <w:p>
      <w:pPr>
        <w:ind w:firstLine="560" w:firstLineChars="200"/>
        <w:rPr>
          <w:rFonts w:ascii="宋体" w:hAnsi="宋体" w:cs="宋体"/>
          <w:bCs/>
          <w:sz w:val="28"/>
          <w:szCs w:val="28"/>
        </w:rPr>
      </w:pPr>
    </w:p>
    <w:p>
      <w:pPr>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rPr>
          <w:bCs/>
          <w:sz w:val="32"/>
          <w:szCs w:val="32"/>
        </w:rPr>
      </w:pPr>
    </w:p>
    <w:p>
      <w:pPr>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16"/>
      </w:pPr>
    </w:p>
    <w:p/>
    <w:p>
      <w:pPr>
        <w:pStyle w:val="16"/>
      </w:pPr>
    </w:p>
    <w:p/>
    <w:p>
      <w:pPr>
        <w:pStyle w:val="6"/>
        <w:spacing w:before="120" w:beforeLines="50" w:after="120" w:afterLines="50"/>
        <w:rPr>
          <w:b w:val="0"/>
        </w:rPr>
      </w:pPr>
      <w:bookmarkStart w:id="361" w:name="_Toc8637"/>
      <w:bookmarkStart w:id="362" w:name="_Toc16009"/>
      <w:bookmarkStart w:id="363" w:name="_Toc13502"/>
      <w:bookmarkStart w:id="364" w:name="_Toc29536"/>
      <w:r>
        <w:rPr>
          <w:rFonts w:hint="eastAsia"/>
          <w:b w:val="0"/>
        </w:rPr>
        <w:t>附件</w:t>
      </w:r>
      <w:r>
        <w:rPr>
          <w:b w:val="0"/>
        </w:rPr>
        <w:t xml:space="preserve">1-2 </w:t>
      </w:r>
      <w:r>
        <w:rPr>
          <w:rFonts w:hint="eastAsia"/>
          <w:b w:val="0"/>
        </w:rPr>
        <w:t>价格构成表</w:t>
      </w:r>
      <w:bookmarkEnd w:id="361"/>
      <w:bookmarkEnd w:id="362"/>
      <w:bookmarkEnd w:id="363"/>
      <w:bookmarkEnd w:id="36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pPr w:leftFromText="180" w:rightFromText="180" w:vertAnchor="text" w:horzAnchor="margin" w:tblpX="108" w:tblpY="1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40"/>
        <w:gridCol w:w="840"/>
        <w:gridCol w:w="841"/>
        <w:gridCol w:w="734"/>
        <w:gridCol w:w="743"/>
        <w:gridCol w:w="867"/>
        <w:gridCol w:w="743"/>
        <w:gridCol w:w="743"/>
        <w:gridCol w:w="743"/>
        <w:gridCol w:w="867"/>
        <w:gridCol w:w="743"/>
        <w:gridCol w:w="743"/>
        <w:gridCol w:w="743"/>
        <w:gridCol w:w="867"/>
        <w:gridCol w:w="867"/>
        <w:gridCol w:w="74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restart"/>
            <w:vAlign w:val="center"/>
          </w:tcPr>
          <w:p>
            <w:pPr>
              <w:jc w:val="center"/>
              <w:rPr>
                <w:bCs/>
                <w:sz w:val="24"/>
              </w:rPr>
            </w:pPr>
            <w:r>
              <w:rPr>
                <w:rFonts w:hint="eastAsia"/>
                <w:bCs/>
                <w:sz w:val="24"/>
              </w:rPr>
              <w:t>物资</w:t>
            </w:r>
          </w:p>
          <w:p>
            <w:pPr>
              <w:jc w:val="center"/>
              <w:rPr>
                <w:bCs/>
                <w:sz w:val="24"/>
              </w:rPr>
            </w:pPr>
            <w:r>
              <w:rPr>
                <w:rFonts w:hint="eastAsia"/>
                <w:bCs/>
                <w:sz w:val="24"/>
              </w:rPr>
              <w:t>名称</w:t>
            </w:r>
          </w:p>
        </w:tc>
        <w:tc>
          <w:tcPr>
            <w:tcW w:w="359" w:type="pct"/>
            <w:vMerge w:val="restart"/>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290" w:type="pct"/>
            <w:vMerge w:val="restart"/>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290" w:type="pct"/>
            <w:vMerge w:val="restart"/>
            <w:vAlign w:val="center"/>
          </w:tcPr>
          <w:p>
            <w:pPr>
              <w:jc w:val="center"/>
              <w:rPr>
                <w:bCs/>
                <w:sz w:val="24"/>
              </w:rPr>
            </w:pPr>
            <w:r>
              <w:rPr>
                <w:rFonts w:hint="eastAsia"/>
                <w:bCs/>
                <w:sz w:val="24"/>
              </w:rPr>
              <w:t>数量</w:t>
            </w:r>
          </w:p>
        </w:tc>
        <w:tc>
          <w:tcPr>
            <w:tcW w:w="253" w:type="pct"/>
            <w:vMerge w:val="restart"/>
            <w:vAlign w:val="center"/>
          </w:tcPr>
          <w:p>
            <w:pPr>
              <w:jc w:val="center"/>
              <w:rPr>
                <w:bCs/>
                <w:sz w:val="24"/>
              </w:rPr>
            </w:pPr>
            <w:r>
              <w:rPr>
                <w:rFonts w:hint="eastAsia"/>
                <w:bCs/>
                <w:sz w:val="24"/>
              </w:rPr>
              <w:t>总价</w:t>
            </w:r>
          </w:p>
        </w:tc>
        <w:tc>
          <w:tcPr>
            <w:tcW w:w="3456" w:type="pct"/>
            <w:gridSpan w:val="13"/>
            <w:vAlign w:val="center"/>
          </w:tcPr>
          <w:p>
            <w:pPr>
              <w:jc w:val="center"/>
              <w:rPr>
                <w:bCs/>
                <w:sz w:val="24"/>
              </w:rPr>
            </w:pPr>
            <w:r>
              <w:rPr>
                <w:rFonts w:hint="eastAsia"/>
                <w:bCs/>
                <w:sz w:val="24"/>
              </w:rPr>
              <w:t>价</w:t>
            </w:r>
            <w:r>
              <w:rPr>
                <w:bCs/>
                <w:sz w:val="24"/>
              </w:rPr>
              <w:t xml:space="preserve">  </w:t>
            </w:r>
            <w:r>
              <w:rPr>
                <w:rFonts w:hint="eastAsia"/>
                <w:bCs/>
                <w:sz w:val="24"/>
              </w:rPr>
              <w:t>格</w:t>
            </w:r>
            <w:r>
              <w:rPr>
                <w:bCs/>
                <w:sz w:val="24"/>
              </w:rPr>
              <w:t xml:space="preserve">  </w:t>
            </w:r>
            <w:r>
              <w:rPr>
                <w:rFonts w:hint="eastAsia"/>
                <w:bCs/>
                <w:sz w:val="24"/>
              </w:rPr>
              <w:t>组</w:t>
            </w:r>
            <w:r>
              <w:rPr>
                <w:bCs/>
                <w:sz w:val="24"/>
              </w:rPr>
              <w:t xml:space="preserve">  </w:t>
            </w:r>
            <w:r>
              <w:rPr>
                <w:rFonts w:hint="eastAsia"/>
                <w:bCs/>
                <w:sz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350" w:type="pct"/>
            <w:vMerge w:val="continue"/>
            <w:vAlign w:val="center"/>
          </w:tcPr>
          <w:p>
            <w:pPr>
              <w:jc w:val="center"/>
              <w:rPr>
                <w:bCs/>
                <w:sz w:val="24"/>
              </w:rPr>
            </w:pPr>
          </w:p>
        </w:tc>
        <w:tc>
          <w:tcPr>
            <w:tcW w:w="359" w:type="pct"/>
            <w:vMerge w:val="continue"/>
            <w:vAlign w:val="center"/>
          </w:tcPr>
          <w:p>
            <w:pPr>
              <w:jc w:val="center"/>
              <w:rPr>
                <w:bCs/>
                <w:sz w:val="24"/>
              </w:rPr>
            </w:pPr>
          </w:p>
        </w:tc>
        <w:tc>
          <w:tcPr>
            <w:tcW w:w="290" w:type="pct"/>
            <w:vMerge w:val="continue"/>
            <w:vAlign w:val="center"/>
          </w:tcPr>
          <w:p>
            <w:pPr>
              <w:jc w:val="center"/>
              <w:rPr>
                <w:bCs/>
                <w:sz w:val="24"/>
              </w:rPr>
            </w:pPr>
          </w:p>
        </w:tc>
        <w:tc>
          <w:tcPr>
            <w:tcW w:w="290" w:type="pct"/>
            <w:vMerge w:val="continue"/>
            <w:vAlign w:val="center"/>
          </w:tcPr>
          <w:p>
            <w:pPr>
              <w:jc w:val="center"/>
              <w:rPr>
                <w:bCs/>
                <w:sz w:val="24"/>
              </w:rPr>
            </w:pPr>
          </w:p>
        </w:tc>
        <w:tc>
          <w:tcPr>
            <w:tcW w:w="253" w:type="pct"/>
            <w:vMerge w:val="continue"/>
            <w:vAlign w:val="center"/>
          </w:tcPr>
          <w:p>
            <w:pPr>
              <w:jc w:val="center"/>
              <w:rPr>
                <w:bCs/>
                <w:sz w:val="24"/>
              </w:rPr>
            </w:pPr>
          </w:p>
        </w:tc>
        <w:tc>
          <w:tcPr>
            <w:tcW w:w="256" w:type="pct"/>
            <w:vAlign w:val="center"/>
          </w:tcPr>
          <w:p>
            <w:pPr>
              <w:jc w:val="center"/>
              <w:rPr>
                <w:bCs/>
                <w:sz w:val="24"/>
              </w:rPr>
            </w:pPr>
            <w:r>
              <w:rPr>
                <w:rFonts w:hint="eastAsia"/>
                <w:bCs/>
                <w:sz w:val="24"/>
              </w:rPr>
              <w:t>单价</w:t>
            </w:r>
          </w:p>
        </w:tc>
        <w:tc>
          <w:tcPr>
            <w:tcW w:w="299" w:type="pct"/>
            <w:vAlign w:val="center"/>
          </w:tcPr>
          <w:p>
            <w:pPr>
              <w:jc w:val="center"/>
              <w:rPr>
                <w:bCs/>
                <w:sz w:val="24"/>
              </w:rPr>
            </w:pPr>
            <w:r>
              <w:rPr>
                <w:rFonts w:hint="eastAsia"/>
                <w:bCs/>
                <w:sz w:val="24"/>
              </w:rPr>
              <w:t>直接材料费</w:t>
            </w:r>
          </w:p>
        </w:tc>
        <w:tc>
          <w:tcPr>
            <w:tcW w:w="256" w:type="pct"/>
            <w:vAlign w:val="center"/>
          </w:tcPr>
          <w:p>
            <w:pPr>
              <w:jc w:val="center"/>
              <w:rPr>
                <w:bCs/>
                <w:sz w:val="24"/>
              </w:rPr>
            </w:pPr>
            <w:r>
              <w:rPr>
                <w:rFonts w:hint="eastAsia"/>
                <w:bCs/>
                <w:sz w:val="24"/>
              </w:rPr>
              <w:t>外购成件费</w:t>
            </w:r>
          </w:p>
        </w:tc>
        <w:tc>
          <w:tcPr>
            <w:tcW w:w="256" w:type="pct"/>
            <w:vAlign w:val="center"/>
          </w:tcPr>
          <w:p>
            <w:pPr>
              <w:jc w:val="center"/>
              <w:rPr>
                <w:bCs/>
                <w:sz w:val="24"/>
              </w:rPr>
            </w:pPr>
            <w:r>
              <w:rPr>
                <w:rFonts w:hint="eastAsia"/>
                <w:bCs/>
                <w:sz w:val="24"/>
              </w:rPr>
              <w:t>燃料及动力费</w:t>
            </w:r>
          </w:p>
        </w:tc>
        <w:tc>
          <w:tcPr>
            <w:tcW w:w="256" w:type="pct"/>
            <w:vAlign w:val="center"/>
          </w:tcPr>
          <w:p>
            <w:pPr>
              <w:jc w:val="center"/>
              <w:rPr>
                <w:bCs/>
                <w:sz w:val="24"/>
              </w:rPr>
            </w:pPr>
            <w:r>
              <w:rPr>
                <w:rFonts w:hint="eastAsia"/>
                <w:bCs/>
                <w:sz w:val="24"/>
              </w:rPr>
              <w:t>直接人工费</w:t>
            </w:r>
          </w:p>
        </w:tc>
        <w:tc>
          <w:tcPr>
            <w:tcW w:w="299" w:type="pct"/>
            <w:vAlign w:val="center"/>
          </w:tcPr>
          <w:p>
            <w:pPr>
              <w:jc w:val="center"/>
              <w:rPr>
                <w:bCs/>
                <w:sz w:val="24"/>
              </w:rPr>
            </w:pPr>
            <w:r>
              <w:rPr>
                <w:rFonts w:hint="eastAsia"/>
                <w:bCs/>
                <w:sz w:val="24"/>
              </w:rPr>
              <w:t>废品损失费</w:t>
            </w:r>
          </w:p>
        </w:tc>
        <w:tc>
          <w:tcPr>
            <w:tcW w:w="256" w:type="pct"/>
            <w:vAlign w:val="center"/>
          </w:tcPr>
          <w:p>
            <w:pPr>
              <w:jc w:val="center"/>
              <w:rPr>
                <w:bCs/>
                <w:sz w:val="24"/>
              </w:rPr>
            </w:pPr>
            <w:r>
              <w:rPr>
                <w:rFonts w:hint="eastAsia"/>
                <w:bCs/>
                <w:sz w:val="24"/>
              </w:rPr>
              <w:t>管理费用</w:t>
            </w:r>
          </w:p>
        </w:tc>
        <w:tc>
          <w:tcPr>
            <w:tcW w:w="256" w:type="pct"/>
            <w:vAlign w:val="center"/>
          </w:tcPr>
          <w:p>
            <w:pPr>
              <w:jc w:val="center"/>
              <w:rPr>
                <w:bCs/>
                <w:sz w:val="24"/>
              </w:rPr>
            </w:pPr>
            <w:r>
              <w:rPr>
                <w:rFonts w:hint="eastAsia"/>
                <w:bCs/>
                <w:sz w:val="24"/>
              </w:rPr>
              <w:t>利润</w:t>
            </w:r>
          </w:p>
        </w:tc>
        <w:tc>
          <w:tcPr>
            <w:tcW w:w="256" w:type="pct"/>
            <w:vAlign w:val="center"/>
          </w:tcPr>
          <w:p>
            <w:pPr>
              <w:jc w:val="center"/>
              <w:rPr>
                <w:bCs/>
                <w:sz w:val="24"/>
              </w:rPr>
            </w:pPr>
            <w:r>
              <w:rPr>
                <w:rFonts w:hint="eastAsia"/>
                <w:bCs/>
                <w:sz w:val="24"/>
              </w:rPr>
              <w:t>税金</w:t>
            </w:r>
          </w:p>
        </w:tc>
        <w:tc>
          <w:tcPr>
            <w:tcW w:w="299" w:type="pct"/>
            <w:vAlign w:val="center"/>
          </w:tcPr>
          <w:p>
            <w:pPr>
              <w:jc w:val="center"/>
              <w:rPr>
                <w:bCs/>
                <w:sz w:val="24"/>
              </w:rPr>
            </w:pPr>
            <w:r>
              <w:rPr>
                <w:rFonts w:hint="eastAsia"/>
                <w:bCs/>
                <w:sz w:val="24"/>
              </w:rPr>
              <w:t>备件工具费</w:t>
            </w:r>
          </w:p>
        </w:tc>
        <w:tc>
          <w:tcPr>
            <w:tcW w:w="299" w:type="pct"/>
            <w:vAlign w:val="center"/>
          </w:tcPr>
          <w:p>
            <w:pPr>
              <w:jc w:val="center"/>
              <w:rPr>
                <w:bCs/>
                <w:sz w:val="24"/>
              </w:rPr>
            </w:pPr>
            <w:r>
              <w:rPr>
                <w:rFonts w:hint="eastAsia"/>
                <w:bCs/>
                <w:sz w:val="24"/>
              </w:rPr>
              <w:t>安装调试费</w:t>
            </w:r>
          </w:p>
        </w:tc>
        <w:tc>
          <w:tcPr>
            <w:tcW w:w="256" w:type="pct"/>
            <w:vAlign w:val="center"/>
          </w:tcPr>
          <w:p>
            <w:pPr>
              <w:jc w:val="center"/>
              <w:rPr>
                <w:bCs/>
                <w:sz w:val="24"/>
              </w:rPr>
            </w:pPr>
            <w:r>
              <w:rPr>
                <w:rFonts w:hint="eastAsia"/>
                <w:bCs/>
                <w:sz w:val="24"/>
              </w:rPr>
              <w:t>技术服务费</w:t>
            </w:r>
          </w:p>
        </w:tc>
        <w:tc>
          <w:tcPr>
            <w:tcW w:w="213" w:type="pct"/>
            <w:vAlign w:val="center"/>
          </w:tcPr>
          <w:p>
            <w:pPr>
              <w:jc w:val="center"/>
              <w:rPr>
                <w:bCs/>
                <w:sz w:val="24"/>
              </w:rPr>
            </w:pPr>
            <w:r>
              <w:rPr>
                <w:rFonts w:hint="eastAsia"/>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vAlign w:val="center"/>
          </w:tcPr>
          <w:p>
            <w:pPr>
              <w:jc w:val="center"/>
              <w:rPr>
                <w:bCs/>
                <w:sz w:val="24"/>
              </w:rPr>
            </w:pPr>
            <w:r>
              <w:rPr>
                <w:bCs/>
                <w:sz w:val="24"/>
              </w:rPr>
              <w:t>1</w:t>
            </w:r>
          </w:p>
        </w:tc>
        <w:tc>
          <w:tcPr>
            <w:tcW w:w="359" w:type="pct"/>
            <w:vAlign w:val="center"/>
          </w:tcPr>
          <w:p>
            <w:pPr>
              <w:jc w:val="center"/>
              <w:rPr>
                <w:bCs/>
                <w:sz w:val="24"/>
              </w:rPr>
            </w:pPr>
            <w:r>
              <w:rPr>
                <w:bCs/>
                <w:sz w:val="24"/>
              </w:rPr>
              <w:t>2</w:t>
            </w:r>
          </w:p>
        </w:tc>
        <w:tc>
          <w:tcPr>
            <w:tcW w:w="290" w:type="pct"/>
            <w:vAlign w:val="center"/>
          </w:tcPr>
          <w:p>
            <w:pPr>
              <w:jc w:val="center"/>
              <w:rPr>
                <w:bCs/>
                <w:sz w:val="24"/>
              </w:rPr>
            </w:pPr>
            <w:r>
              <w:rPr>
                <w:bCs/>
                <w:sz w:val="24"/>
              </w:rPr>
              <w:t>3</w:t>
            </w:r>
          </w:p>
        </w:tc>
        <w:tc>
          <w:tcPr>
            <w:tcW w:w="290" w:type="pct"/>
            <w:vAlign w:val="center"/>
          </w:tcPr>
          <w:p>
            <w:pPr>
              <w:jc w:val="center"/>
              <w:rPr>
                <w:bCs/>
                <w:sz w:val="24"/>
              </w:rPr>
            </w:pPr>
            <w:r>
              <w:rPr>
                <w:bCs/>
                <w:sz w:val="24"/>
              </w:rPr>
              <w:t>4</w:t>
            </w:r>
          </w:p>
        </w:tc>
        <w:tc>
          <w:tcPr>
            <w:tcW w:w="253" w:type="pct"/>
            <w:vAlign w:val="center"/>
          </w:tcPr>
          <w:p>
            <w:pPr>
              <w:jc w:val="center"/>
              <w:rPr>
                <w:bCs/>
                <w:sz w:val="24"/>
              </w:rPr>
            </w:pPr>
            <w:r>
              <w:rPr>
                <w:bCs/>
                <w:sz w:val="24"/>
              </w:rPr>
              <w:t>5</w:t>
            </w:r>
          </w:p>
        </w:tc>
        <w:tc>
          <w:tcPr>
            <w:tcW w:w="256" w:type="pct"/>
            <w:vAlign w:val="center"/>
          </w:tcPr>
          <w:p>
            <w:pPr>
              <w:jc w:val="center"/>
              <w:rPr>
                <w:bCs/>
                <w:sz w:val="24"/>
              </w:rPr>
            </w:pPr>
            <w:r>
              <w:rPr>
                <w:bCs/>
                <w:sz w:val="24"/>
              </w:rPr>
              <w:t>6</w:t>
            </w:r>
          </w:p>
        </w:tc>
        <w:tc>
          <w:tcPr>
            <w:tcW w:w="299" w:type="pct"/>
            <w:vAlign w:val="center"/>
          </w:tcPr>
          <w:p>
            <w:pPr>
              <w:jc w:val="center"/>
              <w:rPr>
                <w:bCs/>
                <w:sz w:val="24"/>
              </w:rPr>
            </w:pPr>
            <w:r>
              <w:rPr>
                <w:bCs/>
                <w:sz w:val="24"/>
              </w:rPr>
              <w:t>7</w:t>
            </w:r>
          </w:p>
        </w:tc>
        <w:tc>
          <w:tcPr>
            <w:tcW w:w="256" w:type="pct"/>
            <w:vAlign w:val="center"/>
          </w:tcPr>
          <w:p>
            <w:pPr>
              <w:jc w:val="center"/>
              <w:rPr>
                <w:bCs/>
                <w:sz w:val="24"/>
              </w:rPr>
            </w:pPr>
            <w:r>
              <w:rPr>
                <w:bCs/>
                <w:sz w:val="24"/>
              </w:rPr>
              <w:t>8</w:t>
            </w:r>
          </w:p>
        </w:tc>
        <w:tc>
          <w:tcPr>
            <w:tcW w:w="256" w:type="pct"/>
            <w:vAlign w:val="center"/>
          </w:tcPr>
          <w:p>
            <w:pPr>
              <w:jc w:val="center"/>
              <w:rPr>
                <w:bCs/>
                <w:sz w:val="24"/>
              </w:rPr>
            </w:pPr>
            <w:r>
              <w:rPr>
                <w:bCs/>
                <w:sz w:val="24"/>
              </w:rPr>
              <w:t>9</w:t>
            </w:r>
          </w:p>
        </w:tc>
        <w:tc>
          <w:tcPr>
            <w:tcW w:w="256" w:type="pct"/>
            <w:vAlign w:val="center"/>
          </w:tcPr>
          <w:p>
            <w:pPr>
              <w:jc w:val="center"/>
              <w:rPr>
                <w:bCs/>
                <w:sz w:val="24"/>
              </w:rPr>
            </w:pPr>
            <w:r>
              <w:rPr>
                <w:bCs/>
                <w:sz w:val="24"/>
              </w:rPr>
              <w:t>10</w:t>
            </w:r>
          </w:p>
        </w:tc>
        <w:tc>
          <w:tcPr>
            <w:tcW w:w="299" w:type="pct"/>
            <w:vAlign w:val="center"/>
          </w:tcPr>
          <w:p>
            <w:pPr>
              <w:jc w:val="center"/>
              <w:rPr>
                <w:bCs/>
                <w:sz w:val="24"/>
              </w:rPr>
            </w:pPr>
            <w:r>
              <w:rPr>
                <w:bCs/>
                <w:sz w:val="24"/>
              </w:rPr>
              <w:t>11</w:t>
            </w:r>
          </w:p>
        </w:tc>
        <w:tc>
          <w:tcPr>
            <w:tcW w:w="256" w:type="pct"/>
            <w:vAlign w:val="center"/>
          </w:tcPr>
          <w:p>
            <w:pPr>
              <w:jc w:val="center"/>
              <w:rPr>
                <w:bCs/>
                <w:sz w:val="24"/>
              </w:rPr>
            </w:pPr>
            <w:r>
              <w:rPr>
                <w:bCs/>
                <w:sz w:val="24"/>
              </w:rPr>
              <w:t>12</w:t>
            </w:r>
          </w:p>
        </w:tc>
        <w:tc>
          <w:tcPr>
            <w:tcW w:w="256" w:type="pct"/>
            <w:vAlign w:val="center"/>
          </w:tcPr>
          <w:p>
            <w:pPr>
              <w:jc w:val="center"/>
              <w:rPr>
                <w:bCs/>
                <w:sz w:val="24"/>
              </w:rPr>
            </w:pPr>
            <w:r>
              <w:rPr>
                <w:bCs/>
                <w:sz w:val="24"/>
              </w:rPr>
              <w:t>13</w:t>
            </w:r>
          </w:p>
        </w:tc>
        <w:tc>
          <w:tcPr>
            <w:tcW w:w="256" w:type="pct"/>
            <w:vAlign w:val="center"/>
          </w:tcPr>
          <w:p>
            <w:pPr>
              <w:jc w:val="center"/>
              <w:rPr>
                <w:bCs/>
                <w:sz w:val="24"/>
              </w:rPr>
            </w:pPr>
            <w:r>
              <w:rPr>
                <w:bCs/>
                <w:sz w:val="24"/>
              </w:rPr>
              <w:t>14</w:t>
            </w:r>
          </w:p>
        </w:tc>
        <w:tc>
          <w:tcPr>
            <w:tcW w:w="299" w:type="pct"/>
            <w:vAlign w:val="center"/>
          </w:tcPr>
          <w:p>
            <w:pPr>
              <w:jc w:val="center"/>
              <w:rPr>
                <w:bCs/>
                <w:sz w:val="24"/>
              </w:rPr>
            </w:pPr>
            <w:r>
              <w:rPr>
                <w:bCs/>
                <w:sz w:val="24"/>
              </w:rPr>
              <w:t>15</w:t>
            </w:r>
          </w:p>
        </w:tc>
        <w:tc>
          <w:tcPr>
            <w:tcW w:w="299" w:type="pct"/>
            <w:vAlign w:val="center"/>
          </w:tcPr>
          <w:p>
            <w:pPr>
              <w:jc w:val="center"/>
              <w:rPr>
                <w:bCs/>
                <w:sz w:val="24"/>
              </w:rPr>
            </w:pPr>
            <w:r>
              <w:rPr>
                <w:bCs/>
                <w:sz w:val="24"/>
              </w:rPr>
              <w:t>16</w:t>
            </w:r>
          </w:p>
        </w:tc>
        <w:tc>
          <w:tcPr>
            <w:tcW w:w="256" w:type="pct"/>
            <w:vAlign w:val="center"/>
          </w:tcPr>
          <w:p>
            <w:pPr>
              <w:jc w:val="center"/>
              <w:rPr>
                <w:bCs/>
                <w:sz w:val="24"/>
              </w:rPr>
            </w:pPr>
            <w:r>
              <w:rPr>
                <w:bCs/>
                <w:sz w:val="24"/>
              </w:rPr>
              <w:t>17</w:t>
            </w:r>
          </w:p>
        </w:tc>
        <w:tc>
          <w:tcPr>
            <w:tcW w:w="213" w:type="pct"/>
            <w:vAlign w:val="center"/>
          </w:tcPr>
          <w:p>
            <w:pPr>
              <w:jc w:val="center"/>
              <w:rPr>
                <w:bCs/>
                <w:sz w:val="24"/>
              </w:rPr>
            </w:pPr>
            <w:r>
              <w:rPr>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rPr>
                <w:bCs/>
                <w:sz w:val="24"/>
              </w:rPr>
            </w:pPr>
            <w:r>
              <w:rPr>
                <w:rFonts w:hint="eastAsia"/>
                <w:bCs/>
                <w:sz w:val="24"/>
              </w:rPr>
              <w:t xml:space="preserve">物资总金额（大写人民币）：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spacing w:line="276" w:lineRule="auto"/>
              <w:rPr>
                <w:rFonts w:ascii="宋体" w:hAnsi="宋体" w:cs="宋体"/>
                <w:bCs/>
                <w:spacing w:val="-4"/>
                <w:sz w:val="24"/>
              </w:rPr>
            </w:pPr>
            <w:r>
              <w:rPr>
                <w:rFonts w:ascii="宋体" w:hAnsi="宋体" w:cs="宋体"/>
                <w:bCs/>
                <w:spacing w:val="-4"/>
                <w:sz w:val="24"/>
              </w:rPr>
              <w:t>说明</w:t>
            </w:r>
            <w:r>
              <w:rPr>
                <w:rFonts w:hint="eastAsia" w:ascii="宋体" w:hAnsi="宋体" w:cs="宋体"/>
                <w:bCs/>
                <w:spacing w:val="-4"/>
                <w:sz w:val="24"/>
              </w:rPr>
              <w:t>：</w:t>
            </w:r>
            <w:r>
              <w:rPr>
                <w:rFonts w:ascii="宋体" w:hAnsi="宋体" w:cs="宋体"/>
                <w:bCs/>
                <w:spacing w:val="-4"/>
                <w:sz w:val="24"/>
              </w:rPr>
              <w:t>1.项5=项6×项4</w:t>
            </w:r>
          </w:p>
          <w:p>
            <w:pPr>
              <w:spacing w:line="276" w:lineRule="auto"/>
              <w:rPr>
                <w:bCs/>
                <w:sz w:val="28"/>
                <w:szCs w:val="28"/>
              </w:rPr>
            </w:pPr>
            <w:r>
              <w:rPr>
                <w:rFonts w:ascii="宋体" w:hAnsi="宋体" w:cs="宋体"/>
                <w:bCs/>
                <w:spacing w:val="-4"/>
                <w:sz w:val="24"/>
              </w:rPr>
              <w:t xml:space="preserve">     2.项6=项7+项8+项9+项10+项11+项12+项13+项14+项15+项16+项17+项18</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bCs/>
          <w:sz w:val="28"/>
          <w:szCs w:val="28"/>
        </w:rPr>
        <w:sectPr>
          <w:pgSz w:w="16838" w:h="11906" w:orient="landscape"/>
          <w:pgMar w:top="1418" w:right="1134" w:bottom="1418" w:left="1418" w:header="851" w:footer="851" w:gutter="0"/>
          <w:pgNumType w:fmt="numberInDash"/>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rFonts w:hint="eastAsia" w:eastAsia="黑体"/>
          <w:b w:val="0"/>
          <w:lang w:eastAsia="zh-CN"/>
        </w:rPr>
      </w:pPr>
      <w:bookmarkStart w:id="365" w:name="_Toc10276"/>
      <w:bookmarkStart w:id="366" w:name="_Toc9864"/>
      <w:r>
        <w:rPr>
          <w:rFonts w:hint="eastAsia"/>
          <w:b w:val="0"/>
        </w:rPr>
        <w:t>附件1-3 物资材料、部件、工具价格明细表</w:t>
      </w:r>
      <w:bookmarkEnd w:id="365"/>
      <w:bookmarkEnd w:id="366"/>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物资材料、部件、工具价格明细表</w:t>
      </w:r>
    </w:p>
    <w:p>
      <w:pPr>
        <w:rPr>
          <w:bCs/>
          <w:sz w:val="28"/>
          <w:szCs w:val="28"/>
          <w:u w:val="single"/>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60" w:type="dxa"/>
        <w:tblInd w:w="108" w:type="dxa"/>
        <w:tblLayout w:type="fixed"/>
        <w:tblCellMar>
          <w:top w:w="0" w:type="dxa"/>
          <w:left w:w="108" w:type="dxa"/>
          <w:bottom w:w="0" w:type="dxa"/>
          <w:right w:w="108" w:type="dxa"/>
        </w:tblCellMar>
      </w:tblPr>
      <w:tblGrid>
        <w:gridCol w:w="709"/>
        <w:gridCol w:w="1438"/>
        <w:gridCol w:w="986"/>
        <w:gridCol w:w="1132"/>
        <w:gridCol w:w="795"/>
        <w:gridCol w:w="1080"/>
        <w:gridCol w:w="747"/>
        <w:gridCol w:w="1120"/>
        <w:gridCol w:w="1353"/>
      </w:tblGrid>
      <w:tr>
        <w:tblPrEx>
          <w:tblCellMar>
            <w:top w:w="0" w:type="dxa"/>
            <w:left w:w="108" w:type="dxa"/>
            <w:bottom w:w="0" w:type="dxa"/>
            <w:right w:w="108" w:type="dxa"/>
          </w:tblCellMar>
        </w:tblPrEx>
        <w:trPr>
          <w:cantSplit/>
          <w:trHeight w:val="616" w:hRule="atLeast"/>
        </w:trPr>
        <w:tc>
          <w:tcPr>
            <w:tcW w:w="709" w:type="dxa"/>
            <w:vMerge w:val="restart"/>
            <w:tcBorders>
              <w:top w:val="single" w:color="auto" w:sz="4" w:space="0"/>
              <w:left w:val="single" w:color="auto" w:sz="8" w:space="0"/>
              <w:bottom w:val="single" w:color="auto" w:sz="4" w:space="0"/>
              <w:right w:val="single" w:color="auto" w:sz="4" w:space="0"/>
            </w:tcBorders>
            <w:vAlign w:val="center"/>
          </w:tcPr>
          <w:p>
            <w:pPr>
              <w:jc w:val="center"/>
              <w:rPr>
                <w:bCs/>
                <w:sz w:val="24"/>
              </w:rPr>
            </w:pPr>
            <w:r>
              <w:rPr>
                <w:rFonts w:hint="eastAsia"/>
                <w:bCs/>
                <w:sz w:val="24"/>
              </w:rPr>
              <w:t>序号</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1132" w:type="dxa"/>
            <w:vMerge w:val="restart"/>
            <w:tcBorders>
              <w:top w:val="single" w:color="auto" w:sz="4" w:space="0"/>
              <w:left w:val="single" w:color="auto" w:sz="4" w:space="0"/>
              <w:bottom w:val="single" w:color="000000" w:sz="4" w:space="0"/>
              <w:right w:val="single" w:color="auto" w:sz="4" w:space="0"/>
            </w:tcBorders>
            <w:vAlign w:val="center"/>
          </w:tcPr>
          <w:p>
            <w:pPr>
              <w:jc w:val="center"/>
              <w:rPr>
                <w:bCs/>
                <w:sz w:val="24"/>
              </w:rPr>
            </w:pPr>
            <w:r>
              <w:rPr>
                <w:rFonts w:hint="eastAsia"/>
                <w:bCs/>
                <w:sz w:val="24"/>
              </w:rPr>
              <w:t>执行</w:t>
            </w:r>
          </w:p>
          <w:p>
            <w:pPr>
              <w:jc w:val="center"/>
              <w:rPr>
                <w:bCs/>
                <w:sz w:val="24"/>
              </w:rPr>
            </w:pPr>
            <w:r>
              <w:rPr>
                <w:rFonts w:hint="eastAsia"/>
                <w:bCs/>
                <w:sz w:val="24"/>
              </w:rPr>
              <w:t>标准</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计量单位</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定额</w:t>
            </w:r>
            <w:r>
              <w:rPr>
                <w:bCs/>
                <w:sz w:val="24"/>
              </w:rPr>
              <w:t>/</w:t>
            </w:r>
            <w:r>
              <w:rPr>
                <w:rFonts w:hint="eastAsia"/>
                <w:bCs/>
                <w:sz w:val="24"/>
              </w:rPr>
              <w:t>消耗数量</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bCs/>
                <w:sz w:val="24"/>
              </w:rPr>
              <w:t>(</w:t>
            </w:r>
            <w:r>
              <w:rPr>
                <w:rFonts w:hint="eastAsia"/>
                <w:bCs/>
                <w:sz w:val="24"/>
              </w:rPr>
              <w:t>元</w:t>
            </w:r>
            <w:r>
              <w:rPr>
                <w:bCs/>
                <w:sz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z w:val="24"/>
              </w:rPr>
            </w:pPr>
            <w:r>
              <w:rPr>
                <w:bCs/>
                <w:sz w:val="24"/>
              </w:rPr>
              <w:t>(</w:t>
            </w:r>
            <w:r>
              <w:rPr>
                <w:rFonts w:hint="eastAsia"/>
                <w:bCs/>
                <w:sz w:val="24"/>
              </w:rPr>
              <w:t>元</w:t>
            </w:r>
            <w:r>
              <w:rPr>
                <w:bCs/>
                <w:sz w:val="24"/>
              </w:rPr>
              <w:t>)</w:t>
            </w:r>
          </w:p>
        </w:tc>
        <w:tc>
          <w:tcPr>
            <w:tcW w:w="1353" w:type="dxa"/>
            <w:vMerge w:val="restart"/>
            <w:tcBorders>
              <w:top w:val="single" w:color="auto" w:sz="4" w:space="0"/>
              <w:left w:val="single" w:color="auto" w:sz="4" w:space="0"/>
              <w:bottom w:val="single" w:color="000000" w:sz="4" w:space="0"/>
              <w:right w:val="single" w:color="auto" w:sz="8" w:space="0"/>
            </w:tcBorders>
            <w:vAlign w:val="center"/>
          </w:tcPr>
          <w:p>
            <w:pPr>
              <w:jc w:val="center"/>
              <w:rPr>
                <w:bCs/>
                <w:sz w:val="24"/>
              </w:rPr>
            </w:pPr>
            <w:r>
              <w:rPr>
                <w:rFonts w:hint="eastAsia"/>
                <w:bCs/>
                <w:sz w:val="24"/>
              </w:rPr>
              <w:t>产地或生产企业</w:t>
            </w:r>
          </w:p>
        </w:tc>
      </w:tr>
      <w:tr>
        <w:tblPrEx>
          <w:tblCellMar>
            <w:top w:w="0" w:type="dxa"/>
            <w:left w:w="108" w:type="dxa"/>
            <w:bottom w:w="0" w:type="dxa"/>
            <w:right w:w="108" w:type="dxa"/>
          </w:tblCellMar>
        </w:tblPrEx>
        <w:trPr>
          <w:cantSplit/>
          <w:trHeight w:val="388" w:hRule="atLeast"/>
        </w:trPr>
        <w:tc>
          <w:tcPr>
            <w:tcW w:w="709" w:type="dxa"/>
            <w:vMerge w:val="continue"/>
            <w:tcBorders>
              <w:top w:val="single" w:color="auto" w:sz="4" w:space="0"/>
              <w:left w:val="single" w:color="auto" w:sz="8" w:space="0"/>
              <w:bottom w:val="single" w:color="auto" w:sz="4" w:space="0"/>
              <w:right w:val="single" w:color="auto" w:sz="4" w:space="0"/>
            </w:tcBorders>
            <w:vAlign w:val="center"/>
          </w:tcPr>
          <w:p>
            <w:pPr>
              <w:rPr>
                <w:bCs/>
                <w:sz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32" w:type="dxa"/>
            <w:vMerge w:val="continue"/>
            <w:tcBorders>
              <w:top w:val="single" w:color="auto" w:sz="4" w:space="0"/>
              <w:left w:val="single" w:color="auto" w:sz="4" w:space="0"/>
              <w:bottom w:val="single" w:color="000000" w:sz="4" w:space="0"/>
              <w:right w:val="single" w:color="auto" w:sz="4" w:space="0"/>
            </w:tcBorders>
            <w:vAlign w:val="center"/>
          </w:tcPr>
          <w:p>
            <w:pPr>
              <w:rPr>
                <w:bCs/>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353" w:type="dxa"/>
            <w:vMerge w:val="continue"/>
            <w:tcBorders>
              <w:top w:val="single" w:color="auto" w:sz="4" w:space="0"/>
              <w:left w:val="single" w:color="auto" w:sz="4" w:space="0"/>
              <w:bottom w:val="single" w:color="000000"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2" w:space="0"/>
              <w:right w:val="single" w:color="auto" w:sz="4" w:space="0"/>
            </w:tcBorders>
            <w:vAlign w:val="center"/>
          </w:tcPr>
          <w:p>
            <w:pPr>
              <w:jc w:val="center"/>
              <w:rPr>
                <w:bCs/>
                <w:sz w:val="24"/>
              </w:rPr>
            </w:pPr>
            <w:r>
              <w:rPr>
                <w:rFonts w:hint="eastAsia"/>
                <w:bCs/>
                <w:sz w:val="24"/>
              </w:rPr>
              <w:t>一</w:t>
            </w:r>
          </w:p>
        </w:tc>
        <w:tc>
          <w:tcPr>
            <w:tcW w:w="1438" w:type="dxa"/>
            <w:tcBorders>
              <w:top w:val="nil"/>
              <w:left w:val="nil"/>
              <w:bottom w:val="single" w:color="auto" w:sz="2" w:space="0"/>
              <w:right w:val="single" w:color="auto" w:sz="4" w:space="0"/>
            </w:tcBorders>
            <w:vAlign w:val="center"/>
          </w:tcPr>
          <w:p>
            <w:pPr>
              <w:rPr>
                <w:bCs/>
                <w:sz w:val="24"/>
              </w:rPr>
            </w:pPr>
            <w:r>
              <w:rPr>
                <w:rFonts w:hint="eastAsia"/>
                <w:bCs/>
                <w:sz w:val="24"/>
              </w:rPr>
              <w:t>直接材料费</w:t>
            </w:r>
          </w:p>
        </w:tc>
        <w:tc>
          <w:tcPr>
            <w:tcW w:w="986" w:type="dxa"/>
            <w:tcBorders>
              <w:top w:val="nil"/>
              <w:left w:val="nil"/>
              <w:bottom w:val="single" w:color="auto" w:sz="2" w:space="0"/>
              <w:right w:val="single" w:color="auto" w:sz="4" w:space="0"/>
            </w:tcBorders>
            <w:vAlign w:val="center"/>
          </w:tcPr>
          <w:p>
            <w:pPr>
              <w:rPr>
                <w:bCs/>
                <w:sz w:val="24"/>
              </w:rPr>
            </w:pPr>
          </w:p>
        </w:tc>
        <w:tc>
          <w:tcPr>
            <w:tcW w:w="1132" w:type="dxa"/>
            <w:tcBorders>
              <w:top w:val="nil"/>
              <w:left w:val="nil"/>
              <w:bottom w:val="single" w:color="auto" w:sz="2" w:space="0"/>
              <w:right w:val="single" w:color="auto" w:sz="4" w:space="0"/>
            </w:tcBorders>
            <w:vAlign w:val="center"/>
          </w:tcPr>
          <w:p>
            <w:pPr>
              <w:rPr>
                <w:bCs/>
                <w:sz w:val="24"/>
              </w:rPr>
            </w:pPr>
          </w:p>
        </w:tc>
        <w:tc>
          <w:tcPr>
            <w:tcW w:w="795" w:type="dxa"/>
            <w:tcBorders>
              <w:top w:val="nil"/>
              <w:left w:val="nil"/>
              <w:bottom w:val="single" w:color="auto" w:sz="2" w:space="0"/>
              <w:right w:val="single" w:color="auto" w:sz="4" w:space="0"/>
            </w:tcBorders>
            <w:vAlign w:val="center"/>
          </w:tcPr>
          <w:p>
            <w:pPr>
              <w:rPr>
                <w:bCs/>
                <w:sz w:val="24"/>
              </w:rPr>
            </w:pPr>
          </w:p>
        </w:tc>
        <w:tc>
          <w:tcPr>
            <w:tcW w:w="1080" w:type="dxa"/>
            <w:tcBorders>
              <w:top w:val="nil"/>
              <w:left w:val="nil"/>
              <w:bottom w:val="single" w:color="auto" w:sz="2" w:space="0"/>
              <w:right w:val="single" w:color="auto" w:sz="4" w:space="0"/>
            </w:tcBorders>
            <w:vAlign w:val="center"/>
          </w:tcPr>
          <w:p>
            <w:pPr>
              <w:rPr>
                <w:bCs/>
                <w:sz w:val="24"/>
              </w:rPr>
            </w:pPr>
          </w:p>
        </w:tc>
        <w:tc>
          <w:tcPr>
            <w:tcW w:w="747" w:type="dxa"/>
            <w:tcBorders>
              <w:top w:val="nil"/>
              <w:left w:val="nil"/>
              <w:bottom w:val="single" w:color="auto" w:sz="2" w:space="0"/>
              <w:right w:val="single" w:color="auto" w:sz="4" w:space="0"/>
            </w:tcBorders>
            <w:vAlign w:val="center"/>
          </w:tcPr>
          <w:p>
            <w:pPr>
              <w:rPr>
                <w:bCs/>
                <w:sz w:val="24"/>
              </w:rPr>
            </w:pPr>
          </w:p>
        </w:tc>
        <w:tc>
          <w:tcPr>
            <w:tcW w:w="1120" w:type="dxa"/>
            <w:tcBorders>
              <w:top w:val="nil"/>
              <w:left w:val="nil"/>
              <w:bottom w:val="single" w:color="auto" w:sz="2" w:space="0"/>
              <w:right w:val="single" w:color="auto" w:sz="4" w:space="0"/>
            </w:tcBorders>
            <w:vAlign w:val="center"/>
          </w:tcPr>
          <w:p>
            <w:pPr>
              <w:rPr>
                <w:bCs/>
                <w:sz w:val="24"/>
              </w:rPr>
            </w:pPr>
          </w:p>
        </w:tc>
        <w:tc>
          <w:tcPr>
            <w:tcW w:w="1353" w:type="dxa"/>
            <w:tcBorders>
              <w:top w:val="nil"/>
              <w:left w:val="nil"/>
              <w:bottom w:val="single" w:color="auto" w:sz="2"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single" w:color="auto" w:sz="2" w:space="0"/>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1438" w:type="dxa"/>
            <w:tcBorders>
              <w:top w:val="single" w:color="auto" w:sz="2" w:space="0"/>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single" w:color="auto" w:sz="2" w:space="0"/>
              <w:left w:val="nil"/>
              <w:bottom w:val="single" w:color="auto" w:sz="4" w:space="0"/>
              <w:right w:val="single" w:color="auto" w:sz="4" w:space="0"/>
            </w:tcBorders>
            <w:vAlign w:val="center"/>
          </w:tcPr>
          <w:p>
            <w:pPr>
              <w:rPr>
                <w:bCs/>
                <w:sz w:val="24"/>
              </w:rPr>
            </w:pPr>
          </w:p>
        </w:tc>
        <w:tc>
          <w:tcPr>
            <w:tcW w:w="1132" w:type="dxa"/>
            <w:tcBorders>
              <w:top w:val="single" w:color="auto" w:sz="2" w:space="0"/>
              <w:left w:val="nil"/>
              <w:bottom w:val="single" w:color="auto" w:sz="4" w:space="0"/>
              <w:right w:val="single" w:color="auto" w:sz="4" w:space="0"/>
            </w:tcBorders>
            <w:vAlign w:val="center"/>
          </w:tcPr>
          <w:p>
            <w:pPr>
              <w:rPr>
                <w:bCs/>
                <w:sz w:val="24"/>
              </w:rPr>
            </w:pPr>
          </w:p>
        </w:tc>
        <w:tc>
          <w:tcPr>
            <w:tcW w:w="795" w:type="dxa"/>
            <w:tcBorders>
              <w:top w:val="single" w:color="auto" w:sz="2" w:space="0"/>
              <w:left w:val="nil"/>
              <w:bottom w:val="single" w:color="auto" w:sz="4" w:space="0"/>
              <w:right w:val="single" w:color="auto" w:sz="4" w:space="0"/>
            </w:tcBorders>
            <w:vAlign w:val="center"/>
          </w:tcPr>
          <w:p>
            <w:pPr>
              <w:rPr>
                <w:bCs/>
                <w:sz w:val="24"/>
              </w:rPr>
            </w:pPr>
          </w:p>
        </w:tc>
        <w:tc>
          <w:tcPr>
            <w:tcW w:w="1080" w:type="dxa"/>
            <w:tcBorders>
              <w:top w:val="single" w:color="auto" w:sz="2" w:space="0"/>
              <w:left w:val="nil"/>
              <w:bottom w:val="single" w:color="auto" w:sz="4" w:space="0"/>
              <w:right w:val="single" w:color="auto" w:sz="4" w:space="0"/>
            </w:tcBorders>
            <w:vAlign w:val="center"/>
          </w:tcPr>
          <w:p>
            <w:pPr>
              <w:rPr>
                <w:bCs/>
                <w:sz w:val="24"/>
              </w:rPr>
            </w:pPr>
          </w:p>
        </w:tc>
        <w:tc>
          <w:tcPr>
            <w:tcW w:w="747" w:type="dxa"/>
            <w:tcBorders>
              <w:top w:val="single" w:color="auto" w:sz="2" w:space="0"/>
              <w:left w:val="nil"/>
              <w:bottom w:val="single" w:color="auto" w:sz="4" w:space="0"/>
              <w:right w:val="single" w:color="auto" w:sz="4" w:space="0"/>
            </w:tcBorders>
            <w:vAlign w:val="center"/>
          </w:tcPr>
          <w:p>
            <w:pPr>
              <w:rPr>
                <w:bCs/>
                <w:sz w:val="24"/>
              </w:rPr>
            </w:pPr>
          </w:p>
        </w:tc>
        <w:tc>
          <w:tcPr>
            <w:tcW w:w="1120" w:type="dxa"/>
            <w:tcBorders>
              <w:top w:val="single" w:color="auto" w:sz="2" w:space="0"/>
              <w:left w:val="nil"/>
              <w:bottom w:val="single" w:color="auto" w:sz="4" w:space="0"/>
              <w:right w:val="single" w:color="auto" w:sz="4" w:space="0"/>
            </w:tcBorders>
            <w:vAlign w:val="center"/>
          </w:tcPr>
          <w:p>
            <w:pPr>
              <w:rPr>
                <w:bCs/>
                <w:sz w:val="24"/>
              </w:rPr>
            </w:pPr>
          </w:p>
        </w:tc>
        <w:tc>
          <w:tcPr>
            <w:tcW w:w="1353" w:type="dxa"/>
            <w:tcBorders>
              <w:top w:val="single" w:color="auto" w:sz="2" w:space="0"/>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外购成件费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三</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备件工具费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986" w:type="dxa"/>
            <w:tcBorders>
              <w:top w:val="single" w:color="auto" w:sz="4" w:space="0"/>
              <w:left w:val="nil"/>
              <w:bottom w:val="single" w:color="auto" w:sz="4" w:space="0"/>
              <w:right w:val="single" w:color="auto" w:sz="4" w:space="0"/>
            </w:tcBorders>
            <w:vAlign w:val="center"/>
          </w:tcPr>
          <w:p>
            <w:pPr>
              <w:rPr>
                <w:bCs/>
                <w:sz w:val="24"/>
              </w:rPr>
            </w:pPr>
          </w:p>
        </w:tc>
        <w:tc>
          <w:tcPr>
            <w:tcW w:w="1132" w:type="dxa"/>
            <w:tcBorders>
              <w:top w:val="single" w:color="auto" w:sz="4" w:space="0"/>
              <w:left w:val="nil"/>
              <w:bottom w:val="single" w:color="auto" w:sz="4" w:space="0"/>
              <w:right w:val="single" w:color="auto" w:sz="4" w:space="0"/>
            </w:tcBorders>
            <w:vAlign w:val="center"/>
          </w:tcPr>
          <w:p>
            <w:pPr>
              <w:rPr>
                <w:bCs/>
                <w:sz w:val="24"/>
              </w:rPr>
            </w:pPr>
          </w:p>
        </w:tc>
        <w:tc>
          <w:tcPr>
            <w:tcW w:w="795" w:type="dxa"/>
            <w:tcBorders>
              <w:top w:val="single" w:color="auto" w:sz="4" w:space="0"/>
              <w:left w:val="nil"/>
              <w:bottom w:val="single" w:color="auto" w:sz="4" w:space="0"/>
              <w:right w:val="single" w:color="auto" w:sz="4" w:space="0"/>
            </w:tcBorders>
            <w:vAlign w:val="center"/>
          </w:tcPr>
          <w:p>
            <w:pPr>
              <w:rPr>
                <w:bCs/>
                <w:sz w:val="24"/>
              </w:rPr>
            </w:pPr>
          </w:p>
        </w:tc>
        <w:tc>
          <w:tcPr>
            <w:tcW w:w="1080" w:type="dxa"/>
            <w:tcBorders>
              <w:top w:val="single" w:color="auto" w:sz="4" w:space="0"/>
              <w:left w:val="nil"/>
              <w:bottom w:val="single" w:color="auto" w:sz="4" w:space="0"/>
              <w:right w:val="single" w:color="auto" w:sz="4" w:space="0"/>
            </w:tcBorders>
            <w:vAlign w:val="center"/>
          </w:tcPr>
          <w:p>
            <w:pPr>
              <w:rPr>
                <w:bCs/>
                <w:sz w:val="24"/>
              </w:rPr>
            </w:pPr>
          </w:p>
        </w:tc>
        <w:tc>
          <w:tcPr>
            <w:tcW w:w="747" w:type="dxa"/>
            <w:tcBorders>
              <w:top w:val="single" w:color="auto" w:sz="4" w:space="0"/>
              <w:left w:val="nil"/>
              <w:bottom w:val="single" w:color="auto" w:sz="4" w:space="0"/>
              <w:right w:val="single" w:color="auto" w:sz="4" w:space="0"/>
            </w:tcBorders>
            <w:vAlign w:val="center"/>
          </w:tcPr>
          <w:p>
            <w:pPr>
              <w:rPr>
                <w:bCs/>
                <w:sz w:val="24"/>
              </w:rPr>
            </w:pPr>
          </w:p>
        </w:tc>
        <w:tc>
          <w:tcPr>
            <w:tcW w:w="1120" w:type="dxa"/>
            <w:tcBorders>
              <w:top w:val="single" w:color="auto" w:sz="4" w:space="0"/>
              <w:left w:val="nil"/>
              <w:bottom w:val="single" w:color="auto" w:sz="4" w:space="0"/>
              <w:right w:val="single" w:color="auto" w:sz="4" w:space="0"/>
            </w:tcBorders>
            <w:vAlign w:val="center"/>
          </w:tcPr>
          <w:p>
            <w:pPr>
              <w:rPr>
                <w:bCs/>
                <w:sz w:val="24"/>
              </w:rPr>
            </w:pPr>
          </w:p>
        </w:tc>
        <w:tc>
          <w:tcPr>
            <w:tcW w:w="1353" w:type="dxa"/>
            <w:tcBorders>
              <w:top w:val="single" w:color="auto" w:sz="4" w:space="0"/>
              <w:left w:val="nil"/>
              <w:bottom w:val="single" w:color="auto" w:sz="4" w:space="0"/>
              <w:right w:val="single" w:color="auto" w:sz="4"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9360" w:type="dxa"/>
            <w:gridSpan w:val="9"/>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说明：以一套物资的所用材料为基本单位，项目填列直接材料明细。</w:t>
            </w:r>
          </w:p>
        </w:tc>
      </w:tr>
    </w:tbl>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spacing w:before="120" w:beforeLines="50" w:after="120" w:afterLines="50"/>
        <w:rPr>
          <w:rFonts w:hint="eastAsia" w:eastAsia="黑体"/>
          <w:b w:val="0"/>
          <w:lang w:eastAsia="zh-CN"/>
        </w:rPr>
      </w:pPr>
      <w:bookmarkStart w:id="367" w:name="_Toc10747"/>
      <w:bookmarkStart w:id="368" w:name="_Toc31442"/>
      <w:bookmarkStart w:id="369" w:name="_Toc14107"/>
      <w:bookmarkStart w:id="370" w:name="_Toc24431"/>
      <w:r>
        <w:rPr>
          <w:rFonts w:hint="eastAsia"/>
          <w:b w:val="0"/>
        </w:rPr>
        <w:t>附件</w:t>
      </w:r>
      <w:r>
        <w:rPr>
          <w:b w:val="0"/>
        </w:rPr>
        <w:t>1-4</w:t>
      </w:r>
      <w:r>
        <w:rPr>
          <w:rFonts w:hint="eastAsia"/>
          <w:b w:val="0"/>
        </w:rPr>
        <w:t xml:space="preserve"> 其他与价格有关的材料、文件</w:t>
      </w:r>
      <w:bookmarkEnd w:id="367"/>
      <w:bookmarkEnd w:id="368"/>
      <w:bookmarkEnd w:id="369"/>
      <w:bookmarkEnd w:id="370"/>
      <w:r>
        <w:rPr>
          <w:rFonts w:hint="eastAsia"/>
          <w:b w:val="0"/>
          <w:lang w:eastAsia="zh-CN"/>
        </w:rPr>
        <w:t>（如有）</w:t>
      </w:r>
    </w:p>
    <w:p>
      <w:pPr>
        <w:spacing w:before="120" w:beforeLines="50" w:after="120" w:afterLines="50" w:line="560" w:lineRule="exact"/>
        <w:jc w:val="center"/>
        <w:rPr>
          <w:bCs/>
          <w:sz w:val="36"/>
          <w:szCs w:val="36"/>
          <w:lang w:val="zh-CN"/>
        </w:rPr>
      </w:pPr>
      <w:r>
        <w:rPr>
          <w:rFonts w:hint="eastAsia" w:ascii="黑体" w:hAnsi="黑体" w:eastAsia="黑体" w:cs="黑体"/>
          <w:bCs/>
          <w:sz w:val="36"/>
          <w:szCs w:val="36"/>
        </w:rPr>
        <w:t>其他与价格有关的材料、文件</w:t>
      </w:r>
    </w:p>
    <w:p>
      <w:pPr>
        <w:spacing w:line="360" w:lineRule="auto"/>
        <w:ind w:left="-2" w:leftChars="-1" w:firstLine="1"/>
        <w:jc w:val="center"/>
        <w:rPr>
          <w:bCs/>
          <w:sz w:val="28"/>
          <w:szCs w:val="28"/>
          <w:lang w:val="zh-CN"/>
        </w:rPr>
      </w:pPr>
      <w:r>
        <w:rPr>
          <w:rFonts w:hint="eastAsia"/>
          <w:bCs/>
          <w:sz w:val="28"/>
          <w:szCs w:val="28"/>
          <w:lang w:val="zh-CN"/>
        </w:rPr>
        <w:t>（由投标供应商根据项目需求自行拟定）</w:t>
      </w:r>
    </w:p>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rPr>
      </w:pPr>
      <w:r>
        <w:rPr>
          <w:rFonts w:hint="eastAsia"/>
          <w:b w:val="0"/>
          <w:bCs/>
        </w:rPr>
        <w:t>附件1-</w:t>
      </w:r>
      <w:r>
        <w:rPr>
          <w:rFonts w:hint="eastAsia"/>
          <w:b w:val="0"/>
          <w:bCs/>
          <w:lang w:val="en-US" w:eastAsia="zh-CN"/>
        </w:rPr>
        <w:t>5 报价承诺书</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报价承诺书</w:t>
      </w:r>
    </w:p>
    <w:p>
      <w:pPr>
        <w:spacing w:line="360" w:lineRule="auto"/>
        <w:jc w:val="left"/>
        <w:rPr>
          <w:rFonts w:hint="eastAsia" w:eastAsia="宋体"/>
          <w:b w:val="0"/>
          <w:bCs/>
          <w:sz w:val="28"/>
          <w:szCs w:val="28"/>
          <w:lang w:val="zh-CN"/>
        </w:rPr>
      </w:pPr>
      <w:r>
        <w:rPr>
          <w:rFonts w:hint="eastAsia" w:eastAsia="宋体"/>
          <w:b w:val="0"/>
          <w:bCs/>
          <w:sz w:val="28"/>
          <w:szCs w:val="28"/>
          <w:u w:val="single"/>
          <w:lang w:val="zh-CN"/>
        </w:rPr>
        <w:t xml:space="preserve">  </w:t>
      </w:r>
      <w:r>
        <w:rPr>
          <w:rFonts w:hint="eastAsia" w:eastAsia="宋体"/>
          <w:b w:val="0"/>
          <w:bCs/>
          <w:sz w:val="28"/>
          <w:szCs w:val="28"/>
          <w:u w:val="single"/>
          <w:lang w:val="en-US" w:eastAsia="zh-CN"/>
        </w:rPr>
        <w:t xml:space="preserve">   </w:t>
      </w:r>
      <w:r>
        <w:rPr>
          <w:rFonts w:hint="eastAsia" w:eastAsia="宋体"/>
          <w:b w:val="0"/>
          <w:bCs/>
          <w:sz w:val="28"/>
          <w:szCs w:val="28"/>
          <w:lang w:val="zh-CN"/>
        </w:rPr>
        <w:t>致：</w:t>
      </w:r>
    </w:p>
    <w:p>
      <w:pPr>
        <w:spacing w:line="360" w:lineRule="auto"/>
        <w:ind w:firstLine="560" w:firstLineChars="200"/>
        <w:jc w:val="left"/>
        <w:rPr>
          <w:rFonts w:hint="eastAsia" w:eastAsia="宋体"/>
          <w:b w:val="0"/>
          <w:bCs/>
          <w:sz w:val="28"/>
          <w:szCs w:val="28"/>
          <w:lang w:val="zh-CN"/>
        </w:rPr>
      </w:pPr>
      <w:r>
        <w:rPr>
          <w:rFonts w:hint="eastAsia" w:eastAsia="宋体"/>
          <w:b w:val="0"/>
          <w:bCs/>
          <w:sz w:val="28"/>
          <w:szCs w:val="28"/>
          <w:lang w:val="en-US" w:eastAsia="zh-CN"/>
        </w:rPr>
        <w:t xml:space="preserve"> </w:t>
      </w:r>
      <w:r>
        <w:rPr>
          <w:rFonts w:hint="eastAsia" w:eastAsia="宋体"/>
          <w:b w:val="0"/>
          <w:bCs/>
          <w:sz w:val="28"/>
          <w:szCs w:val="28"/>
          <w:lang w:val="zh-CN"/>
        </w:rPr>
        <w:t>本单位郑重承诺，在本项目的采购过程中，本单位提供的供应商报价为市场公允价格，且价格不高于国内同级单位最低中标（成交）价，不存在任何价格虚高、显失公允或欺诈等不诚信情况。若后续贵单位发现本单位存在上述价格虚高或偏离市场价格、欺诈等不诚信行为的，本单位自愿承担由此带来的一切后果。</w:t>
      </w:r>
    </w:p>
    <w:p>
      <w:pPr>
        <w:ind w:firstLine="5331" w:firstLineChars="1904"/>
        <w:rPr>
          <w:sz w:val="28"/>
          <w:szCs w:val="28"/>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r>
        <w:rPr>
          <w:rFonts w:hint="eastAsia" w:eastAsia="宋体"/>
          <w:b w:val="0"/>
          <w:bCs/>
          <w:sz w:val="28"/>
          <w:szCs w:val="28"/>
          <w:lang w:val="zh-CN"/>
        </w:rPr>
        <w:t>投标人全称</w:t>
      </w:r>
      <w:r>
        <w:rPr>
          <w:rFonts w:hint="eastAsia" w:eastAsia="宋体"/>
          <w:b w:val="0"/>
          <w:bCs/>
          <w:sz w:val="28"/>
          <w:szCs w:val="28"/>
          <w:u w:val="single"/>
          <w:lang w:val="zh-CN"/>
        </w:rPr>
        <w:t xml:space="preserve">：           </w:t>
      </w:r>
      <w:r>
        <w:rPr>
          <w:rFonts w:hint="eastAsia" w:eastAsia="宋体"/>
          <w:b w:val="0"/>
          <w:bCs/>
          <w:sz w:val="28"/>
          <w:szCs w:val="28"/>
          <w:lang w:val="zh-CN"/>
        </w:rPr>
        <w:t>（盖章）</w:t>
      </w:r>
    </w:p>
    <w:p>
      <w:pPr>
        <w:spacing w:line="360" w:lineRule="auto"/>
        <w:ind w:firstLine="2240" w:firstLineChars="800"/>
        <w:jc w:val="left"/>
        <w:rPr>
          <w:rFonts w:hint="eastAsia" w:eastAsia="宋体"/>
          <w:b w:val="0"/>
          <w:bCs/>
          <w:sz w:val="28"/>
          <w:szCs w:val="28"/>
          <w:lang w:val="zh-CN"/>
        </w:rPr>
      </w:pPr>
      <w:r>
        <w:rPr>
          <w:rFonts w:hint="eastAsia" w:eastAsia="宋体"/>
          <w:b w:val="0"/>
          <w:bCs/>
          <w:sz w:val="28"/>
          <w:szCs w:val="28"/>
          <w:lang w:val="zh-CN"/>
        </w:rPr>
        <w:t>法定代表人（或授权代表）</w:t>
      </w:r>
      <w:r>
        <w:rPr>
          <w:rFonts w:hint="eastAsia" w:eastAsia="宋体"/>
          <w:b w:val="0"/>
          <w:bCs/>
          <w:sz w:val="28"/>
          <w:szCs w:val="28"/>
          <w:u w:val="single"/>
          <w:lang w:val="zh-CN"/>
        </w:rPr>
        <w:t xml:space="preserve">：     </w:t>
      </w:r>
      <w:r>
        <w:rPr>
          <w:rFonts w:hint="eastAsia"/>
          <w:b w:val="0"/>
          <w:bCs/>
          <w:sz w:val="28"/>
          <w:szCs w:val="28"/>
          <w:u w:val="single"/>
          <w:lang w:val="en-US" w:eastAsia="zh-CN"/>
        </w:rPr>
        <w:t xml:space="preserve">     </w:t>
      </w:r>
      <w:r>
        <w:rPr>
          <w:rFonts w:hint="eastAsia" w:eastAsia="宋体"/>
          <w:b w:val="0"/>
          <w:bCs/>
          <w:sz w:val="28"/>
          <w:szCs w:val="28"/>
          <w:u w:val="single"/>
          <w:lang w:val="zh-CN"/>
        </w:rPr>
        <w:t xml:space="preserve"> （</w:t>
      </w:r>
      <w:r>
        <w:rPr>
          <w:rFonts w:hint="eastAsia" w:eastAsia="宋体"/>
          <w:b w:val="0"/>
          <w:bCs/>
          <w:sz w:val="28"/>
          <w:szCs w:val="28"/>
          <w:lang w:val="zh-CN"/>
        </w:rPr>
        <w:t>签字）</w:t>
      </w:r>
    </w:p>
    <w:p>
      <w:pPr>
        <w:spacing w:line="360" w:lineRule="auto"/>
        <w:ind w:firstLine="5040" w:firstLineChars="1800"/>
        <w:jc w:val="left"/>
        <w:rPr>
          <w:rFonts w:hint="eastAsia" w:eastAsia="宋体"/>
          <w:b w:val="0"/>
          <w:bCs/>
          <w:sz w:val="28"/>
          <w:szCs w:val="28"/>
          <w:lang w:val="zh-CN"/>
        </w:rPr>
      </w:pPr>
      <w:r>
        <w:rPr>
          <w:rFonts w:hint="eastAsia" w:eastAsia="宋体"/>
          <w:b w:val="0"/>
          <w:bCs/>
          <w:sz w:val="28"/>
          <w:szCs w:val="28"/>
          <w:lang w:val="zh-CN"/>
        </w:rPr>
        <w:t>日期：      年   月   日</w:t>
      </w:r>
    </w:p>
    <w:p>
      <w:pPr>
        <w:rPr>
          <w:sz w:val="28"/>
          <w:szCs w:val="28"/>
        </w:rPr>
      </w:pP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注：</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1.中标通知书发出前，预中标人必须按采购人要求提供报价依据。</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2.医院相关部门进行</w:t>
      </w:r>
      <w:r>
        <w:rPr>
          <w:rFonts w:hint="eastAsia"/>
          <w:b/>
          <w:bCs w:val="0"/>
          <w:sz w:val="28"/>
          <w:szCs w:val="28"/>
          <w:lang w:val="en-US" w:eastAsia="zh-CN"/>
        </w:rPr>
        <w:t>价格复核时，</w:t>
      </w:r>
      <w:r>
        <w:rPr>
          <w:rFonts w:hint="eastAsia" w:eastAsia="宋体"/>
          <w:b/>
          <w:bCs w:val="0"/>
          <w:sz w:val="28"/>
          <w:szCs w:val="28"/>
          <w:lang w:val="zh-CN"/>
        </w:rPr>
        <w:t>若预中标人未按要求提供报价依据或提供的报价依据不足以证明其报价合理性的，则取消其参与后续采购活动的资格，并按规定进行处罚；若预中标人提供的报价依据相对客观合理，则按程序开展后续采购活动。</w:t>
      </w:r>
    </w:p>
    <w:p>
      <w:pPr>
        <w:spacing w:line="240" w:lineRule="auto"/>
        <w:ind w:firstLine="562" w:firstLineChars="200"/>
        <w:jc w:val="left"/>
        <w:rPr>
          <w:rFonts w:hint="eastAsia" w:eastAsia="宋体"/>
          <w:b/>
          <w:bCs w:val="0"/>
          <w:sz w:val="28"/>
          <w:szCs w:val="28"/>
          <w:lang w:val="zh-CN"/>
        </w:rPr>
      </w:pPr>
      <w:r>
        <w:rPr>
          <w:rFonts w:hint="eastAsia"/>
          <w:b/>
          <w:bCs w:val="0"/>
          <w:sz w:val="28"/>
          <w:szCs w:val="28"/>
          <w:lang w:val="en-US" w:eastAsia="zh-CN"/>
        </w:rPr>
        <w:t>3</w:t>
      </w:r>
      <w:r>
        <w:rPr>
          <w:rFonts w:hint="eastAsia" w:eastAsia="宋体"/>
          <w:b/>
          <w:bCs w:val="0"/>
          <w:sz w:val="28"/>
          <w:szCs w:val="28"/>
          <w:lang w:val="zh-CN"/>
        </w:rPr>
        <w:t>.经医院相关部门</w:t>
      </w:r>
      <w:r>
        <w:rPr>
          <w:rFonts w:hint="eastAsia"/>
          <w:b/>
          <w:bCs w:val="0"/>
          <w:sz w:val="28"/>
          <w:szCs w:val="28"/>
          <w:lang w:val="en-US" w:eastAsia="zh-CN"/>
        </w:rPr>
        <w:t>价格复核</w:t>
      </w:r>
      <w:r>
        <w:rPr>
          <w:rFonts w:hint="eastAsia" w:eastAsia="宋体"/>
          <w:b/>
          <w:bCs w:val="0"/>
          <w:sz w:val="28"/>
          <w:szCs w:val="28"/>
          <w:lang w:val="zh-CN"/>
        </w:rPr>
        <w:t>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w:t>
      </w:r>
      <w:r>
        <w:rPr>
          <w:rFonts w:hint="eastAsia"/>
          <w:b/>
          <w:bCs w:val="0"/>
          <w:sz w:val="28"/>
          <w:szCs w:val="28"/>
          <w:lang w:val="en-US" w:eastAsia="zh-CN"/>
        </w:rPr>
        <w:t>价格复核</w:t>
      </w:r>
      <w:r>
        <w:rPr>
          <w:rFonts w:hint="eastAsia" w:eastAsia="宋体"/>
          <w:b/>
          <w:bCs w:val="0"/>
          <w:sz w:val="28"/>
          <w:szCs w:val="28"/>
          <w:lang w:val="zh-CN"/>
        </w:rPr>
        <w:t>结果的，采购人有权重新组织采购，同时对其进行处罚。</w:t>
      </w:r>
    </w:p>
    <w:p>
      <w:pPr>
        <w:spacing w:line="240" w:lineRule="auto"/>
        <w:ind w:firstLine="562" w:firstLineChars="200"/>
        <w:jc w:val="left"/>
        <w:rPr>
          <w:rFonts w:hint="eastAsia" w:eastAsia="宋体"/>
          <w:b/>
          <w:bCs w:val="0"/>
          <w:sz w:val="28"/>
          <w:szCs w:val="28"/>
          <w:lang w:val="zh-CN"/>
        </w:rPr>
        <w:sectPr>
          <w:headerReference r:id="rId10" w:type="default"/>
          <w:pgSz w:w="11906" w:h="16838"/>
          <w:pgMar w:top="1418" w:right="1134" w:bottom="1418" w:left="1418" w:header="851" w:footer="851" w:gutter="0"/>
          <w:pgNumType w:fmt="numberInDash"/>
          <w:cols w:space="720" w:num="1"/>
        </w:sectPr>
      </w:pPr>
      <w:r>
        <w:rPr>
          <w:rFonts w:hint="eastAsia"/>
          <w:b/>
          <w:bCs w:val="0"/>
          <w:sz w:val="28"/>
          <w:szCs w:val="28"/>
          <w:lang w:val="en-US" w:eastAsia="zh-CN"/>
        </w:rPr>
        <w:t>4</w:t>
      </w:r>
      <w:r>
        <w:rPr>
          <w:rFonts w:hint="eastAsia" w:eastAsia="宋体"/>
          <w:b/>
          <w:bCs w:val="0"/>
          <w:sz w:val="28"/>
          <w:szCs w:val="28"/>
          <w:lang w:val="zh-CN"/>
        </w:rPr>
        <w:t>.以上处罚包括纳入黑名单、网上公示、罚款等。</w:t>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r>
        <w:rPr>
          <w:rFonts w:hint="eastAsia"/>
          <w:b w:val="0"/>
          <w:bCs/>
          <w:lang w:val="en-US" w:eastAsia="zh-CN"/>
        </w:rPr>
        <w:t>附件1-6 试剂耗材价格及其他与价格有关的资料、文件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00" w:firstLineChars="200"/>
        <w:textAlignment w:val="auto"/>
        <w:outlineLvl w:val="9"/>
        <w:rPr>
          <w:rFonts w:hint="eastAsia" w:asciiTheme="majorEastAsia" w:hAnsiTheme="majorEastAsia" w:eastAsiaTheme="majorEastAsia" w:cstheme="majorEastAsia"/>
          <w:b w:val="0"/>
          <w:bCs w:val="0"/>
          <w:color w:val="auto"/>
          <w:kern w:val="2"/>
          <w:sz w:val="20"/>
          <w:szCs w:val="20"/>
          <w:lang w:val="en-US" w:eastAsia="zh-CN" w:bidi="ar-SA"/>
        </w:rPr>
      </w:pPr>
      <w:r>
        <w:rPr>
          <w:rFonts w:hint="eastAsia" w:asciiTheme="majorEastAsia" w:hAnsiTheme="majorEastAsia" w:eastAsiaTheme="majorEastAsia" w:cstheme="majorEastAsia"/>
          <w:b w:val="0"/>
          <w:bCs w:val="0"/>
          <w:color w:val="auto"/>
          <w:kern w:val="2"/>
          <w:sz w:val="20"/>
          <w:szCs w:val="20"/>
          <w:lang w:val="en-US" w:eastAsia="zh-CN" w:bidi="ar-SA"/>
        </w:rPr>
        <w:t>1.完成所有诊疗项目时，凡需使用一项（含）以上试剂耗材的，须对照诊疗项目清单完整填写试剂耗材，无论试剂耗材为专机或开放。（开放试剂耗材也需提供唯一报价方案）。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00" w:firstLineChars="200"/>
        <w:textAlignment w:val="auto"/>
        <w:outlineLvl w:val="9"/>
        <w:rPr>
          <w:rFonts w:hint="default" w:asciiTheme="majorEastAsia" w:hAnsiTheme="majorEastAsia" w:eastAsiaTheme="majorEastAsia" w:cstheme="majorEastAsia"/>
          <w:b w:val="0"/>
          <w:bCs w:val="0"/>
          <w:color w:val="auto"/>
          <w:kern w:val="2"/>
          <w:sz w:val="20"/>
          <w:szCs w:val="20"/>
          <w:lang w:val="en-US" w:eastAsia="zh-CN" w:bidi="ar-SA"/>
        </w:rPr>
      </w:pPr>
      <w:r>
        <w:rPr>
          <w:rFonts w:hint="eastAsia" w:asciiTheme="majorEastAsia" w:hAnsiTheme="majorEastAsia" w:eastAsiaTheme="majorEastAsia" w:cstheme="majorEastAsia"/>
          <w:b w:val="0"/>
          <w:bCs w:val="0"/>
          <w:color w:val="auto"/>
          <w:kern w:val="2"/>
          <w:sz w:val="20"/>
          <w:szCs w:val="20"/>
          <w:lang w:val="en-US" w:eastAsia="zh-CN" w:bidi="ar-SA"/>
        </w:rPr>
        <w:t>2.若投标人提供试剂耗材类别与招标文件《试剂耗材调查表》中类别不一致，整体价格分为0分</w:t>
      </w:r>
    </w:p>
    <w:p>
      <w:pPr>
        <w:ind w:firstLine="422"/>
        <w:jc w:val="center"/>
        <w:rPr>
          <w:rFonts w:hint="eastAsia"/>
          <w:b/>
          <w:bCs/>
          <w:sz w:val="36"/>
          <w:szCs w:val="44"/>
        </w:rPr>
      </w:pPr>
      <w:bookmarkStart w:id="371" w:name="_Toc18364"/>
      <w:r>
        <w:rPr>
          <w:rFonts w:hint="eastAsia"/>
          <w:b/>
          <w:bCs/>
          <w:sz w:val="36"/>
          <w:szCs w:val="44"/>
        </w:rPr>
        <w:t>（1）试剂耗材价格表</w:t>
      </w:r>
      <w:bookmarkEnd w:id="371"/>
    </w:p>
    <w:p>
      <w:pPr>
        <w:ind w:firstLine="1265" w:firstLineChars="600"/>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包号：</w:t>
      </w:r>
      <w:r>
        <w:rPr>
          <w:rFonts w:hint="eastAsia"/>
          <w:b/>
          <w:bCs/>
          <w:u w:val="single"/>
        </w:rPr>
        <w:t xml:space="preserve">             </w:t>
      </w:r>
      <w:r>
        <w:rPr>
          <w:rFonts w:hint="eastAsia"/>
          <w:b/>
          <w:bCs/>
        </w:rPr>
        <w:t xml:space="preserve">   </w:t>
      </w:r>
    </w:p>
    <w:tbl>
      <w:tblPr>
        <w:tblStyle w:val="44"/>
        <w:tblW w:w="15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891"/>
        <w:gridCol w:w="602"/>
        <w:gridCol w:w="1569"/>
        <w:gridCol w:w="2190"/>
        <w:gridCol w:w="1144"/>
        <w:gridCol w:w="1144"/>
        <w:gridCol w:w="1015"/>
        <w:gridCol w:w="1377"/>
        <w:gridCol w:w="1021"/>
        <w:gridCol w:w="1677"/>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序号</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诊疗项目名称</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ascii="Times New Roman" w:hAnsi="Times New Roman" w:eastAsia="宋体" w:cs="Times New Roman"/>
                <w:b/>
                <w:bCs/>
              </w:rPr>
            </w:pPr>
            <w:r>
              <w:rPr>
                <w:rFonts w:hint="eastAsia" w:ascii="Times New Roman" w:hAnsi="Times New Roman" w:eastAsia="宋体" w:cs="Times New Roman"/>
                <w:b/>
                <w:bCs/>
              </w:rPr>
              <w:t>对应诊疗项目所需试剂耗材名称</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r>
              <w:rPr>
                <w:rFonts w:hint="eastAsia"/>
                <w:b/>
                <w:bCs/>
              </w:rPr>
              <w:t>耗材类别</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规格型号</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生产厂家</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单位</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医疗器械注册证号</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bCs/>
              </w:rPr>
            </w:pPr>
            <w:r>
              <w:rPr>
                <w:rFonts w:hint="eastAsia"/>
                <w:b/>
                <w:bCs/>
              </w:rPr>
              <w:t>折扣</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折后单人份报价（元）</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val="en-US" w:eastAsia="zh-CN"/>
              </w:rPr>
            </w:pPr>
            <w:r>
              <w:rPr>
                <w:rFonts w:hint="eastAsia"/>
                <w:lang w:val="en-US" w:eastAsia="zh-CN"/>
              </w:rPr>
              <w:t>1</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20" w:lineRule="exact"/>
              <w:jc w:val="both"/>
            </w:pPr>
            <w:r>
              <w:rPr>
                <w:rFonts w:hint="eastAsia" w:ascii="宋体" w:hAnsi="宋体" w:eastAsia="宋体" w:cs="宋体"/>
                <w:kern w:val="2"/>
                <w:sz w:val="21"/>
                <w:szCs w:val="21"/>
              </w:rPr>
              <w:t>经后路颈椎椎间盘减压植骨术</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t>（</w:t>
            </w:r>
            <w:r>
              <w:rPr>
                <w:rFonts w:hint="eastAsia" w:ascii="Times New Roman" w:hAnsi="Times New Roman" w:eastAsia="宋体" w:cs="Times New Roman"/>
                <w:sz w:val="20"/>
                <w:szCs w:val="21"/>
                <w:highlight w:val="yellow"/>
                <w:lang w:eastAsia="zh-CN"/>
              </w:rPr>
              <w:t>有且仅能选择一种</w:t>
            </w:r>
            <w:r>
              <w:rPr>
                <w:rFonts w:hint="eastAsia" w:ascii="Times New Roman" w:hAnsi="Times New Roman" w:eastAsia="宋体" w:cs="Times New Roman"/>
                <w:sz w:val="20"/>
                <w:szCs w:val="21"/>
                <w:lang w:eastAsia="zh-CN"/>
              </w:rPr>
              <w:t>）</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top w:val="single" w:color="auto" w:sz="4" w:space="0"/>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t>（</w:t>
            </w:r>
            <w:r>
              <w:rPr>
                <w:rFonts w:hint="eastAsia" w:ascii="Times New Roman" w:hAnsi="Times New Roman" w:eastAsia="宋体" w:cs="Times New Roman"/>
                <w:sz w:val="20"/>
                <w:szCs w:val="21"/>
                <w:highlight w:val="yellow"/>
              </w:rPr>
              <w:t>有且仅能选择一种</w:t>
            </w:r>
            <w:r>
              <w:rPr>
                <w:rFonts w:hint="eastAsia" w:ascii="Times New Roman" w:hAnsi="Times New Roman" w:eastAsia="宋体" w:cs="Times New Roman"/>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w:t>
            </w:r>
            <w:r>
              <w:rPr>
                <w:rFonts w:hint="eastAsia"/>
                <w:lang w:eastAsia="zh-CN"/>
              </w:rPr>
              <w:t>“</w:t>
            </w:r>
            <w:r>
              <w:rPr>
                <w:rFonts w:hint="eastAsia" w:ascii="宋体" w:hAnsi="宋体" w:eastAsia="宋体" w:cs="宋体"/>
                <w:kern w:val="2"/>
                <w:sz w:val="21"/>
                <w:szCs w:val="21"/>
              </w:rPr>
              <w:t>经后路颈椎椎间盘减压植骨术</w:t>
            </w:r>
            <w:r>
              <w:rPr>
                <w:rFonts w:hint="eastAsia" w:ascii="宋体" w:hAnsi="宋体" w:cs="宋体"/>
                <w:kern w:val="2"/>
                <w:sz w:val="21"/>
                <w:szCs w:val="21"/>
                <w:lang w:eastAsia="zh-CN"/>
              </w:rPr>
              <w:t>”</w:t>
            </w:r>
            <w:r>
              <w:rPr>
                <w:rFonts w:hint="eastAsia"/>
              </w:rPr>
              <w:t>所需试剂耗材整体折后单人份报价           （元）（列明单人份报价核算过程）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val="en-US" w:eastAsia="zh-CN"/>
              </w:rPr>
            </w:pPr>
            <w:r>
              <w:rPr>
                <w:rFonts w:hint="eastAsia"/>
                <w:lang w:val="en-US" w:eastAsia="zh-CN"/>
              </w:rPr>
              <w:t>2</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both"/>
            </w:pPr>
            <w:r>
              <w:rPr>
                <w:rFonts w:hint="eastAsia" w:ascii="宋体" w:hAnsi="宋体" w:eastAsia="宋体" w:cs="宋体"/>
                <w:kern w:val="2"/>
                <w:sz w:val="21"/>
                <w:szCs w:val="21"/>
              </w:rPr>
              <w:t>后路胸椎肿瘤切除术</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w:t>
            </w:r>
            <w:r>
              <w:rPr>
                <w:rFonts w:hint="eastAsia" w:ascii="Times New Roman" w:hAnsi="Times New Roman" w:eastAsia="宋体" w:cs="Times New Roman"/>
                <w:sz w:val="20"/>
                <w:szCs w:val="21"/>
                <w:highlight w:val="yellow"/>
                <w:lang w:eastAsia="zh-CN"/>
              </w:rPr>
              <w:t>有且仅能选择一种</w:t>
            </w:r>
            <w:r>
              <w:rPr>
                <w:rFonts w:hint="eastAsia" w:ascii="Times New Roman" w:hAnsi="Times New Roman" w:eastAsia="宋体" w:cs="Times New Roman"/>
                <w:sz w:val="20"/>
                <w:szCs w:val="21"/>
                <w:lang w:eastAsia="zh-CN"/>
              </w:rPr>
              <w:t>）</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21" w:type="dxa"/>
            <w:tcBorders>
              <w:left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w:t>
            </w:r>
            <w:r>
              <w:rPr>
                <w:rFonts w:hint="eastAsia" w:ascii="Times New Roman" w:hAnsi="Times New Roman" w:eastAsia="宋体" w:cs="Times New Roman"/>
                <w:sz w:val="20"/>
                <w:szCs w:val="21"/>
                <w:highlight w:val="yellow"/>
              </w:rPr>
              <w:t>有且仅能选择一种</w:t>
            </w:r>
            <w:r>
              <w:rPr>
                <w:rFonts w:hint="eastAsia" w:ascii="Times New Roman" w:hAnsi="Times New Roman" w:eastAsia="宋体" w:cs="Times New Roman"/>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w:t>
            </w:r>
            <w:r>
              <w:rPr>
                <w:rFonts w:hint="eastAsia"/>
                <w:lang w:eastAsia="zh-CN"/>
              </w:rPr>
              <w:t>“</w:t>
            </w:r>
            <w:r>
              <w:rPr>
                <w:rFonts w:hint="eastAsia" w:ascii="宋体" w:hAnsi="宋体" w:eastAsia="宋体" w:cs="宋体"/>
                <w:kern w:val="2"/>
                <w:sz w:val="21"/>
                <w:szCs w:val="21"/>
              </w:rPr>
              <w:t>后路胸椎肿瘤切除术</w:t>
            </w:r>
            <w:r>
              <w:rPr>
                <w:rFonts w:hint="eastAsia"/>
                <w:lang w:eastAsia="zh-CN"/>
              </w:rPr>
              <w:t>”</w:t>
            </w:r>
            <w:r>
              <w:rPr>
                <w:rFonts w:hint="eastAsia"/>
              </w:rPr>
              <w:t>所需试剂耗材整体折后单人份报价           （元）（列明单人份报价核算过程）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val="en-US" w:eastAsia="zh-CN"/>
              </w:rPr>
            </w:pPr>
            <w:r>
              <w:rPr>
                <w:rFonts w:hint="eastAsia"/>
                <w:lang w:val="en-US" w:eastAsia="zh-CN"/>
              </w:rPr>
              <w:t>3</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20" w:lineRule="exact"/>
              <w:jc w:val="both"/>
            </w:pPr>
            <w:r>
              <w:rPr>
                <w:rFonts w:hint="eastAsia" w:ascii="宋体" w:hAnsi="宋体" w:eastAsia="宋体" w:cs="宋体"/>
                <w:kern w:val="2"/>
                <w:sz w:val="21"/>
                <w:szCs w:val="21"/>
              </w:rPr>
              <w:t>椎间孔镜下经侧路腰椎间盘髓核摘除术</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w:t>
            </w:r>
            <w:r>
              <w:rPr>
                <w:rFonts w:hint="eastAsia" w:ascii="Times New Roman" w:hAnsi="Times New Roman" w:eastAsia="宋体" w:cs="Times New Roman"/>
                <w:sz w:val="20"/>
                <w:szCs w:val="21"/>
                <w:highlight w:val="yellow"/>
                <w:lang w:eastAsia="zh-CN"/>
              </w:rPr>
              <w:t>有且仅能选择一种</w:t>
            </w:r>
            <w:r>
              <w:rPr>
                <w:rFonts w:hint="eastAsia" w:ascii="Times New Roman" w:hAnsi="Times New Roman" w:eastAsia="宋体" w:cs="Times New Roman"/>
                <w:sz w:val="20"/>
                <w:szCs w:val="21"/>
                <w:lang w:eastAsia="zh-CN"/>
              </w:rPr>
              <w:t>）</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21" w:type="dxa"/>
            <w:tcBorders>
              <w:left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w:t>
            </w:r>
            <w:r>
              <w:rPr>
                <w:rFonts w:hint="eastAsia" w:ascii="Times New Roman" w:hAnsi="Times New Roman" w:eastAsia="宋体" w:cs="Times New Roman"/>
                <w:sz w:val="20"/>
                <w:szCs w:val="21"/>
                <w:highlight w:val="yellow"/>
              </w:rPr>
              <w:t>有且仅能选择一种</w:t>
            </w:r>
            <w:r>
              <w:rPr>
                <w:rFonts w:hint="eastAsia" w:ascii="Times New Roman" w:hAnsi="Times New Roman" w:eastAsia="宋体" w:cs="Times New Roman"/>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w:t>
            </w:r>
            <w:r>
              <w:rPr>
                <w:rFonts w:hint="eastAsia"/>
                <w:lang w:eastAsia="zh-CN"/>
              </w:rPr>
              <w:t>“</w:t>
            </w:r>
            <w:r>
              <w:rPr>
                <w:rFonts w:hint="eastAsia" w:ascii="宋体" w:hAnsi="宋体" w:eastAsia="宋体" w:cs="宋体"/>
                <w:kern w:val="2"/>
                <w:sz w:val="21"/>
                <w:szCs w:val="21"/>
              </w:rPr>
              <w:t>椎间孔镜下经侧路腰椎间盘髓核摘除术</w:t>
            </w:r>
            <w:r>
              <w:rPr>
                <w:rFonts w:hint="eastAsia"/>
                <w:lang w:eastAsia="zh-CN"/>
              </w:rPr>
              <w:t>”</w:t>
            </w:r>
            <w:r>
              <w:rPr>
                <w:rFonts w:hint="eastAsia"/>
              </w:rPr>
              <w:t>所需试剂耗材整体折后单人份报价           （元）（列明单人份报价核算过程）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val="en-US" w:eastAsia="zh-CN"/>
              </w:rPr>
            </w:pPr>
            <w:r>
              <w:rPr>
                <w:rFonts w:hint="eastAsia"/>
                <w:lang w:val="en-US" w:eastAsia="zh-CN"/>
              </w:rPr>
              <w:t>4</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20" w:lineRule="exact"/>
              <w:jc w:val="both"/>
            </w:pPr>
            <w:r>
              <w:rPr>
                <w:rFonts w:hint="eastAsia" w:ascii="宋体" w:hAnsi="宋体" w:eastAsia="宋体" w:cs="宋体"/>
                <w:kern w:val="2"/>
                <w:sz w:val="21"/>
                <w:szCs w:val="21"/>
              </w:rPr>
              <w:t>后路颈椎间盘髓核摘除术</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w:t>
            </w:r>
            <w:r>
              <w:rPr>
                <w:rFonts w:hint="eastAsia" w:ascii="Times New Roman" w:hAnsi="Times New Roman" w:eastAsia="宋体" w:cs="Times New Roman"/>
                <w:sz w:val="20"/>
                <w:szCs w:val="21"/>
                <w:highlight w:val="yellow"/>
                <w:lang w:eastAsia="zh-CN"/>
              </w:rPr>
              <w:t>有且仅能选择一种</w:t>
            </w:r>
            <w:r>
              <w:rPr>
                <w:rFonts w:hint="eastAsia" w:ascii="Times New Roman" w:hAnsi="Times New Roman" w:eastAsia="宋体" w:cs="Times New Roman"/>
                <w:sz w:val="20"/>
                <w:szCs w:val="21"/>
                <w:lang w:eastAsia="zh-CN"/>
              </w:rPr>
              <w:t>）</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21" w:type="dxa"/>
            <w:tcBorders>
              <w:left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w:t>
            </w:r>
            <w:r>
              <w:rPr>
                <w:rFonts w:hint="eastAsia" w:ascii="Times New Roman" w:hAnsi="Times New Roman" w:eastAsia="宋体" w:cs="Times New Roman"/>
                <w:sz w:val="20"/>
                <w:szCs w:val="21"/>
                <w:highlight w:val="yellow"/>
              </w:rPr>
              <w:t>有且仅能选择一种</w:t>
            </w:r>
            <w:r>
              <w:rPr>
                <w:rFonts w:hint="eastAsia" w:ascii="Times New Roman" w:hAnsi="Times New Roman" w:eastAsia="宋体" w:cs="Times New Roman"/>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both"/>
            </w:pPr>
            <w:r>
              <w:rPr>
                <w:rFonts w:hint="eastAsia"/>
              </w:rPr>
              <w:t>小计：诊疗项目</w:t>
            </w:r>
            <w:r>
              <w:rPr>
                <w:rFonts w:hint="eastAsia"/>
                <w:lang w:eastAsia="zh-CN"/>
              </w:rPr>
              <w:t>“</w:t>
            </w:r>
            <w:r>
              <w:rPr>
                <w:rFonts w:hint="eastAsia" w:ascii="宋体" w:hAnsi="宋体" w:eastAsia="宋体" w:cs="宋体"/>
                <w:kern w:val="2"/>
                <w:sz w:val="21"/>
                <w:szCs w:val="21"/>
              </w:rPr>
              <w:t>后路颈椎间盘髓核摘除术</w:t>
            </w:r>
            <w:r>
              <w:rPr>
                <w:rFonts w:hint="eastAsia"/>
                <w:lang w:eastAsia="zh-CN"/>
              </w:rPr>
              <w:t>”</w:t>
            </w:r>
            <w:r>
              <w:rPr>
                <w:rFonts w:hint="eastAsia"/>
              </w:rPr>
              <w:t>所需试剂耗材整体折后单人份报价</w:t>
            </w:r>
            <w:r>
              <w:rPr>
                <w:rFonts w:hint="eastAsia"/>
                <w:u w:val="single"/>
              </w:rPr>
              <w:t xml:space="preserve">           </w:t>
            </w:r>
            <w:r>
              <w:rPr>
                <w:rFonts w:hint="eastAsia"/>
              </w:rPr>
              <w:t>（元）（列明单人份报价核算过程）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val="en-US" w:eastAsia="zh-CN"/>
              </w:rPr>
            </w:pPr>
            <w:r>
              <w:rPr>
                <w:rFonts w:hint="eastAsia"/>
                <w:lang w:val="en-US" w:eastAsia="zh-CN"/>
              </w:rPr>
              <w:t>5</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both"/>
            </w:pPr>
            <w:r>
              <w:rPr>
                <w:rFonts w:hint="eastAsia" w:ascii="宋体" w:hAnsi="宋体" w:eastAsia="宋体" w:cs="宋体"/>
                <w:kern w:val="2"/>
                <w:sz w:val="21"/>
                <w:szCs w:val="21"/>
              </w:rPr>
              <w:t>微创射频消融术</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w:t>
            </w:r>
            <w:r>
              <w:rPr>
                <w:rFonts w:hint="eastAsia" w:ascii="Times New Roman" w:hAnsi="Times New Roman" w:eastAsia="宋体" w:cs="Times New Roman"/>
                <w:sz w:val="20"/>
                <w:szCs w:val="21"/>
                <w:highlight w:val="yellow"/>
                <w:lang w:eastAsia="zh-CN"/>
              </w:rPr>
              <w:t>有且仅能选择一种</w:t>
            </w:r>
            <w:r>
              <w:rPr>
                <w:rFonts w:hint="eastAsia" w:ascii="Times New Roman" w:hAnsi="Times New Roman" w:eastAsia="宋体" w:cs="Times New Roman"/>
                <w:sz w:val="20"/>
                <w:szCs w:val="21"/>
                <w:lang w:eastAsia="zh-CN"/>
              </w:rPr>
              <w:t>）</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21" w:type="dxa"/>
            <w:tcBorders>
              <w:left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w:t>
            </w:r>
            <w:r>
              <w:rPr>
                <w:rFonts w:hint="eastAsia" w:ascii="Times New Roman" w:hAnsi="Times New Roman" w:eastAsia="宋体" w:cs="Times New Roman"/>
                <w:sz w:val="20"/>
                <w:szCs w:val="21"/>
                <w:highlight w:val="yellow"/>
              </w:rPr>
              <w:t>有且仅能选择一种</w:t>
            </w:r>
            <w:r>
              <w:rPr>
                <w:rFonts w:hint="eastAsia" w:ascii="Times New Roman" w:hAnsi="Times New Roman" w:eastAsia="宋体" w:cs="Times New Roman"/>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w:t>
            </w:r>
            <w:r>
              <w:rPr>
                <w:rFonts w:hint="eastAsia"/>
                <w:lang w:eastAsia="zh-CN"/>
              </w:rPr>
              <w:t>“</w:t>
            </w:r>
            <w:r>
              <w:rPr>
                <w:rFonts w:hint="eastAsia" w:ascii="宋体" w:hAnsi="宋体" w:eastAsia="宋体" w:cs="宋体"/>
                <w:kern w:val="2"/>
                <w:sz w:val="21"/>
                <w:szCs w:val="21"/>
              </w:rPr>
              <w:t>微创射频消融术</w:t>
            </w:r>
            <w:r>
              <w:rPr>
                <w:rFonts w:hint="eastAsia"/>
                <w:lang w:eastAsia="zh-CN"/>
              </w:rPr>
              <w:t>”</w:t>
            </w:r>
            <w:r>
              <w:rPr>
                <w:rFonts w:hint="eastAsia"/>
              </w:rPr>
              <w:t>所需试剂耗材整体折后单人份报价           （元）（列明单人份报价核算过程）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val="en-US" w:eastAsia="zh-CN"/>
              </w:rPr>
            </w:pPr>
            <w:r>
              <w:rPr>
                <w:rFonts w:hint="eastAsia"/>
                <w:lang w:val="en-US" w:eastAsia="zh-CN"/>
              </w:rPr>
              <w:t>6</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both"/>
            </w:pPr>
            <w:r>
              <w:rPr>
                <w:rFonts w:hint="eastAsia" w:ascii="宋体" w:hAnsi="宋体" w:eastAsia="宋体" w:cs="宋体"/>
                <w:kern w:val="2"/>
                <w:sz w:val="21"/>
                <w:szCs w:val="21"/>
              </w:rPr>
              <w:t>关节置换术</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w:t>
            </w:r>
            <w:r>
              <w:rPr>
                <w:rFonts w:hint="eastAsia" w:ascii="Times New Roman" w:hAnsi="Times New Roman" w:eastAsia="宋体" w:cs="Times New Roman"/>
                <w:sz w:val="20"/>
                <w:szCs w:val="21"/>
                <w:highlight w:val="yellow"/>
                <w:lang w:eastAsia="zh-CN"/>
              </w:rPr>
              <w:t>有且仅能选择一种</w:t>
            </w:r>
            <w:r>
              <w:rPr>
                <w:rFonts w:hint="eastAsia" w:ascii="Times New Roman" w:hAnsi="Times New Roman" w:eastAsia="宋体" w:cs="Times New Roman"/>
                <w:sz w:val="20"/>
                <w:szCs w:val="21"/>
                <w:lang w:eastAsia="zh-CN"/>
              </w:rPr>
              <w:t>）</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21" w:type="dxa"/>
            <w:tcBorders>
              <w:left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w:t>
            </w:r>
            <w:r>
              <w:rPr>
                <w:rFonts w:hint="eastAsia" w:ascii="Times New Roman" w:hAnsi="Times New Roman" w:eastAsia="宋体" w:cs="Times New Roman"/>
                <w:sz w:val="20"/>
                <w:szCs w:val="21"/>
                <w:highlight w:val="yellow"/>
              </w:rPr>
              <w:t>有且仅能选择一种</w:t>
            </w:r>
            <w:r>
              <w:rPr>
                <w:rFonts w:hint="eastAsia" w:ascii="Times New Roman" w:hAnsi="Times New Roman" w:eastAsia="宋体" w:cs="Times New Roman"/>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w:t>
            </w:r>
            <w:r>
              <w:rPr>
                <w:rFonts w:hint="eastAsia"/>
                <w:lang w:eastAsia="zh-CN"/>
              </w:rPr>
              <w:t>“</w:t>
            </w:r>
            <w:r>
              <w:rPr>
                <w:rFonts w:hint="eastAsia" w:ascii="宋体" w:hAnsi="宋体" w:eastAsia="宋体" w:cs="宋体"/>
                <w:kern w:val="2"/>
                <w:sz w:val="21"/>
                <w:szCs w:val="21"/>
              </w:rPr>
              <w:t>关节置换术</w:t>
            </w:r>
            <w:r>
              <w:rPr>
                <w:rFonts w:hint="eastAsia"/>
                <w:lang w:eastAsia="zh-CN"/>
              </w:rPr>
              <w:t>”</w:t>
            </w:r>
            <w:r>
              <w:rPr>
                <w:rFonts w:hint="eastAsia"/>
              </w:rPr>
              <w:t>所需试剂耗材整体折后单人份报价           （元）（列明单人份报价核算过程）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val="en-US" w:eastAsia="zh-CN"/>
              </w:rPr>
            </w:pPr>
            <w:r>
              <w:rPr>
                <w:rFonts w:hint="eastAsia"/>
                <w:lang w:val="en-US" w:eastAsia="zh-CN"/>
              </w:rPr>
              <w:t>7</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snapToGrid/>
              <w:spacing w:after="0" w:line="320" w:lineRule="exact"/>
              <w:jc w:val="both"/>
            </w:pPr>
            <w:r>
              <w:rPr>
                <w:rFonts w:hint="eastAsia" w:ascii="宋体" w:hAnsi="宋体" w:eastAsia="宋体" w:cs="宋体"/>
                <w:kern w:val="2"/>
                <w:sz w:val="21"/>
                <w:szCs w:val="21"/>
              </w:rPr>
              <w:t>椎间孔镜辅助下腰椎融合术</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w:t>
            </w:r>
            <w:r>
              <w:rPr>
                <w:rFonts w:hint="eastAsia" w:cs="Times New Roman"/>
                <w:sz w:val="20"/>
                <w:szCs w:val="21"/>
                <w:lang w:eastAsia="zh-CN"/>
              </w:rPr>
              <w:t>使用</w:t>
            </w:r>
            <w:r>
              <w:rPr>
                <w:rFonts w:hint="eastAsia" w:ascii="Times New Roman" w:hAnsi="Times New Roman" w:eastAsia="宋体" w:cs="Times New Roman"/>
                <w:sz w:val="20"/>
                <w:szCs w:val="21"/>
                <w:lang w:eastAsia="zh-CN"/>
              </w:rPr>
              <w:t>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lang w:eastAsia="zh-CN"/>
              </w:rPr>
              <w:t>（</w:t>
            </w:r>
            <w:r>
              <w:rPr>
                <w:rFonts w:hint="eastAsia" w:ascii="Times New Roman" w:hAnsi="Times New Roman" w:eastAsia="宋体" w:cs="Times New Roman"/>
                <w:sz w:val="20"/>
                <w:szCs w:val="21"/>
                <w:highlight w:val="yellow"/>
                <w:lang w:eastAsia="zh-CN"/>
              </w:rPr>
              <w:t>有且仅能选择一种</w:t>
            </w:r>
            <w:r>
              <w:rPr>
                <w:rFonts w:hint="eastAsia" w:ascii="Times New Roman" w:hAnsi="Times New Roman" w:eastAsia="宋体" w:cs="Times New Roman"/>
                <w:sz w:val="20"/>
                <w:szCs w:val="21"/>
                <w:lang w:eastAsia="zh-CN"/>
              </w:rPr>
              <w:t>）</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021" w:type="dxa"/>
            <w:tcBorders>
              <w:left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ind w:firstLine="0" w:firstLineChars="0"/>
              <w:jc w:val="center"/>
              <w:rPr>
                <w:rFonts w:ascii="Times New Roman" w:hAnsi="Times New Roman" w:eastAsia="宋体" w:cs="Times New Roman"/>
                <w:kern w:val="2"/>
                <w:sz w:val="21"/>
                <w:szCs w:val="24"/>
                <w:lang w:val="en-US" w:eastAsia="zh-CN" w:bidi="ar-SA"/>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sz w:val="20"/>
                <w:szCs w:val="21"/>
              </w:rPr>
              <w:t>（</w:t>
            </w:r>
            <w:r>
              <w:rPr>
                <w:rFonts w:hint="eastAsia" w:ascii="Times New Roman" w:hAnsi="Times New Roman" w:eastAsia="宋体" w:cs="Times New Roman"/>
                <w:sz w:val="20"/>
                <w:szCs w:val="21"/>
                <w:highlight w:val="yellow"/>
              </w:rPr>
              <w:t>有且仅能选择一种</w:t>
            </w:r>
            <w:r>
              <w:rPr>
                <w:rFonts w:hint="eastAsia" w:ascii="Times New Roman" w:hAnsi="Times New Roman" w:eastAsia="宋体" w:cs="Times New Roman"/>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w:t>
            </w:r>
            <w:r>
              <w:rPr>
                <w:rFonts w:hint="eastAsia"/>
                <w:lang w:eastAsia="zh-CN"/>
              </w:rPr>
              <w:t>“</w:t>
            </w:r>
            <w:r>
              <w:rPr>
                <w:rFonts w:hint="eastAsia" w:ascii="宋体" w:hAnsi="宋体" w:eastAsia="宋体" w:cs="宋体"/>
                <w:kern w:val="2"/>
                <w:sz w:val="21"/>
                <w:szCs w:val="21"/>
              </w:rPr>
              <w:t>椎间孔镜辅助下腰椎融合术</w:t>
            </w:r>
            <w:r>
              <w:rPr>
                <w:rFonts w:hint="eastAsia"/>
                <w:lang w:eastAsia="zh-CN"/>
              </w:rPr>
              <w:t>”</w:t>
            </w:r>
            <w:r>
              <w:rPr>
                <w:rFonts w:hint="eastAsia"/>
              </w:rPr>
              <w:t>所需试剂耗材整体折后单人份报价</w:t>
            </w:r>
            <w:r>
              <w:rPr>
                <w:rFonts w:hint="eastAsia"/>
                <w:u w:val="single"/>
              </w:rPr>
              <w:t xml:space="preserve">           </w:t>
            </w:r>
            <w:r>
              <w:rPr>
                <w:rFonts w:hint="eastAsia"/>
              </w:rPr>
              <w:t>（元）（列明单人份报价核算过程）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lang w:val="en-US" w:eastAsia="zh-CN"/>
              </w:rPr>
            </w:pPr>
          </w:p>
        </w:tc>
        <w:tc>
          <w:tcPr>
            <w:tcW w:w="13920" w:type="dxa"/>
            <w:gridSpan w:val="10"/>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备注：投标人需填写上述表格中诊疗项目的小计及合计金额。</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1.我方上述表格中所填报的所有试剂完全满足本项目所对应诊疗项目的要求，特此承诺。（投标人根据实际情况自行选择方式适用）</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2.可根据采购设备对应诊疗项目数增加表格；</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3.如诊疗项目对应所需多个试剂耗材请完整填写，如未能详尽，后果自负；</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4.如多个诊疗项目对应试剂耗材有重复，请重复填写；</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5.如招标文件中未标注年用量项目，年用量按1计算；</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6.此表信息仅作为报价依据，不作为合同签订标的；</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7.试剂耗材后期若需引进，以我院与生产厂家授权试剂耗材供应商实际签订价格为准，但不得高于此次报价。</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0"/>
              <w:jc w:val="left"/>
              <w:textAlignment w:val="baseline"/>
              <w:rPr>
                <w:rFonts w:hint="eastAsia" w:ascii="Times New Roman" w:hAnsi="Times New Roman" w:cs="Times New Roman"/>
                <w:lang w:val="en-US" w:eastAsia="zh-CN"/>
              </w:rPr>
            </w:pPr>
            <w:r>
              <w:rPr>
                <w:rFonts w:hint="eastAsia" w:ascii="Times New Roman" w:hAnsi="Times New Roman" w:cs="Times New Roman"/>
                <w:color w:val="FF0000"/>
                <w:lang w:val="en-US" w:eastAsia="zh-CN"/>
              </w:rPr>
              <w:t>8.诊疗项目只能提供唯一报价方案，否则视为无效投标。</w:t>
            </w:r>
          </w:p>
        </w:tc>
      </w:tr>
    </w:tbl>
    <w:p>
      <w:pPr>
        <w:sectPr>
          <w:pgSz w:w="16838" w:h="11906" w:orient="landscape"/>
          <w:pgMar w:top="1417" w:right="1417" w:bottom="1134" w:left="1417" w:header="851" w:footer="850" w:gutter="0"/>
          <w:pgNumType w:fmt="numberInDash"/>
          <w:cols w:space="720" w:num="1"/>
          <w:docGrid w:linePitch="1" w:charSpace="0"/>
        </w:sectPr>
      </w:pPr>
    </w:p>
    <w:p>
      <w:pPr>
        <w:ind w:firstLine="422"/>
        <w:jc w:val="center"/>
        <w:rPr>
          <w:rFonts w:hint="eastAsia"/>
          <w:b/>
          <w:bCs/>
          <w:sz w:val="36"/>
          <w:szCs w:val="44"/>
        </w:rPr>
      </w:pPr>
      <w:r>
        <w:rPr>
          <w:rFonts w:hint="eastAsia"/>
          <w:b/>
          <w:bCs/>
          <w:sz w:val="36"/>
          <w:szCs w:val="44"/>
        </w:rPr>
        <w:t>（2）投标人承诺</w:t>
      </w:r>
    </w:p>
    <w:p>
      <w:pPr>
        <w:ind w:firstLine="422"/>
        <w:rPr>
          <w:rFonts w:hint="eastAsia"/>
          <w:b/>
          <w:bCs/>
        </w:rPr>
      </w:pPr>
    </w:p>
    <w:p>
      <w:pPr>
        <w:rPr>
          <w:rFonts w:hint="eastAsia"/>
          <w:b/>
          <w:bCs/>
        </w:rPr>
      </w:pPr>
      <w:r>
        <w:rPr>
          <w:rFonts w:hint="eastAsia"/>
          <w:b/>
          <w:bCs/>
        </w:rPr>
        <w:t>我方</w:t>
      </w:r>
      <w:r>
        <w:rPr>
          <w:rFonts w:hint="eastAsia"/>
          <w:b/>
          <w:bCs/>
          <w:u w:val="single"/>
        </w:rPr>
        <w:t>（请填写：“愿意”或“不愿意”）</w:t>
      </w:r>
      <w:r>
        <w:rPr>
          <w:rFonts w:hint="eastAsia"/>
          <w:b/>
          <w:bCs/>
        </w:rPr>
        <w:t>承诺终身免费提供本产品所涉及的全部配套试剂耗材。</w:t>
      </w:r>
    </w:p>
    <w:p>
      <w:pPr>
        <w:pStyle w:val="17"/>
        <w:ind w:firstLine="0"/>
        <w:rPr>
          <w:rFonts w:hint="eastAsia"/>
        </w:rPr>
      </w:pPr>
    </w:p>
    <w:p>
      <w:pPr>
        <w:ind w:firstLine="2318" w:firstLineChars="1104"/>
        <w:jc w:val="center"/>
        <w:rPr>
          <w:rFonts w:hint="eastAsia"/>
        </w:rPr>
      </w:pPr>
      <w:r>
        <w:rPr>
          <w:rFonts w:hint="eastAsia"/>
        </w:rPr>
        <w:t xml:space="preserve">                      投标人全称：</w:t>
      </w:r>
      <w:r>
        <w:rPr>
          <w:rFonts w:hint="eastAsia"/>
          <w:u w:val="single"/>
        </w:rPr>
        <w:t xml:space="preserve">                         </w:t>
      </w:r>
      <w:r>
        <w:rPr>
          <w:rFonts w:hint="eastAsia"/>
        </w:rPr>
        <w:t>（盖章）</w:t>
      </w:r>
    </w:p>
    <w:p>
      <w:pPr>
        <w:ind w:firstLine="2318" w:firstLineChars="1104"/>
        <w:jc w:val="right"/>
      </w:pPr>
      <w:r>
        <w:rPr>
          <w:rFonts w:hint="eastAsia"/>
        </w:rPr>
        <w:t>法定代表人（或授权代表）：</w:t>
      </w:r>
      <w:r>
        <w:rPr>
          <w:rFonts w:hint="eastAsia"/>
          <w:u w:val="single"/>
        </w:rPr>
        <w:t xml:space="preserve">           </w:t>
      </w:r>
      <w:r>
        <w:rPr>
          <w:rFonts w:hint="eastAsia"/>
        </w:rPr>
        <w:t>（签字）</w:t>
      </w:r>
    </w:p>
    <w:p>
      <w:pPr>
        <w:ind w:firstLine="2318" w:firstLineChars="1104"/>
        <w:jc w:val="center"/>
        <w:rPr>
          <w:rFonts w:hint="eastAsia"/>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jc w:val="center"/>
        <w:rPr>
          <w:rFonts w:hint="eastAsia"/>
          <w:b/>
          <w:bCs/>
          <w:sz w:val="36"/>
          <w:szCs w:val="44"/>
        </w:rPr>
      </w:pPr>
      <w:r>
        <w:rPr>
          <w:rFonts w:hint="eastAsia"/>
          <w:b/>
          <w:bCs/>
          <w:sz w:val="36"/>
          <w:szCs w:val="44"/>
        </w:rPr>
        <w:t>（3）其他与价格有关的资料、文件</w:t>
      </w:r>
    </w:p>
    <w:p>
      <w:pPr>
        <w:rPr>
          <w:rFonts w:hint="eastAsia"/>
        </w:rPr>
      </w:pPr>
      <w:r>
        <w:rPr>
          <w:rFonts w:hint="eastAsia"/>
        </w:rPr>
        <w:t>注：投标人认为需提交的其他与价格有关的资料、文件，在此提供即可。</w:t>
      </w:r>
    </w:p>
    <w:p>
      <w:pPr>
        <w:pStyle w:val="17"/>
        <w:ind w:left="0" w:leftChars="0" w:firstLine="0" w:firstLineChars="0"/>
        <w:rPr>
          <w:rFonts w:hint="eastAsia" w:eastAsia="宋体"/>
          <w:lang w:val="en-US" w:eastAsia="zh-CN"/>
        </w:rPr>
        <w:sectPr>
          <w:headerReference r:id="rId11" w:type="default"/>
          <w:pgSz w:w="11906" w:h="16838"/>
          <w:pgMar w:top="1418" w:right="1134" w:bottom="1418" w:left="1418" w:header="851" w:footer="851" w:gutter="0"/>
          <w:pgNumType w:fmt="numberInDash"/>
          <w:cols w:space="720" w:num="1"/>
        </w:sectPr>
      </w:pPr>
    </w:p>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372" w:name="_Toc16763"/>
      <w:r>
        <w:rPr>
          <w:rFonts w:hint="eastAsia"/>
          <w:b w:val="0"/>
          <w:bCs/>
          <w:lang w:val="en-US" w:eastAsia="zh-CN"/>
        </w:rPr>
        <w:t>附件1-7</w:t>
      </w:r>
      <w:bookmarkEnd w:id="372"/>
      <w:r>
        <w:rPr>
          <w:rFonts w:hint="eastAsia"/>
          <w:b w:val="0"/>
          <w:bCs/>
          <w:lang w:val="en-US" w:eastAsia="zh-CN"/>
        </w:rPr>
        <w:t xml:space="preserve"> 分项报价表</w:t>
      </w:r>
    </w:p>
    <w:p>
      <w:pPr>
        <w:pStyle w:val="163"/>
      </w:pPr>
      <w:r>
        <w:rPr>
          <w:rFonts w:hint="eastAsia"/>
        </w:rPr>
        <w:t>分项报价表</w:t>
      </w:r>
    </w:p>
    <w:p>
      <w:pPr>
        <w:rPr>
          <w:rFonts w:hint="eastAsia"/>
          <w:b/>
          <w:bCs/>
          <w:u w:val="single"/>
        </w:rPr>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r>
        <w:rPr>
          <w:sz w:val="28"/>
          <w:szCs w:val="28"/>
        </w:rPr>
        <w:t>金额单位：元</w:t>
      </w:r>
    </w:p>
    <w:tbl>
      <w:tblPr>
        <w:tblStyle w:val="44"/>
        <w:tblW w:w="13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47"/>
        <w:gridCol w:w="1308"/>
        <w:gridCol w:w="1856"/>
        <w:gridCol w:w="1239"/>
        <w:gridCol w:w="1201"/>
        <w:gridCol w:w="1203"/>
        <w:gridCol w:w="1203"/>
        <w:gridCol w:w="160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1002" w:type="dxa"/>
            <w:noWrap w:val="0"/>
            <w:vAlign w:val="center"/>
          </w:tcPr>
          <w:p>
            <w:r>
              <w:t>序号</w:t>
            </w:r>
          </w:p>
        </w:tc>
        <w:tc>
          <w:tcPr>
            <w:tcW w:w="1847" w:type="dxa"/>
            <w:noWrap/>
            <w:vAlign w:val="center"/>
          </w:tcPr>
          <w:p>
            <w:r>
              <w:t>货物名称</w:t>
            </w:r>
          </w:p>
        </w:tc>
        <w:tc>
          <w:tcPr>
            <w:tcW w:w="1308" w:type="dxa"/>
            <w:noWrap w:val="0"/>
            <w:vAlign w:val="center"/>
          </w:tcPr>
          <w:p>
            <w:r>
              <w:t>国别及品牌</w:t>
            </w:r>
          </w:p>
        </w:tc>
        <w:tc>
          <w:tcPr>
            <w:tcW w:w="1856" w:type="dxa"/>
            <w:noWrap w:val="0"/>
            <w:vAlign w:val="center"/>
          </w:tcPr>
          <w:p>
            <w:r>
              <w:t>规格型号</w:t>
            </w:r>
          </w:p>
        </w:tc>
        <w:tc>
          <w:tcPr>
            <w:tcW w:w="1239" w:type="dxa"/>
            <w:noWrap/>
            <w:vAlign w:val="center"/>
          </w:tcPr>
          <w:p>
            <w:r>
              <w:t>数量</w:t>
            </w:r>
          </w:p>
        </w:tc>
        <w:tc>
          <w:tcPr>
            <w:tcW w:w="1201" w:type="dxa"/>
            <w:noWrap/>
            <w:vAlign w:val="center"/>
          </w:tcPr>
          <w:p>
            <w:r>
              <w:t>单位</w:t>
            </w:r>
          </w:p>
        </w:tc>
        <w:tc>
          <w:tcPr>
            <w:tcW w:w="1203" w:type="dxa"/>
            <w:noWrap/>
            <w:vAlign w:val="center"/>
          </w:tcPr>
          <w:p>
            <w:r>
              <w:t>单价</w:t>
            </w:r>
          </w:p>
        </w:tc>
        <w:tc>
          <w:tcPr>
            <w:tcW w:w="1203" w:type="dxa"/>
            <w:noWrap/>
            <w:vAlign w:val="center"/>
          </w:tcPr>
          <w:p>
            <w:r>
              <w:t>总价</w:t>
            </w:r>
          </w:p>
        </w:tc>
        <w:tc>
          <w:tcPr>
            <w:tcW w:w="1602" w:type="dxa"/>
            <w:noWrap/>
            <w:vAlign w:val="center"/>
          </w:tcPr>
          <w:p>
            <w:r>
              <w:t>原产地</w:t>
            </w:r>
          </w:p>
        </w:tc>
        <w:tc>
          <w:tcPr>
            <w:tcW w:w="1394" w:type="dxa"/>
            <w:noWrap w:val="0"/>
            <w:vAlign w:val="center"/>
          </w:tcPr>
          <w:p>
            <w: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bl>
    <w:p>
      <w:pPr>
        <w:ind w:firstLine="420"/>
        <w:rPr>
          <w:rFonts w:hint="eastAsia"/>
        </w:rPr>
      </w:pPr>
      <w:r>
        <w:rPr>
          <w:rFonts w:hint="eastAsia"/>
        </w:rPr>
        <w:t>说明：1.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17"/>
      </w:pPr>
      <w:r>
        <w:rPr>
          <w:rFonts w:hint="eastAsia"/>
        </w:rPr>
        <w:t>2.</w:t>
      </w:r>
      <w:r>
        <w:rPr>
          <w:rFonts w:hint="eastAsia"/>
          <w:b/>
          <w:bCs/>
        </w:rPr>
        <w:t>分项报价表</w:t>
      </w:r>
      <w:r>
        <w:rPr>
          <w:rFonts w:hint="eastAsia"/>
        </w:rPr>
        <w:t>中的与</w:t>
      </w:r>
      <w:r>
        <w:rPr>
          <w:rFonts w:hint="eastAsia"/>
          <w:b/>
          <w:bCs/>
        </w:rPr>
        <w:t>交货清单</w:t>
      </w:r>
      <w:r>
        <w:rPr>
          <w:rFonts w:hint="eastAsia"/>
        </w:rPr>
        <w:t>中“</w:t>
      </w:r>
      <w:r>
        <w:rPr>
          <w:rFonts w:hint="eastAsia"/>
          <w:b/>
          <w:bCs/>
        </w:rPr>
        <w:t>货物名称</w:t>
      </w:r>
      <w:r>
        <w:rPr>
          <w:rFonts w:hint="eastAsia"/>
        </w:rPr>
        <w:t>”一致</w:t>
      </w:r>
    </w:p>
    <w:p>
      <w:pPr>
        <w:pStyle w:val="16"/>
        <w:ind w:firstLine="420"/>
      </w:pPr>
    </w:p>
    <w:p>
      <w:pPr>
        <w:ind w:firstLine="560" w:firstLineChars="200"/>
        <w:rPr>
          <w:sz w:val="28"/>
          <w:szCs w:val="28"/>
        </w:rPr>
      </w:pPr>
      <w:r>
        <w:rPr>
          <w:sz w:val="28"/>
          <w:szCs w:val="28"/>
        </w:rPr>
        <w:t>投标供应商全称：（盖章）                               法定代表人（或授权代表）：（签字）</w:t>
      </w:r>
    </w:p>
    <w:p>
      <w:pPr>
        <w:ind w:firstLine="8169" w:firstLineChars="3890"/>
        <w:sectPr>
          <w:pgSz w:w="16838" w:h="11906" w:orient="landscape"/>
          <w:pgMar w:top="1418" w:right="1418" w:bottom="1134" w:left="1418" w:header="851" w:footer="851" w:gutter="0"/>
          <w:pgNumType w:fmt="numberInDash"/>
          <w:cols w:space="720" w:num="1"/>
        </w:sect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jc w:val="center"/>
        <w:rPr>
          <w:rFonts w:hint="eastAsia" w:ascii="方正小标宋简体" w:eastAsia="方正小标宋简体"/>
          <w:bCs/>
          <w:sz w:val="48"/>
          <w:szCs w:val="48"/>
        </w:rPr>
      </w:pPr>
    </w:p>
    <w:p>
      <w:pPr>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hint="eastAsia" w:ascii="方正小标宋简体" w:eastAsia="方正小标宋简体"/>
          <w:bCs/>
          <w:sz w:val="84"/>
          <w:szCs w:val="84"/>
        </w:rPr>
      </w:pP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373" w:name="_Toc25164"/>
      <w:bookmarkStart w:id="374" w:name="_Toc20299"/>
      <w:bookmarkStart w:id="375" w:name="_Toc16690"/>
      <w:r>
        <w:rPr>
          <w:rFonts w:hint="eastAsia" w:ascii="方正小标宋简体" w:eastAsia="方正小标宋简体"/>
          <w:b w:val="0"/>
          <w:sz w:val="52"/>
          <w:szCs w:val="52"/>
        </w:rPr>
        <w:t>二、商务技术文件</w:t>
      </w:r>
      <w:bookmarkEnd w:id="373"/>
      <w:bookmarkEnd w:id="374"/>
      <w:bookmarkEnd w:id="375"/>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pStyle w:val="6"/>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bookmarkStart w:id="376" w:name="_Toc9050"/>
      <w:bookmarkStart w:id="377" w:name="_Toc32100"/>
      <w:bookmarkStart w:id="378" w:name="_Toc32372"/>
      <w:bookmarkStart w:id="379" w:name="_Toc24480"/>
    </w:p>
    <w:p>
      <w:pPr>
        <w:pStyle w:val="6"/>
        <w:spacing w:before="120" w:beforeLines="50" w:after="120" w:afterLines="50"/>
        <w:rPr>
          <w:b w:val="0"/>
          <w:lang w:val="zh-CN"/>
        </w:rPr>
      </w:pPr>
      <w:r>
        <w:rPr>
          <w:rFonts w:hint="eastAsia"/>
          <w:b w:val="0"/>
        </w:rPr>
        <w:t>附件</w:t>
      </w:r>
      <w:r>
        <w:rPr>
          <w:b w:val="0"/>
        </w:rPr>
        <w:t>2-1</w:t>
      </w:r>
      <w:r>
        <w:rPr>
          <w:rFonts w:hint="eastAsia"/>
          <w:b w:val="0"/>
        </w:rPr>
        <w:t>符合性审查索引表</w:t>
      </w:r>
      <w:bookmarkEnd w:id="376"/>
      <w:bookmarkEnd w:id="377"/>
      <w:bookmarkEnd w:id="378"/>
      <w:bookmarkEnd w:id="37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01" w:type="pct"/>
            <w:vMerge w:val="restart"/>
            <w:vAlign w:val="center"/>
          </w:tcPr>
          <w:p>
            <w:pPr>
              <w:jc w:val="center"/>
              <w:rPr>
                <w:rFonts w:ascii="宋体" w:hAnsi="宋体"/>
                <w:bCs/>
                <w:sz w:val="24"/>
              </w:rPr>
            </w:pPr>
            <w:r>
              <w:rPr>
                <w:rFonts w:hint="eastAsia" w:ascii="宋体" w:hAnsi="宋体"/>
                <w:bCs/>
                <w:sz w:val="24"/>
              </w:rPr>
              <w:t>序号</w:t>
            </w:r>
          </w:p>
        </w:tc>
        <w:tc>
          <w:tcPr>
            <w:tcW w:w="3036" w:type="pct"/>
            <w:vMerge w:val="restart"/>
            <w:vAlign w:val="center"/>
          </w:tcPr>
          <w:p>
            <w:pPr>
              <w:jc w:val="center"/>
              <w:rPr>
                <w:bCs/>
                <w:sz w:val="24"/>
              </w:rPr>
            </w:pPr>
            <w:r>
              <w:rPr>
                <w:rFonts w:hint="eastAsia"/>
                <w:bCs/>
                <w:sz w:val="24"/>
              </w:rPr>
              <w:t>符合性审查项目</w:t>
            </w:r>
          </w:p>
        </w:tc>
        <w:tc>
          <w:tcPr>
            <w:tcW w:w="1463" w:type="pct"/>
            <w:vMerge w:val="restart"/>
            <w:vAlign w:val="center"/>
          </w:tcPr>
          <w:p>
            <w:pPr>
              <w:jc w:val="center"/>
              <w:rPr>
                <w:bCs/>
                <w:sz w:val="24"/>
              </w:rPr>
            </w:pPr>
            <w:r>
              <w:rPr>
                <w:rFonts w:hint="eastAsia"/>
                <w:bCs/>
                <w:sz w:val="24"/>
              </w:rPr>
              <w:t>文件名称</w:t>
            </w:r>
            <w:r>
              <w:rPr>
                <w:rFonts w:hint="eastAsia" w:ascii="宋体" w:hAnsi="宋体"/>
                <w:bCs/>
                <w:sz w:val="24"/>
              </w:rPr>
              <w:t>∕</w:t>
            </w: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01" w:type="pct"/>
            <w:vMerge w:val="continue"/>
            <w:vAlign w:val="center"/>
          </w:tcPr>
          <w:p>
            <w:pPr>
              <w:jc w:val="center"/>
              <w:rPr>
                <w:rFonts w:ascii="宋体" w:hAnsi="宋体"/>
                <w:bCs/>
                <w:sz w:val="24"/>
              </w:rPr>
            </w:pPr>
          </w:p>
        </w:tc>
        <w:tc>
          <w:tcPr>
            <w:tcW w:w="3036" w:type="pct"/>
            <w:vMerge w:val="continue"/>
            <w:vAlign w:val="center"/>
          </w:tcPr>
          <w:p>
            <w:pPr>
              <w:jc w:val="center"/>
              <w:rPr>
                <w:bCs/>
                <w:sz w:val="24"/>
              </w:rPr>
            </w:pPr>
          </w:p>
        </w:tc>
        <w:tc>
          <w:tcPr>
            <w:tcW w:w="1463" w:type="pct"/>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1</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2</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3</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 xml:space="preserve">4   </w:t>
            </w: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r>
              <w:rPr>
                <w:rFonts w:hint="eastAsia"/>
                <w:bCs/>
                <w:sz w:val="24"/>
              </w:rPr>
              <w:t>……</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5000" w:type="pct"/>
            <w:gridSpan w:val="3"/>
            <w:vAlign w:val="center"/>
          </w:tcPr>
          <w:p>
            <w:pPr>
              <w:spacing w:line="276" w:lineRule="auto"/>
              <w:rPr>
                <w:bCs/>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6"/>
        <w:spacing w:before="120" w:beforeLines="50" w:after="120" w:afterLines="50"/>
        <w:rPr>
          <w:b w:val="0"/>
          <w:lang w:val="zh-CN"/>
        </w:rPr>
      </w:pPr>
      <w:bookmarkStart w:id="380" w:name="_Toc11693"/>
      <w:bookmarkStart w:id="381" w:name="_Toc4926"/>
      <w:bookmarkStart w:id="382" w:name="_Toc7297"/>
      <w:bookmarkStart w:id="383" w:name="_Toc22628"/>
      <w:r>
        <w:rPr>
          <w:rFonts w:hint="eastAsia"/>
          <w:b w:val="0"/>
        </w:rPr>
        <w:t>附件</w:t>
      </w:r>
      <w:r>
        <w:rPr>
          <w:b w:val="0"/>
        </w:rPr>
        <w:t xml:space="preserve">2-2 </w:t>
      </w:r>
      <w:r>
        <w:rPr>
          <w:rFonts w:hint="eastAsia"/>
          <w:b w:val="0"/>
        </w:rPr>
        <w:t>商务评审索引表</w:t>
      </w:r>
      <w:bookmarkEnd w:id="380"/>
      <w:bookmarkEnd w:id="381"/>
      <w:bookmarkEnd w:id="382"/>
      <w:bookmarkEnd w:id="383"/>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57" w:type="pct"/>
        <w:jc w:val="center"/>
        <w:tblLayout w:type="autofit"/>
        <w:tblCellMar>
          <w:top w:w="0" w:type="dxa"/>
          <w:left w:w="108" w:type="dxa"/>
          <w:bottom w:w="0" w:type="dxa"/>
          <w:right w:w="108" w:type="dxa"/>
        </w:tblCellMar>
      </w:tblPr>
      <w:tblGrid>
        <w:gridCol w:w="870"/>
        <w:gridCol w:w="1363"/>
        <w:gridCol w:w="2126"/>
        <w:gridCol w:w="1365"/>
        <w:gridCol w:w="1928"/>
        <w:gridCol w:w="2027"/>
      </w:tblGrid>
      <w:tr>
        <w:tblPrEx>
          <w:tblCellMar>
            <w:top w:w="0" w:type="dxa"/>
            <w:left w:w="108" w:type="dxa"/>
            <w:bottom w:w="0" w:type="dxa"/>
            <w:right w:w="108" w:type="dxa"/>
          </w:tblCellMar>
        </w:tblPrEx>
        <w:trPr>
          <w:trHeight w:val="680" w:hRule="atLeast"/>
          <w:jc w:val="center"/>
        </w:trPr>
        <w:tc>
          <w:tcPr>
            <w:tcW w:w="450"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04"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1098"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705"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042"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450"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098"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705"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bCs/>
                <w:sz w:val="24"/>
              </w:rPr>
            </w:pPr>
          </w:p>
        </w:tc>
        <w:tc>
          <w:tcPr>
            <w:tcW w:w="704"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商务评审标准表》编制此表。投标供应商应当根据本单位实际情况填写指标值或评分项，并标注相关证明材料在资格证明文件或商务技术文件的位置页码，投标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宋体" w:hAnsi="宋体"/>
          <w:b w:val="0"/>
        </w:rPr>
      </w:pPr>
      <w:bookmarkStart w:id="384" w:name="_Toc32128"/>
      <w:bookmarkStart w:id="385" w:name="_Toc32541"/>
      <w:bookmarkStart w:id="386" w:name="_Toc26765"/>
      <w:bookmarkStart w:id="387" w:name="_Toc17322"/>
      <w:r>
        <w:rPr>
          <w:rFonts w:hint="eastAsia"/>
          <w:b w:val="0"/>
        </w:rPr>
        <w:t>附件</w:t>
      </w:r>
      <w:r>
        <w:rPr>
          <w:b w:val="0"/>
        </w:rPr>
        <w:t xml:space="preserve">2-3 </w:t>
      </w:r>
      <w:r>
        <w:rPr>
          <w:rFonts w:hint="eastAsia"/>
          <w:b w:val="0"/>
        </w:rPr>
        <w:t>技术评审索引表</w:t>
      </w:r>
      <w:bookmarkEnd w:id="384"/>
      <w:bookmarkEnd w:id="385"/>
      <w:bookmarkEnd w:id="386"/>
      <w:bookmarkEnd w:id="38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92" w:type="pct"/>
        <w:jc w:val="center"/>
        <w:tblLayout w:type="autofit"/>
        <w:tblCellMar>
          <w:top w:w="0" w:type="dxa"/>
          <w:left w:w="108" w:type="dxa"/>
          <w:bottom w:w="0" w:type="dxa"/>
          <w:right w:w="108" w:type="dxa"/>
        </w:tblCellMar>
      </w:tblPr>
      <w:tblGrid>
        <w:gridCol w:w="1012"/>
        <w:gridCol w:w="1557"/>
        <w:gridCol w:w="1649"/>
        <w:gridCol w:w="1290"/>
        <w:gridCol w:w="1936"/>
        <w:gridCol w:w="2302"/>
      </w:tblGrid>
      <w:tr>
        <w:tblPrEx>
          <w:tblCellMar>
            <w:top w:w="0" w:type="dxa"/>
            <w:left w:w="108" w:type="dxa"/>
            <w:bottom w:w="0" w:type="dxa"/>
            <w:right w:w="108" w:type="dxa"/>
          </w:tblCellMar>
        </w:tblPrEx>
        <w:trPr>
          <w:trHeight w:val="680" w:hRule="atLeast"/>
          <w:jc w:val="center"/>
        </w:trPr>
        <w:tc>
          <w:tcPr>
            <w:tcW w:w="519"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99"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846"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662"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174"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519"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99"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846"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662"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bCs/>
                <w:sz w:val="24"/>
              </w:rPr>
            </w:pPr>
          </w:p>
        </w:tc>
        <w:tc>
          <w:tcPr>
            <w:tcW w:w="799"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846" w:type="pct"/>
            <w:tcBorders>
              <w:top w:val="nil"/>
              <w:left w:val="nil"/>
              <w:bottom w:val="single" w:color="auto" w:sz="4" w:space="0"/>
              <w:right w:val="single" w:color="auto" w:sz="4" w:space="0"/>
            </w:tcBorders>
            <w:vAlign w:val="center"/>
          </w:tcPr>
          <w:p>
            <w:pPr>
              <w:jc w:val="center"/>
              <w:rPr>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技术评审标准表》编制此表。投标供应商应当根据本单位实际情况填写指标值或评分项，并标注相关证明材料在资格证明文件或商务技术文件的位置页码，投标供应商不得虚报、瞒报、漏报或虚假承诺。</w:t>
            </w:r>
          </w:p>
        </w:tc>
      </w:tr>
    </w:tbl>
    <w:p>
      <w:pPr>
        <w:pStyle w:val="6"/>
        <w:spacing w:after="120" w:afterLines="50"/>
        <w:rPr>
          <w:rFonts w:ascii="宋体" w:hAnsi="宋体"/>
          <w:b w:val="0"/>
        </w:rPr>
      </w:pPr>
      <w:r>
        <w:rPr>
          <w:b w:val="0"/>
        </w:rPr>
        <w:br w:type="page"/>
      </w:r>
      <w:bookmarkStart w:id="388" w:name="_Toc20627"/>
      <w:bookmarkStart w:id="389" w:name="_Toc8024"/>
      <w:bookmarkStart w:id="390" w:name="_Toc31106"/>
      <w:bookmarkStart w:id="391" w:name="_Toc13088"/>
      <w:r>
        <w:rPr>
          <w:rFonts w:hint="eastAsia"/>
          <w:b w:val="0"/>
        </w:rPr>
        <w:t>附件</w:t>
      </w:r>
      <w:r>
        <w:rPr>
          <w:b w:val="0"/>
        </w:rPr>
        <w:t xml:space="preserve">2-4 </w:t>
      </w:r>
      <w:r>
        <w:rPr>
          <w:rFonts w:hint="eastAsia"/>
          <w:b w:val="0"/>
        </w:rPr>
        <w:t>投标函</w:t>
      </w:r>
      <w:bookmarkEnd w:id="388"/>
      <w:bookmarkEnd w:id="389"/>
      <w:bookmarkEnd w:id="390"/>
      <w:bookmarkEnd w:id="391"/>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560" w:lineRule="exact"/>
        <w:rPr>
          <w:rFonts w:ascii="宋体" w:hAnsi="宋体"/>
          <w:bCs/>
          <w:sz w:val="28"/>
          <w:szCs w:val="28"/>
        </w:rPr>
      </w:pPr>
      <w:r>
        <w:rPr>
          <w:rFonts w:hint="eastAsia" w:asciiTheme="minorEastAsia" w:hAnsiTheme="minorEastAsia" w:eastAsiaTheme="minorEastAsia"/>
          <w:bCs/>
          <w:sz w:val="28"/>
          <w:szCs w:val="28"/>
          <w:u w:val="single"/>
        </w:rPr>
        <w:t>（采购机构名称）</w:t>
      </w:r>
      <w:r>
        <w:rPr>
          <w:rFonts w:ascii="宋体" w:hAnsi="宋体"/>
          <w:bCs/>
          <w:sz w:val="28"/>
          <w:szCs w:val="28"/>
        </w:rPr>
        <w:t>：</w:t>
      </w:r>
    </w:p>
    <w:p>
      <w:pPr>
        <w:spacing w:line="560" w:lineRule="exact"/>
        <w:ind w:firstLine="560" w:firstLineChars="200"/>
        <w:rPr>
          <w:rFonts w:ascii="宋体" w:hAnsi="宋体"/>
          <w:bCs/>
          <w:sz w:val="28"/>
          <w:szCs w:val="28"/>
        </w:rPr>
      </w:pPr>
      <w:r>
        <w:rPr>
          <w:rFonts w:ascii="宋体" w:hAnsi="宋体"/>
          <w:bCs/>
          <w:sz w:val="28"/>
          <w:szCs w:val="28"/>
        </w:rPr>
        <w:t>我方参加贵部组织的</w:t>
      </w:r>
      <w:r>
        <w:rPr>
          <w:rFonts w:ascii="宋体" w:hAnsi="宋体"/>
          <w:bCs/>
          <w:sz w:val="28"/>
          <w:szCs w:val="28"/>
          <w:u w:val="single"/>
        </w:rPr>
        <w:t>（项目编号</w:t>
      </w:r>
      <w:r>
        <w:rPr>
          <w:rFonts w:hint="eastAsia" w:ascii="宋体" w:hAnsi="宋体"/>
          <w:bCs/>
          <w:sz w:val="28"/>
          <w:szCs w:val="28"/>
          <w:u w:val="single"/>
        </w:rPr>
        <w:t>和</w:t>
      </w:r>
      <w:r>
        <w:rPr>
          <w:rFonts w:ascii="宋体" w:hAnsi="宋体"/>
          <w:bCs/>
          <w:sz w:val="28"/>
          <w:szCs w:val="28"/>
          <w:u w:val="single"/>
        </w:rPr>
        <w:t>项目名称）</w:t>
      </w:r>
      <w:r>
        <w:rPr>
          <w:rFonts w:ascii="宋体" w:hAnsi="宋体"/>
          <w:bCs/>
          <w:sz w:val="28"/>
          <w:szCs w:val="28"/>
        </w:rPr>
        <w:t>招标采购活动，并对</w:t>
      </w:r>
      <w:r>
        <w:rPr>
          <w:rFonts w:ascii="宋体" w:hAnsi="宋体"/>
          <w:bCs/>
          <w:sz w:val="28"/>
          <w:szCs w:val="28"/>
          <w:u w:val="single"/>
        </w:rPr>
        <w:t>（包号或物资名称）</w:t>
      </w:r>
      <w:r>
        <w:rPr>
          <w:rFonts w:ascii="宋体" w:hAnsi="宋体"/>
          <w:bCs/>
          <w:sz w:val="28"/>
          <w:szCs w:val="28"/>
        </w:rPr>
        <w:t>进行投标。</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按照招标文件</w:t>
      </w:r>
      <w:r>
        <w:rPr>
          <w:rFonts w:hint="eastAsia" w:ascii="宋体" w:hAnsi="宋体"/>
          <w:bCs/>
          <w:sz w:val="28"/>
          <w:szCs w:val="28"/>
        </w:rPr>
        <w:t>要求提</w:t>
      </w:r>
      <w:r>
        <w:rPr>
          <w:rFonts w:ascii="宋体" w:hAnsi="宋体"/>
          <w:bCs/>
          <w:sz w:val="28"/>
          <w:szCs w:val="28"/>
        </w:rPr>
        <w:t>交</w:t>
      </w:r>
      <w:r>
        <w:rPr>
          <w:rFonts w:ascii="宋体" w:hAnsi="宋体"/>
          <w:bCs/>
          <w:sz w:val="28"/>
          <w:szCs w:val="28"/>
          <w:lang w:val="zh-CN"/>
        </w:rPr>
        <w:t>投标文件正本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份和副本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w:t>
      </w:r>
      <w:r>
        <w:rPr>
          <w:rFonts w:ascii="宋体" w:hAnsi="宋体"/>
          <w:bCs/>
          <w:sz w:val="28"/>
          <w:szCs w:val="28"/>
        </w:rPr>
        <w:t>，电子版投标文件</w:t>
      </w:r>
      <w:r>
        <w:rPr>
          <w:rFonts w:ascii="宋体" w:hAnsi="宋体"/>
          <w:bCs/>
          <w:sz w:val="28"/>
          <w:szCs w:val="28"/>
          <w:u w:val="single"/>
        </w:rPr>
        <w:t xml:space="preserve"> </w:t>
      </w:r>
      <w:r>
        <w:rPr>
          <w:rFonts w:hint="eastAsia" w:ascii="宋体" w:hAnsi="宋体"/>
          <w:bCs/>
          <w:sz w:val="28"/>
          <w:szCs w:val="28"/>
          <w:u w:val="single"/>
          <w:lang w:val="en-US" w:eastAsia="zh-CN"/>
        </w:rPr>
        <w:t xml:space="preserve"> </w:t>
      </w:r>
      <w:r>
        <w:rPr>
          <w:rFonts w:ascii="宋体" w:hAnsi="宋体"/>
          <w:bCs/>
          <w:sz w:val="28"/>
          <w:szCs w:val="28"/>
          <w:u w:val="single"/>
        </w:rPr>
        <w:t xml:space="preserve"> </w:t>
      </w:r>
      <w:r>
        <w:rPr>
          <w:rFonts w:ascii="宋体" w:hAnsi="宋体"/>
          <w:bCs/>
          <w:sz w:val="28"/>
          <w:szCs w:val="28"/>
        </w:rPr>
        <w:t>份。其中，</w:t>
      </w:r>
      <w:r>
        <w:rPr>
          <w:rFonts w:hint="eastAsia" w:ascii="宋体" w:hAnsi="宋体"/>
          <w:bCs/>
          <w:sz w:val="28"/>
          <w:szCs w:val="28"/>
        </w:rPr>
        <w:t>“</w:t>
      </w:r>
      <w:r>
        <w:rPr>
          <w:rFonts w:ascii="宋体" w:hAnsi="宋体"/>
          <w:bCs/>
          <w:sz w:val="28"/>
          <w:szCs w:val="28"/>
        </w:rPr>
        <w:t>价格文件</w:t>
      </w:r>
      <w:r>
        <w:rPr>
          <w:rFonts w:hint="eastAsia" w:ascii="宋体" w:hAnsi="宋体"/>
          <w:bCs/>
          <w:sz w:val="28"/>
          <w:szCs w:val="28"/>
        </w:rPr>
        <w:t>”</w:t>
      </w:r>
      <w:r>
        <w:rPr>
          <w:rFonts w:hint="eastAsia" w:ascii="宋体" w:hAnsi="宋体"/>
          <w:bCs/>
          <w:sz w:val="28"/>
          <w:szCs w:val="28"/>
          <w:u w:val="single"/>
        </w:rPr>
        <w:t xml:space="preserve"> </w:t>
      </w:r>
      <w:r>
        <w:rPr>
          <w:rFonts w:ascii="宋体" w:hAnsi="宋体"/>
          <w:bCs/>
          <w:sz w:val="28"/>
          <w:szCs w:val="28"/>
          <w:u w:val="single"/>
        </w:rPr>
        <w:t xml:space="preserve">   </w:t>
      </w:r>
      <w:r>
        <w:rPr>
          <w:rFonts w:ascii="宋体" w:hAnsi="宋体"/>
          <w:bCs/>
          <w:sz w:val="28"/>
          <w:szCs w:val="28"/>
        </w:rPr>
        <w:t>份单独密封提交。</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lang w:val="zh-CN"/>
        </w:rPr>
        <w:t>二、</w:t>
      </w:r>
      <w:r>
        <w:rPr>
          <w:rFonts w:ascii="宋体" w:hAnsi="宋体"/>
          <w:bCs/>
          <w:sz w:val="28"/>
          <w:szCs w:val="28"/>
          <w:lang w:val="zh-CN"/>
        </w:rPr>
        <w:t>我方已完全理解招标文件的全部内容，自愿接受并执行招标文件的全部条款</w:t>
      </w:r>
      <w:r>
        <w:rPr>
          <w:rFonts w:ascii="宋体" w:hAnsi="宋体"/>
          <w:bCs/>
          <w:sz w:val="28"/>
          <w:szCs w:val="28"/>
        </w:rPr>
        <w:t>。</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本投标</w:t>
      </w:r>
      <w:r>
        <w:rPr>
          <w:rFonts w:ascii="宋体" w:hAnsi="宋体"/>
          <w:bCs/>
          <w:sz w:val="28"/>
          <w:szCs w:val="28"/>
          <w:lang w:val="zh-CN"/>
        </w:rPr>
        <w:t>有效期自</w:t>
      </w:r>
      <w:r>
        <w:rPr>
          <w:rFonts w:hint="eastAsia" w:ascii="宋体" w:hAnsi="宋体"/>
          <w:bCs/>
          <w:sz w:val="28"/>
          <w:szCs w:val="28"/>
          <w:lang w:val="zh-CN"/>
        </w:rPr>
        <w:t>提交投标文件的截止之日</w:t>
      </w:r>
      <w:r>
        <w:rPr>
          <w:rFonts w:ascii="宋体" w:hAnsi="宋体"/>
          <w:bCs/>
          <w:sz w:val="28"/>
          <w:szCs w:val="28"/>
          <w:lang w:val="zh-CN"/>
        </w:rPr>
        <w:t>起</w:t>
      </w:r>
      <w:r>
        <w:rPr>
          <w:rFonts w:ascii="宋体" w:hAnsi="宋体"/>
          <w:bCs/>
          <w:sz w:val="28"/>
          <w:szCs w:val="28"/>
          <w:u w:val="single"/>
          <w:lang w:val="zh-CN"/>
        </w:rPr>
        <w:t xml:space="preserve">  </w:t>
      </w:r>
      <w:r>
        <w:rPr>
          <w:rFonts w:hint="eastAsia" w:ascii="宋体" w:hAnsi="宋体"/>
          <w:bCs/>
          <w:sz w:val="28"/>
          <w:szCs w:val="28"/>
          <w:u w:val="single"/>
          <w:lang w:val="en-US" w:eastAsia="zh-CN"/>
        </w:rPr>
        <w:t>180</w:t>
      </w:r>
      <w:r>
        <w:rPr>
          <w:rFonts w:ascii="宋体" w:hAnsi="宋体"/>
          <w:bCs/>
          <w:sz w:val="28"/>
          <w:szCs w:val="28"/>
          <w:u w:val="single"/>
          <w:lang w:val="zh-CN"/>
        </w:rPr>
        <w:t xml:space="preserve">  </w:t>
      </w:r>
      <w:r>
        <w:rPr>
          <w:rFonts w:ascii="宋体" w:hAnsi="宋体"/>
          <w:bCs/>
          <w:sz w:val="28"/>
          <w:szCs w:val="28"/>
          <w:lang w:val="zh-CN"/>
        </w:rPr>
        <w:t>日内有效</w:t>
      </w:r>
      <w:r>
        <w:rPr>
          <w:rFonts w:ascii="宋体" w:hAnsi="宋体"/>
          <w:bCs/>
          <w:sz w:val="28"/>
          <w:szCs w:val="28"/>
        </w:rPr>
        <w:t>。</w:t>
      </w:r>
    </w:p>
    <w:p>
      <w:pPr>
        <w:tabs>
          <w:tab w:val="left" w:pos="1020"/>
        </w:tabs>
        <w:spacing w:line="560" w:lineRule="exact"/>
        <w:ind w:firstLine="560" w:firstLineChars="200"/>
        <w:rPr>
          <w:rFonts w:ascii="宋体" w:hAnsi="宋体" w:cs="宋体"/>
          <w:bCs/>
          <w:snapToGrid w:val="0"/>
          <w:sz w:val="28"/>
          <w:szCs w:val="28"/>
          <w:lang w:val="zh-CN"/>
        </w:rPr>
      </w:pPr>
      <w:r>
        <w:rPr>
          <w:rFonts w:hint="eastAsia" w:ascii="宋体" w:hAnsi="宋体"/>
          <w:bCs/>
          <w:snapToGrid w:val="0"/>
          <w:sz w:val="28"/>
          <w:szCs w:val="28"/>
          <w:lang w:val="zh-CN"/>
        </w:rPr>
        <w:t>四、</w:t>
      </w:r>
      <w:r>
        <w:rPr>
          <w:rFonts w:ascii="宋体" w:hAnsi="宋体"/>
          <w:bCs/>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bCs/>
          <w:snapToGrid w:val="0"/>
          <w:sz w:val="28"/>
          <w:szCs w:val="28"/>
          <w:lang w:val="zh-CN"/>
        </w:rPr>
        <w:t>，同意招标文件的相关条款。</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我方声明</w:t>
      </w:r>
      <w:r>
        <w:rPr>
          <w:rFonts w:hint="eastAsia" w:ascii="宋体" w:hAnsi="宋体"/>
          <w:bCs/>
          <w:sz w:val="28"/>
          <w:szCs w:val="28"/>
        </w:rPr>
        <w:t>提供的</w:t>
      </w:r>
      <w:r>
        <w:rPr>
          <w:rFonts w:ascii="宋体" w:hAnsi="宋体"/>
          <w:bCs/>
          <w:sz w:val="28"/>
          <w:szCs w:val="28"/>
        </w:rPr>
        <w:t>投标文件及一切</w:t>
      </w:r>
      <w:r>
        <w:rPr>
          <w:rFonts w:hint="eastAsia" w:ascii="宋体" w:hAnsi="宋体"/>
          <w:bCs/>
          <w:sz w:val="28"/>
          <w:szCs w:val="28"/>
        </w:rPr>
        <w:t>材料和承诺</w:t>
      </w:r>
      <w:r>
        <w:rPr>
          <w:rFonts w:ascii="宋体" w:hAnsi="宋体"/>
          <w:bCs/>
          <w:sz w:val="28"/>
          <w:szCs w:val="28"/>
        </w:rPr>
        <w:t>均真实有效。由于我方提供</w:t>
      </w:r>
      <w:r>
        <w:rPr>
          <w:rFonts w:hint="eastAsia" w:ascii="宋体" w:hAnsi="宋体"/>
          <w:bCs/>
          <w:sz w:val="28"/>
          <w:szCs w:val="28"/>
        </w:rPr>
        <w:t>材料</w:t>
      </w:r>
      <w:r>
        <w:rPr>
          <w:rFonts w:ascii="宋体" w:hAnsi="宋体"/>
          <w:bCs/>
          <w:sz w:val="28"/>
          <w:szCs w:val="28"/>
        </w:rPr>
        <w:t>不实而造成的责任和后果由我方承担。我方同意按照贵部要求，提供与招标有关数据或信息。</w:t>
      </w:r>
      <w:r>
        <w:rPr>
          <w:rFonts w:hint="eastAsia" w:ascii="宋体" w:hAnsi="宋体"/>
          <w:bCs/>
          <w:sz w:val="28"/>
          <w:szCs w:val="28"/>
        </w:rPr>
        <w:t>我方承诺完全按照投标文件有关内容履约。</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我方承诺自愿遵守</w:t>
      </w:r>
      <w:r>
        <w:rPr>
          <w:rFonts w:hint="eastAsia" w:ascii="宋体" w:hAnsi="宋体"/>
          <w:bCs/>
          <w:sz w:val="28"/>
          <w:szCs w:val="28"/>
        </w:rPr>
        <w:t>、</w:t>
      </w:r>
      <w:r>
        <w:rPr>
          <w:rFonts w:ascii="宋体" w:hAnsi="宋体"/>
          <w:bCs/>
          <w:sz w:val="28"/>
          <w:szCs w:val="28"/>
        </w:rPr>
        <w:t>执行军队采购政策</w:t>
      </w:r>
      <w:r>
        <w:rPr>
          <w:rFonts w:hint="eastAsia" w:ascii="宋体" w:hAnsi="宋体"/>
          <w:bCs/>
          <w:sz w:val="28"/>
          <w:szCs w:val="28"/>
        </w:rPr>
        <w:t>法规。</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联系方式</w:t>
      </w:r>
    </w:p>
    <w:p>
      <w:pPr>
        <w:spacing w:line="440" w:lineRule="exact"/>
        <w:ind w:firstLine="560" w:firstLineChars="200"/>
        <w:rPr>
          <w:rFonts w:ascii="宋体" w:hAnsi="宋体"/>
          <w:bCs/>
          <w:sz w:val="28"/>
          <w:szCs w:val="28"/>
        </w:rPr>
      </w:pPr>
      <w:r>
        <w:rPr>
          <w:rFonts w:ascii="宋体" w:hAnsi="宋体"/>
          <w:bCs/>
          <w:sz w:val="28"/>
          <w:szCs w:val="28"/>
        </w:rPr>
        <w:t>联 系 人：</w:t>
      </w:r>
      <w:r>
        <w:rPr>
          <w:rFonts w:ascii="宋体" w:hAnsi="宋体"/>
          <w:bCs/>
          <w:sz w:val="28"/>
          <w:szCs w:val="28"/>
          <w:u w:val="single"/>
        </w:rPr>
        <w:t xml:space="preserve">        </w:t>
      </w:r>
      <w:r>
        <w:rPr>
          <w:rFonts w:ascii="宋体" w:hAnsi="宋体"/>
          <w:bCs/>
          <w:sz w:val="28"/>
          <w:szCs w:val="28"/>
        </w:rPr>
        <w:t xml:space="preserve">  电话：</w:t>
      </w:r>
      <w:r>
        <w:rPr>
          <w:rFonts w:ascii="宋体" w:hAnsi="宋体"/>
          <w:bCs/>
          <w:sz w:val="28"/>
          <w:szCs w:val="28"/>
          <w:u w:val="single"/>
        </w:rPr>
        <w:t xml:space="preserve">        </w:t>
      </w:r>
      <w:r>
        <w:rPr>
          <w:rFonts w:ascii="宋体" w:hAnsi="宋体"/>
          <w:bCs/>
          <w:sz w:val="28"/>
          <w:szCs w:val="28"/>
        </w:rPr>
        <w:t>传真：</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地    址：</w:t>
      </w:r>
      <w:r>
        <w:rPr>
          <w:rFonts w:ascii="宋体" w:hAnsi="宋体"/>
          <w:bCs/>
          <w:sz w:val="28"/>
          <w:szCs w:val="28"/>
          <w:u w:val="single"/>
        </w:rPr>
        <w:t xml:space="preserve">                  </w:t>
      </w:r>
      <w:r>
        <w:rPr>
          <w:rFonts w:ascii="宋体" w:hAnsi="宋体"/>
          <w:bCs/>
          <w:sz w:val="28"/>
          <w:szCs w:val="28"/>
        </w:rPr>
        <w:t xml:space="preserve">  邮政编码：</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开户名称：</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开户银行：</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rPr>
          <w:bCs/>
          <w:sz w:val="28"/>
          <w:szCs w:val="28"/>
        </w:rPr>
      </w:pPr>
      <w:r>
        <w:rPr>
          <w:rFonts w:ascii="宋体" w:hAnsi="宋体"/>
          <w:bCs/>
          <w:sz w:val="28"/>
          <w:szCs w:val="28"/>
        </w:rPr>
        <w:t>银行账号：</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440" w:lineRule="exact"/>
        <w:ind w:firstLine="560" w:firstLineChars="200"/>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b w:val="0"/>
        </w:rPr>
      </w:pPr>
      <w:r>
        <w:rPr>
          <w:b w:val="0"/>
          <w:lang w:val="zh-CN"/>
        </w:rPr>
        <w:br w:type="page"/>
      </w:r>
      <w:bookmarkStart w:id="392" w:name="_Toc14250"/>
      <w:bookmarkStart w:id="393" w:name="_Toc27776"/>
      <w:bookmarkStart w:id="394" w:name="_Toc28802"/>
      <w:bookmarkStart w:id="395" w:name="_Toc2085"/>
      <w:r>
        <w:rPr>
          <w:rFonts w:hint="eastAsia"/>
          <w:b w:val="0"/>
        </w:rPr>
        <w:t>附件</w:t>
      </w:r>
      <w:r>
        <w:rPr>
          <w:b w:val="0"/>
        </w:rPr>
        <w:t>2-</w:t>
      </w:r>
      <w:r>
        <w:rPr>
          <w:rFonts w:hint="eastAsia"/>
          <w:b w:val="0"/>
          <w:lang w:val="en-US" w:eastAsia="zh-CN"/>
        </w:rPr>
        <w:t>5</w:t>
      </w:r>
      <w:r>
        <w:rPr>
          <w:b w:val="0"/>
        </w:rPr>
        <w:t xml:space="preserve"> </w:t>
      </w:r>
      <w:r>
        <w:rPr>
          <w:rFonts w:hint="eastAsia"/>
          <w:b w:val="0"/>
        </w:rPr>
        <w:t>技术指标参数响应偏离表</w:t>
      </w:r>
    </w:p>
    <w:p>
      <w:pPr>
        <w:spacing w:before="120" w:beforeLines="50" w:after="120" w:afterLines="50" w:line="560" w:lineRule="exact"/>
        <w:jc w:val="center"/>
        <w:rPr>
          <w:rFonts w:eastAsia="方正小标宋简体"/>
          <w:bCs/>
          <w:sz w:val="44"/>
          <w:szCs w:val="44"/>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bCs/>
          <w:sz w:val="28"/>
          <w:szCs w:val="28"/>
        </w:rPr>
        <w:t xml:space="preserve"> </w:t>
      </w:r>
      <w:r>
        <w:rPr>
          <w:rFonts w:hint="eastAsia"/>
          <w:bCs/>
          <w:sz w:val="28"/>
          <w:szCs w:val="28"/>
        </w:rPr>
        <w:t>项目编号：</w:t>
      </w:r>
      <w:r>
        <w:rPr>
          <w:rFonts w:ascii="宋体" w:hAnsi="宋体"/>
          <w:bCs/>
          <w:sz w:val="28"/>
          <w:szCs w:val="28"/>
          <w:u w:val="single"/>
        </w:rPr>
        <w:t xml:space="preserve">            </w:t>
      </w:r>
      <w:r>
        <w:rPr>
          <w:bCs/>
          <w:sz w:val="28"/>
          <w:szCs w:val="28"/>
        </w:rPr>
        <w:t xml:space="preserve"> </w:t>
      </w:r>
      <w:r>
        <w:rPr>
          <w:rFonts w:hint="eastAsia"/>
          <w:bCs/>
          <w:sz w:val="28"/>
          <w:szCs w:val="28"/>
        </w:rPr>
        <w:t>包号：</w:t>
      </w:r>
      <w:r>
        <w:rPr>
          <w:rFonts w:ascii="宋体" w:hAnsi="宋体"/>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5"/>
        <w:gridCol w:w="1560"/>
        <w:gridCol w:w="1275"/>
        <w:gridCol w:w="209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Align w:val="center"/>
          </w:tcPr>
          <w:p>
            <w:pPr>
              <w:widowControl/>
              <w:jc w:val="center"/>
              <w:rPr>
                <w:bCs/>
                <w:sz w:val="24"/>
              </w:rPr>
            </w:pPr>
            <w:r>
              <w:rPr>
                <w:rFonts w:hint="eastAsia"/>
                <w:bCs/>
                <w:sz w:val="24"/>
              </w:rPr>
              <w:t>序号</w:t>
            </w:r>
          </w:p>
        </w:tc>
        <w:tc>
          <w:tcPr>
            <w:tcW w:w="1418" w:type="dxa"/>
            <w:vAlign w:val="center"/>
          </w:tcPr>
          <w:p>
            <w:pPr>
              <w:widowControl/>
              <w:jc w:val="center"/>
              <w:rPr>
                <w:bCs/>
                <w:sz w:val="24"/>
              </w:rPr>
            </w:pPr>
            <w:r>
              <w:rPr>
                <w:rFonts w:hint="eastAsia"/>
                <w:bCs/>
                <w:sz w:val="24"/>
              </w:rPr>
              <w:t>评审项目</w:t>
            </w:r>
          </w:p>
        </w:tc>
        <w:tc>
          <w:tcPr>
            <w:tcW w:w="1275" w:type="dxa"/>
            <w:vAlign w:val="center"/>
          </w:tcPr>
          <w:p>
            <w:pPr>
              <w:widowControl/>
              <w:jc w:val="center"/>
              <w:rPr>
                <w:bCs/>
                <w:sz w:val="24"/>
              </w:rPr>
            </w:pPr>
            <w:r>
              <w:rPr>
                <w:rFonts w:hint="eastAsia"/>
                <w:bCs/>
                <w:sz w:val="24"/>
              </w:rPr>
              <w:t>技术评审要求</w:t>
            </w:r>
          </w:p>
        </w:tc>
        <w:tc>
          <w:tcPr>
            <w:tcW w:w="1560" w:type="dxa"/>
            <w:vAlign w:val="center"/>
          </w:tcPr>
          <w:p>
            <w:pPr>
              <w:widowControl/>
              <w:jc w:val="center"/>
              <w:rPr>
                <w:bCs/>
                <w:sz w:val="24"/>
              </w:rPr>
            </w:pPr>
            <w:r>
              <w:rPr>
                <w:rFonts w:hint="eastAsia"/>
                <w:bCs/>
                <w:sz w:val="24"/>
              </w:rPr>
              <w:t>技术参数</w:t>
            </w:r>
          </w:p>
          <w:p>
            <w:pPr>
              <w:widowControl/>
              <w:jc w:val="center"/>
              <w:rPr>
                <w:bCs/>
                <w:sz w:val="24"/>
              </w:rPr>
            </w:pPr>
            <w:r>
              <w:rPr>
                <w:rFonts w:hint="eastAsia"/>
                <w:bCs/>
                <w:sz w:val="24"/>
              </w:rPr>
              <w:t>响应</w:t>
            </w:r>
          </w:p>
        </w:tc>
        <w:tc>
          <w:tcPr>
            <w:tcW w:w="1275" w:type="dxa"/>
            <w:vAlign w:val="center"/>
          </w:tcPr>
          <w:p>
            <w:pPr>
              <w:widowControl/>
              <w:jc w:val="center"/>
              <w:rPr>
                <w:bCs/>
                <w:sz w:val="24"/>
              </w:rPr>
            </w:pPr>
            <w:r>
              <w:rPr>
                <w:rFonts w:hint="eastAsia"/>
                <w:bCs/>
                <w:sz w:val="24"/>
              </w:rPr>
              <w:t>偏离度</w:t>
            </w:r>
          </w:p>
        </w:tc>
        <w:tc>
          <w:tcPr>
            <w:tcW w:w="2095" w:type="dxa"/>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1024" w:type="dxa"/>
            <w:vAlign w:val="center"/>
          </w:tcPr>
          <w:p>
            <w:pPr>
              <w:widowControl/>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eastAsia="宋体" w:cs="宋体"/>
                <w:color w:val="000000"/>
                <w:sz w:val="21"/>
                <w:szCs w:val="21"/>
                <w:lang w:val="en-US" w:eastAsia="zh-CN" w:bidi="zh-CN"/>
              </w:rPr>
              <w:t>1</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default" w:ascii="宋体" w:hAnsi="宋体" w:eastAsia="宋体" w:cs="宋体"/>
                <w:color w:val="000000"/>
                <w:sz w:val="21"/>
                <w:szCs w:val="21"/>
                <w:lang w:val="en-US" w:eastAsia="zh-CN" w:bidi="zh-CN"/>
              </w:rPr>
              <w:t>产品用途及使用范围</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2</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安装场地</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3</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使用环境</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4</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具体性能与技术参数要求请供应商自行罗列</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配置需求</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exact"/>
        </w:trPr>
        <w:tc>
          <w:tcPr>
            <w:tcW w:w="9356" w:type="dxa"/>
            <w:gridSpan w:val="7"/>
            <w:vAlign w:val="center"/>
          </w:tcPr>
          <w:p>
            <w:pPr>
              <w:spacing w:line="276" w:lineRule="auto"/>
              <w:jc w:val="both"/>
              <w:rPr>
                <w:bCs/>
                <w:sz w:val="24"/>
              </w:rPr>
            </w:pPr>
            <w:r>
              <w:rPr>
                <w:rFonts w:hint="eastAsia"/>
                <w:bCs/>
                <w:sz w:val="24"/>
              </w:rPr>
              <w:t>说明：投标供应商应当对照专用文件规定的技术要求，逐条如实填写所投物资的具体技术评审参数，注明无偏离、正偏离或负偏离，并在备注中注明偏离的具体内容。技术指标参数响应栏如果原文完全复制招标文件技术要求，作无效投标处理。负偏离应当如实注明。本表中带“★”号条款出现负偏离，视为无效投标。</w:t>
            </w:r>
          </w:p>
        </w:tc>
      </w:tr>
    </w:tbl>
    <w:p>
      <w:pPr>
        <w:pStyle w:val="16"/>
      </w:pPr>
    </w:p>
    <w:p>
      <w:pPr>
        <w:rPr>
          <w:bCs/>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rFonts w:hint="eastAsia"/>
          <w:b w:val="0"/>
        </w:rPr>
      </w:pPr>
      <w:r>
        <w:rPr>
          <w:rFonts w:hint="eastAsia"/>
          <w:b w:val="0"/>
        </w:rPr>
        <w:br w:type="page"/>
      </w:r>
    </w:p>
    <w:p>
      <w:pPr>
        <w:pStyle w:val="6"/>
        <w:spacing w:before="120" w:beforeLines="50" w:after="120" w:afterLines="50"/>
        <w:rPr>
          <w:rFonts w:ascii="宋体" w:hAnsi="宋体"/>
          <w:b w:val="0"/>
        </w:rPr>
      </w:pPr>
      <w:r>
        <w:rPr>
          <w:rFonts w:hint="eastAsia"/>
          <w:b w:val="0"/>
        </w:rPr>
        <w:t>附件</w:t>
      </w:r>
      <w:r>
        <w:rPr>
          <w:b w:val="0"/>
        </w:rPr>
        <w:t>2-</w:t>
      </w:r>
      <w:r>
        <w:rPr>
          <w:rFonts w:hint="eastAsia"/>
          <w:b w:val="0"/>
          <w:lang w:val="en-US" w:eastAsia="zh-CN"/>
        </w:rPr>
        <w:t>6</w:t>
      </w:r>
      <w:r>
        <w:rPr>
          <w:rFonts w:hint="eastAsia"/>
          <w:b w:val="0"/>
        </w:rPr>
        <w:t>商务条款响应偏离表</w:t>
      </w:r>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81"/>
        <w:gridCol w:w="1233"/>
        <w:gridCol w:w="1397"/>
        <w:gridCol w:w="235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709"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评审项目</w:t>
            </w:r>
          </w:p>
        </w:tc>
        <w:tc>
          <w:tcPr>
            <w:tcW w:w="1481"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商务评审</w:t>
            </w:r>
          </w:p>
          <w:p>
            <w:pPr>
              <w:widowControl/>
              <w:jc w:val="center"/>
              <w:rPr>
                <w:bCs/>
                <w:sz w:val="24"/>
              </w:rPr>
            </w:pPr>
            <w:r>
              <w:rPr>
                <w:rFonts w:hint="eastAsia"/>
                <w:bCs/>
                <w:sz w:val="24"/>
              </w:rPr>
              <w:t>要求</w:t>
            </w:r>
          </w:p>
        </w:tc>
        <w:tc>
          <w:tcPr>
            <w:tcW w:w="1233"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商务响应</w:t>
            </w:r>
          </w:p>
        </w:tc>
        <w:tc>
          <w:tcPr>
            <w:tcW w:w="1397"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偏离度</w:t>
            </w:r>
          </w:p>
        </w:tc>
        <w:tc>
          <w:tcPr>
            <w:tcW w:w="235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904" w:type="dxa"/>
            <w:tcBorders>
              <w:top w:val="single" w:color="auto" w:sz="4" w:space="0"/>
              <w:left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9356" w:type="dxa"/>
            <w:gridSpan w:val="7"/>
            <w:tcBorders>
              <w:top w:val="single" w:color="auto" w:sz="4" w:space="0"/>
              <w:left w:val="single" w:color="auto" w:sz="4" w:space="0"/>
              <w:right w:val="single" w:color="auto" w:sz="4" w:space="0"/>
            </w:tcBorders>
          </w:tcPr>
          <w:p>
            <w:pPr>
              <w:spacing w:line="276" w:lineRule="auto"/>
              <w:rPr>
                <w:bCs/>
                <w:sz w:val="24"/>
              </w:rPr>
            </w:pPr>
            <w:r>
              <w:rPr>
                <w:rFonts w:hint="eastAsia"/>
                <w:sz w:val="24"/>
              </w:rPr>
              <w:t>说明：</w:t>
            </w:r>
            <w:r>
              <w:rPr>
                <w:rFonts w:hint="eastAsia"/>
                <w:bCs/>
                <w:sz w:val="24"/>
              </w:rPr>
              <w:t>投标供应商应当对照专用文件规定的商务要求，逐条如实填写所投物资的具体响应，注明无偏离、正偏离或负偏离，并在备注中注明偏离的具体内容。负偏离应当如实注明。本表中带“★”号条款出现负偏离，视为无效投标。</w:t>
            </w:r>
          </w:p>
        </w:tc>
      </w:tr>
    </w:tbl>
    <w:p>
      <w:pPr>
        <w:spacing w:line="560" w:lineRule="exact"/>
        <w:ind w:firstLine="560" w:firstLineChars="200"/>
        <w:rPr>
          <w:bCs/>
          <w:sz w:val="28"/>
          <w:szCs w:val="28"/>
        </w:rPr>
      </w:pPr>
    </w:p>
    <w:p>
      <w:pPr>
        <w:spacing w:line="560" w:lineRule="exact"/>
        <w:ind w:firstLine="3920" w:firstLineChars="1400"/>
        <w:rPr>
          <w:bCs/>
          <w:sz w:val="28"/>
          <w:szCs w:val="28"/>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rPr>
          <w:bCs/>
          <w:snapToGrid w:val="0"/>
          <w:sz w:val="28"/>
          <w:szCs w:val="28"/>
          <w:lang w:val="zh-CN"/>
        </w:rPr>
      </w:pPr>
    </w:p>
    <w:p>
      <w:pPr>
        <w:pStyle w:val="6"/>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p>
    <w:bookmarkEnd w:id="392"/>
    <w:bookmarkEnd w:id="393"/>
    <w:bookmarkEnd w:id="394"/>
    <w:bookmarkEnd w:id="395"/>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snapToGrid w:val="0"/>
          <w:lang w:val="zh-CN"/>
        </w:rPr>
      </w:pPr>
      <w:bookmarkStart w:id="396" w:name="_Toc11716"/>
      <w:r>
        <w:rPr>
          <w:rFonts w:hint="eastAsia"/>
          <w:b w:val="0"/>
          <w:bCs/>
        </w:rPr>
        <w:t>附件</w:t>
      </w:r>
      <w:r>
        <w:rPr>
          <w:b w:val="0"/>
          <w:bCs/>
        </w:rPr>
        <w:t xml:space="preserve">2-7 </w:t>
      </w:r>
      <w:r>
        <w:rPr>
          <w:rFonts w:hint="eastAsia"/>
          <w:b w:val="0"/>
          <w:bCs/>
        </w:rPr>
        <w:t>财务社保数据统计表</w:t>
      </w:r>
      <w:bookmarkEnd w:id="396"/>
    </w:p>
    <w:tbl>
      <w:tblPr>
        <w:tblStyle w:val="44"/>
        <w:tblW w:w="9373" w:type="dxa"/>
        <w:tblInd w:w="0" w:type="dxa"/>
        <w:tblLayout w:type="fixed"/>
        <w:tblCellMar>
          <w:top w:w="0" w:type="dxa"/>
          <w:left w:w="0" w:type="dxa"/>
          <w:bottom w:w="0" w:type="dxa"/>
          <w:right w:w="0" w:type="dxa"/>
        </w:tblCellMar>
      </w:tblPr>
      <w:tblGrid>
        <w:gridCol w:w="2569"/>
        <w:gridCol w:w="1276"/>
        <w:gridCol w:w="1275"/>
        <w:gridCol w:w="1276"/>
        <w:gridCol w:w="1276"/>
        <w:gridCol w:w="1701"/>
      </w:tblGrid>
      <w:tr>
        <w:tblPrEx>
          <w:tblCellMar>
            <w:top w:w="0" w:type="dxa"/>
            <w:left w:w="0" w:type="dxa"/>
            <w:bottom w:w="0" w:type="dxa"/>
            <w:right w:w="0" w:type="dxa"/>
          </w:tblCellMar>
        </w:tblPrEx>
        <w:trPr>
          <w:trHeight w:val="687" w:hRule="atLeast"/>
        </w:trPr>
        <w:tc>
          <w:tcPr>
            <w:tcW w:w="9373" w:type="dxa"/>
            <w:gridSpan w:val="6"/>
            <w:tcBorders>
              <w:top w:val="nil"/>
              <w:left w:val="nil"/>
              <w:bottom w:val="nil"/>
              <w:right w:val="nil"/>
            </w:tcBorders>
            <w:noWrap w:val="0"/>
            <w:tcMar>
              <w:top w:w="17" w:type="dxa"/>
              <w:left w:w="17" w:type="dxa"/>
              <w:bottom w:w="0" w:type="dxa"/>
              <w:right w:w="17" w:type="dxa"/>
            </w:tcMar>
            <w:vAlign w:val="center"/>
          </w:tcPr>
          <w:p>
            <w:pPr>
              <w:spacing w:line="360" w:lineRule="auto"/>
              <w:jc w:val="center"/>
              <w:rPr>
                <w:rFonts w:ascii="华文中宋" w:hAnsi="华文中宋" w:eastAsia="华文中宋" w:cs="宋体"/>
                <w:b w:val="0"/>
                <w:bCs/>
                <w:sz w:val="40"/>
                <w:szCs w:val="40"/>
              </w:rPr>
            </w:pPr>
            <w:r>
              <w:rPr>
                <w:rFonts w:hint="eastAsia" w:ascii="黑体" w:hAnsi="黑体" w:eastAsia="黑体" w:cs="黑体"/>
                <w:b w:val="0"/>
                <w:bCs/>
                <w:sz w:val="36"/>
                <w:szCs w:val="36"/>
              </w:rPr>
              <w:t>财务社保数据统计表</w:t>
            </w:r>
          </w:p>
        </w:tc>
      </w:tr>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b w:val="0"/>
                <w:bCs/>
              </w:rPr>
            </w:pPr>
            <w:r>
              <w:rPr>
                <w:b w:val="0"/>
                <w:bCs/>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-12065</wp:posOffset>
                      </wp:positionV>
                      <wp:extent cx="1616075" cy="553085"/>
                      <wp:effectExtent l="1270" t="4445" r="1905" b="1397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0.5pt;margin-top:-0.95pt;height:43.55pt;width:127.25pt;z-index:251669504;mso-width-relative:page;mso-height-relative:page;" filled="f" stroked="t"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RYTI1gAAAAcBAAAPAAAAAAAAAAEAIAAAACIAAABkcnMvZG93bnJl&#10;di54bWxQSwECFAAUAAAACACHTuJAzTw97P8BAADRAwAADgAAAAAAAAABACAAAAAlAQAAZHJzL2Uy&#10;b0RvYy54bWxQSwUGAAAAAAYABgBZAQAAlgUAAAAA&#10;">
                      <v:fill on="f" focussize="0,0"/>
                      <v:stroke color="#000000" joinstyle="round"/>
                      <v:imagedata o:title=""/>
                      <o:lock v:ext="edit" aspectratio="f"/>
                    </v:shape>
                  </w:pict>
                </mc:Fallback>
              </mc:AlternateContent>
            </w:r>
            <w:r>
              <w:rPr>
                <w:b w:val="0"/>
                <w:bCs/>
              </w:rPr>
              <w:t xml:space="preserve">                </w:t>
            </w:r>
            <w:r>
              <w:rPr>
                <w:rFonts w:hint="eastAsia" w:ascii="黑体" w:hAnsi="黑体" w:eastAsia="黑体"/>
                <w:b w:val="0"/>
                <w:bCs/>
              </w:rPr>
              <w:t>年</w:t>
            </w:r>
            <w:r>
              <w:rPr>
                <w:rFonts w:ascii="黑体" w:hAnsi="黑体" w:eastAsia="黑体"/>
                <w:b w:val="0"/>
                <w:bCs/>
              </w:rPr>
              <w:t xml:space="preserve"> </w:t>
            </w:r>
            <w:r>
              <w:rPr>
                <w:rFonts w:hint="eastAsia" w:ascii="黑体" w:hAnsi="黑体" w:eastAsia="黑体"/>
                <w:b w:val="0"/>
                <w:bCs/>
              </w:rPr>
              <w:t>度</w:t>
            </w:r>
            <w:r>
              <w:rPr>
                <w:b w:val="0"/>
                <w:bCs/>
              </w:rPr>
              <w:br w:type="textWrapping"/>
            </w:r>
            <w:r>
              <w:rPr>
                <w:rFonts w:hint="eastAsia" w:ascii="黑体" w:hAnsi="黑体" w:eastAsia="黑体"/>
                <w:b w:val="0"/>
                <w:bCs/>
              </w:rPr>
              <w:t>数据项目</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b w:val="0"/>
                <w:bCs/>
              </w:rPr>
              <w:t>三年平均数</w:t>
            </w:r>
          </w:p>
        </w:tc>
        <w:tc>
          <w:tcPr>
            <w:tcW w:w="1701"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cs="Times New Roman"/>
                <w:b w:val="0"/>
                <w:bCs/>
              </w:rPr>
              <w:t>页码</w:t>
            </w:r>
            <w:r>
              <w:rPr>
                <w:rFonts w:ascii="黑体" w:hAnsi="黑体" w:eastAsia="黑体" w:cs="Times New Roman"/>
                <w:b w:val="0"/>
                <w:bCs/>
              </w:rPr>
              <w:t>/</w:t>
            </w:r>
            <w:r>
              <w:rPr>
                <w:rFonts w:hint="eastAsia" w:ascii="黑体" w:hAnsi="黑体" w:eastAsia="黑体" w:cs="Times New Roman"/>
                <w:b w:val="0"/>
                <w:bCs/>
                <w:lang w:eastAsia="zh-CN"/>
              </w:rPr>
              <w:t>商务技术文件</w:t>
            </w:r>
            <w:r>
              <w:rPr>
                <w:rFonts w:ascii="黑体" w:hAnsi="黑体" w:eastAsia="黑体"/>
                <w:b w:val="0"/>
                <w:bCs/>
              </w:rPr>
              <w:t>或资格证明文件</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资产总额（万元）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净资产（万元）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净利润（万元）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主营业务收入（万元）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资产负债率</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年度纳税总金额（万元）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w:t>
            </w:r>
            <w:r>
              <w:rPr>
                <w:b w:val="0"/>
                <w:bCs/>
              </w:rPr>
              <w:t xml:space="preserve">  </w:t>
            </w:r>
            <w:r>
              <w:rPr>
                <w:rFonts w:hint="eastAsia"/>
                <w:b w:val="0"/>
                <w:bCs/>
              </w:rPr>
              <w:t>社保金额（万元）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年度缴纳社保人数</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7"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年度人均</w:t>
            </w:r>
            <w:r>
              <w:rPr>
                <w:b w:val="0"/>
                <w:bCs/>
              </w:rPr>
              <w:t xml:space="preserve">  </w:t>
            </w:r>
            <w:r>
              <w:rPr>
                <w:rFonts w:hint="eastAsia"/>
                <w:b w:val="0"/>
                <w:bCs/>
              </w:rPr>
              <w:t>社保金额（元）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年当地最低</w:t>
            </w:r>
            <w:r>
              <w:rPr>
                <w:b w:val="0"/>
                <w:bCs/>
              </w:rPr>
              <w:t xml:space="preserve">  </w:t>
            </w:r>
            <w:r>
              <w:rPr>
                <w:rFonts w:hint="eastAsia"/>
                <w:b w:val="0"/>
                <w:bCs/>
              </w:rPr>
              <w:t>工资标准（元）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7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人均社保金额</w:t>
            </w:r>
            <w:r>
              <w:rPr>
                <w:b w:val="0"/>
                <w:bCs/>
              </w:rPr>
              <w:t>/</w:t>
            </w:r>
            <w:r>
              <w:rPr>
                <w:rFonts w:ascii="黑体" w:hAnsi="黑体" w:eastAsia="黑体"/>
                <w:b w:val="0"/>
                <w:bCs/>
                <w:u w:val="single"/>
              </w:rPr>
              <w:t xml:space="preserve">   </w:t>
            </w:r>
            <w:r>
              <w:rPr>
                <w:rFonts w:hint="eastAsia"/>
                <w:b w:val="0"/>
                <w:bCs/>
              </w:rPr>
              <w:t>年当地最低工资标准</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说明：</w:t>
            </w:r>
            <w:r>
              <w:rPr>
                <w:b w:val="0"/>
                <w:bCs/>
              </w:rPr>
              <w:br w:type="textWrapping"/>
            </w:r>
            <w:r>
              <w:rPr>
                <w:b w:val="0"/>
                <w:bCs/>
              </w:rPr>
              <w:t xml:space="preserve">    1.</w:t>
            </w:r>
            <w:r>
              <w:rPr>
                <w:rFonts w:hint="eastAsia"/>
                <w:b w:val="0"/>
                <w:bCs/>
              </w:rPr>
              <w:t>采购机构根据评审标准具体内容确定本表具体项目。</w:t>
            </w:r>
          </w:p>
          <w:p>
            <w:pPr>
              <w:ind w:firstLine="420" w:firstLineChars="200"/>
              <w:rPr>
                <w:rFonts w:ascii="宋体" w:hAnsi="宋体" w:cs="宋体"/>
                <w:b w:val="0"/>
                <w:bCs/>
              </w:rPr>
            </w:pPr>
            <w:r>
              <w:rPr>
                <w:b w:val="0"/>
                <w:bCs/>
              </w:rPr>
              <w:t>2.</w:t>
            </w:r>
            <w:r>
              <w:rPr>
                <w:rFonts w:hint="eastAsia"/>
                <w:b w:val="0"/>
                <w:bCs/>
              </w:rPr>
              <w:t>纳税和社保情况依据税务（社保）部门出具的相关凭证如实填写，其他内容依据会计师事务所出具的《审计报告》中相关数据如实填写。</w:t>
            </w:r>
            <w:r>
              <w:rPr>
                <w:b w:val="0"/>
                <w:bCs/>
              </w:rPr>
              <w:br w:type="textWrapping"/>
            </w:r>
            <w:r>
              <w:rPr>
                <w:b w:val="0"/>
                <w:bCs/>
              </w:rPr>
              <w:t xml:space="preserve">    3.</w:t>
            </w:r>
            <w:r>
              <w:rPr>
                <w:rFonts w:hint="eastAsia"/>
                <w:b w:val="0"/>
                <w:bCs/>
              </w:rPr>
              <w:t>“页码”栏中填写数据所在《投标文件》或《资格证明文件》中的页码位置。</w:t>
            </w:r>
            <w:r>
              <w:rPr>
                <w:b w:val="0"/>
                <w:bCs/>
              </w:rPr>
              <w:br w:type="textWrapping"/>
            </w:r>
            <w:r>
              <w:rPr>
                <w:b w:val="0"/>
                <w:bCs/>
              </w:rPr>
              <w:t xml:space="preserve">    4.</w:t>
            </w:r>
            <w:r>
              <w:rPr>
                <w:rFonts w:hint="eastAsia"/>
                <w:b w:val="0"/>
                <w:bCs/>
              </w:rPr>
              <w:t>评标专家审核发现《财务社保数据统计表》与《审计报告》等证明材料中数据不一致的，以证明材料实际数据为准。</w:t>
            </w:r>
          </w:p>
        </w:tc>
      </w:tr>
    </w:tbl>
    <w:p>
      <w:pPr>
        <w:pStyle w:val="6"/>
        <w:spacing w:before="120" w:beforeLines="50" w:after="120" w:afterLines="50"/>
        <w:rPr>
          <w:rFonts w:ascii="宋体" w:hAnsi="宋体"/>
          <w:b w:val="0"/>
        </w:rPr>
      </w:pPr>
      <w:bookmarkStart w:id="397" w:name="_Toc9205"/>
      <w:bookmarkStart w:id="398" w:name="_Toc2915"/>
      <w:bookmarkStart w:id="399" w:name="_Toc895"/>
      <w:bookmarkStart w:id="400" w:name="_Toc24602"/>
      <w:bookmarkStart w:id="401" w:name="_Toc9284"/>
      <w:bookmarkStart w:id="402" w:name="_Toc22054"/>
      <w:bookmarkStart w:id="403" w:name="_Toc18434"/>
      <w:bookmarkStart w:id="404" w:name="_Toc10471"/>
      <w:bookmarkStart w:id="405" w:name="_Toc12480"/>
      <w:bookmarkStart w:id="406" w:name="_Toc5291"/>
      <w:bookmarkStart w:id="407" w:name="_Toc22641"/>
      <w:bookmarkStart w:id="408" w:name="_Toc1560"/>
      <w:r>
        <w:rPr>
          <w:rFonts w:hint="eastAsia"/>
          <w:b w:val="0"/>
        </w:rPr>
        <w:t>附件</w:t>
      </w:r>
      <w:r>
        <w:rPr>
          <w:b w:val="0"/>
        </w:rPr>
        <w:t>2-</w:t>
      </w:r>
      <w:r>
        <w:rPr>
          <w:rFonts w:hint="eastAsia"/>
          <w:b w:val="0"/>
          <w:lang w:val="en-US" w:eastAsia="zh-CN"/>
        </w:rPr>
        <w:t>8</w:t>
      </w:r>
      <w:r>
        <w:rPr>
          <w:b w:val="0"/>
        </w:rPr>
        <w:t xml:space="preserve"> </w:t>
      </w:r>
      <w:r>
        <w:rPr>
          <w:rFonts w:hint="eastAsia"/>
          <w:b w:val="0"/>
        </w:rPr>
        <w:t>售后服务方案</w:t>
      </w:r>
      <w:bookmarkEnd w:id="397"/>
      <w:bookmarkEnd w:id="398"/>
      <w:bookmarkEnd w:id="399"/>
      <w:bookmarkEnd w:id="400"/>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（由投标供应商根据项目需求及技术评审表中“售后服务”评审细则自行拟定）</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pStyle w:val="6"/>
        <w:spacing w:before="120" w:beforeLines="50" w:after="120" w:afterLines="50"/>
        <w:rPr>
          <w:b w:val="0"/>
        </w:rPr>
      </w:pPr>
      <w:r>
        <w:rPr>
          <w:b w:val="0"/>
          <w:lang w:val="zh-CN"/>
        </w:rPr>
        <w:br w:type="page"/>
      </w:r>
      <w:r>
        <w:rPr>
          <w:rFonts w:hint="eastAsia"/>
          <w:b w:val="0"/>
        </w:rPr>
        <w:t>附件</w:t>
      </w:r>
      <w:r>
        <w:rPr>
          <w:b w:val="0"/>
        </w:rPr>
        <w:t>2-</w:t>
      </w:r>
      <w:r>
        <w:rPr>
          <w:rFonts w:hint="eastAsia"/>
          <w:b w:val="0"/>
          <w:lang w:val="en-US" w:eastAsia="zh-CN"/>
        </w:rPr>
        <w:t>9</w:t>
      </w:r>
      <w:r>
        <w:rPr>
          <w:b w:val="0"/>
        </w:rPr>
        <w:t xml:space="preserve"> </w:t>
      </w:r>
      <w:r>
        <w:rPr>
          <w:rFonts w:hint="eastAsia"/>
          <w:b w:val="0"/>
        </w:rPr>
        <w:t>易损易耗件清单</w:t>
      </w:r>
      <w:bookmarkEnd w:id="401"/>
      <w:bookmarkEnd w:id="402"/>
      <w:bookmarkEnd w:id="403"/>
      <w:bookmarkEnd w:id="40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lang w:val="zh-CN"/>
        </w:rPr>
        <w:t>易损易耗件清单</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bCs/>
          <w:sz w:val="28"/>
          <w:szCs w:val="28"/>
          <w:u w:val="single"/>
        </w:rPr>
        <w:t xml:space="preserve"> </w:t>
      </w:r>
      <w:r>
        <w:rPr>
          <w:rFonts w:hint="eastAsia"/>
          <w:bCs/>
          <w:sz w:val="28"/>
          <w:szCs w:val="28"/>
        </w:rPr>
        <w:t>金额：元</w:t>
      </w:r>
    </w:p>
    <w:tbl>
      <w:tblPr>
        <w:tblStyle w:val="4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1134"/>
        <w:gridCol w:w="709"/>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bl>
    <w:p>
      <w:pPr>
        <w:ind w:firstLine="560" w:firstLineChars="200"/>
        <w:rPr>
          <w:bCs/>
          <w:sz w:val="28"/>
          <w:szCs w:val="28"/>
        </w:rPr>
      </w:pPr>
    </w:p>
    <w:p>
      <w:pPr>
        <w:spacing w:line="560" w:lineRule="exact"/>
        <w:rPr>
          <w:bCs/>
          <w:sz w:val="28"/>
          <w:szCs w:val="28"/>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560" w:lineRule="exact"/>
        <w:ind w:firstLine="560"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ind w:firstLine="420" w:firstLineChars="200"/>
        <w:rPr>
          <w:bCs/>
        </w:rPr>
      </w:pPr>
      <w:r>
        <w:rPr>
          <w:bCs/>
        </w:rPr>
        <w:br w:type="page"/>
      </w:r>
    </w:p>
    <w:bookmarkEnd w:id="405"/>
    <w:bookmarkEnd w:id="406"/>
    <w:bookmarkEnd w:id="407"/>
    <w:bookmarkEnd w:id="408"/>
    <w:p>
      <w:pPr>
        <w:pStyle w:val="6"/>
        <w:spacing w:before="120" w:beforeLines="50" w:after="120" w:afterLines="50"/>
        <w:rPr>
          <w:b w:val="0"/>
        </w:rPr>
      </w:pPr>
      <w:bookmarkStart w:id="409" w:name="_Toc9575"/>
      <w:bookmarkStart w:id="410" w:name="_Toc18148"/>
      <w:bookmarkStart w:id="411" w:name="_Toc27617"/>
      <w:bookmarkStart w:id="412" w:name="_Toc20867"/>
      <w:r>
        <w:rPr>
          <w:rFonts w:hint="eastAsia"/>
          <w:b w:val="0"/>
        </w:rPr>
        <w:t>附件</w:t>
      </w:r>
      <w:r>
        <w:rPr>
          <w:b w:val="0"/>
        </w:rPr>
        <w:t xml:space="preserve">2-10 </w:t>
      </w:r>
      <w:r>
        <w:rPr>
          <w:rFonts w:hint="eastAsia"/>
          <w:b w:val="0"/>
        </w:rPr>
        <w:t>技术方案和所投标产品技术支持</w:t>
      </w:r>
      <w:r>
        <w:rPr>
          <w:rFonts w:hint="eastAsia" w:ascii="宋体" w:hAnsi="宋体"/>
          <w:b w:val="0"/>
        </w:rPr>
        <w:t>材料</w:t>
      </w:r>
      <w:bookmarkEnd w:id="409"/>
      <w:bookmarkEnd w:id="410"/>
      <w:bookmarkEnd w:id="411"/>
      <w:bookmarkEnd w:id="412"/>
    </w:p>
    <w:p>
      <w:pPr>
        <w:spacing w:before="120" w:beforeLines="50" w:after="120" w:afterLines="50" w:line="560" w:lineRule="exact"/>
        <w:jc w:val="center"/>
        <w:rPr>
          <w:rFonts w:ascii="黑体" w:hAnsi="黑体" w:eastAsia="黑体" w:cs="黑体"/>
          <w:bCs/>
          <w:sz w:val="36"/>
          <w:szCs w:val="36"/>
          <w:lang w:val="zh-CN"/>
        </w:rPr>
      </w:pPr>
      <w:bookmarkStart w:id="413" w:name="_Toc285612608"/>
      <w:r>
        <w:rPr>
          <w:rFonts w:hint="eastAsia" w:ascii="黑体" w:hAnsi="黑体" w:eastAsia="黑体" w:cs="黑体"/>
          <w:bCs/>
          <w:sz w:val="36"/>
          <w:szCs w:val="36"/>
          <w:lang w:val="zh-CN"/>
        </w:rPr>
        <w:t>技术方案</w:t>
      </w:r>
      <w:bookmarkEnd w:id="413"/>
      <w:r>
        <w:rPr>
          <w:rFonts w:hint="eastAsia" w:ascii="黑体" w:hAnsi="黑体" w:eastAsia="黑体" w:cs="黑体"/>
          <w:bCs/>
          <w:sz w:val="36"/>
          <w:szCs w:val="36"/>
          <w:lang w:val="zh-CN"/>
        </w:rPr>
        <w:t>和所投标产品技术支持材料</w:t>
      </w:r>
    </w:p>
    <w:p>
      <w:pPr>
        <w:spacing w:line="560" w:lineRule="exact"/>
        <w:ind w:firstLine="560" w:firstLineChars="200"/>
        <w:rPr>
          <w:bCs/>
          <w:sz w:val="28"/>
          <w:szCs w:val="28"/>
          <w:lang w:val="zh-CN"/>
        </w:rPr>
      </w:pPr>
      <w:r>
        <w:rPr>
          <w:rFonts w:hint="eastAsia"/>
          <w:bCs/>
          <w:sz w:val="28"/>
          <w:szCs w:val="28"/>
          <w:lang w:val="zh-CN"/>
        </w:rPr>
        <w:t>（由投标供应商自行拟制技术方案，并按技术评审标准附相关证明材料，例如：生产、加工、制造、工艺控制及质量控制等。）</w:t>
      </w: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pStyle w:val="6"/>
        <w:spacing w:before="120" w:beforeLines="50" w:after="120" w:afterLines="50"/>
        <w:rPr>
          <w:rFonts w:hint="eastAsia" w:eastAsia="黑体"/>
          <w:b w:val="0"/>
          <w:lang w:val="zh-CN" w:eastAsia="zh-CN"/>
        </w:rPr>
      </w:pPr>
      <w:r>
        <w:rPr>
          <w:b w:val="0"/>
          <w:lang w:val="zh-CN"/>
        </w:rPr>
        <w:br w:type="page"/>
      </w:r>
      <w:bookmarkStart w:id="414" w:name="_Toc7882"/>
      <w:bookmarkStart w:id="415" w:name="_Toc9408"/>
      <w:bookmarkStart w:id="416" w:name="_Toc11379"/>
      <w:bookmarkStart w:id="417" w:name="_Toc4425"/>
      <w:r>
        <w:rPr>
          <w:rFonts w:hint="eastAsia"/>
          <w:b w:val="0"/>
        </w:rPr>
        <w:t>附件</w:t>
      </w:r>
      <w:r>
        <w:rPr>
          <w:b w:val="0"/>
        </w:rPr>
        <w:t xml:space="preserve">2-11 </w:t>
      </w:r>
      <w:r>
        <w:rPr>
          <w:rFonts w:hint="eastAsia"/>
          <w:b w:val="0"/>
        </w:rPr>
        <w:t>投标产品关键生产设备统计表</w:t>
      </w:r>
      <w:bookmarkEnd w:id="414"/>
      <w:bookmarkEnd w:id="415"/>
      <w:bookmarkEnd w:id="416"/>
      <w:bookmarkEnd w:id="417"/>
      <w:r>
        <w:rPr>
          <w:rFonts w:hint="eastAsia"/>
          <w:b w:val="0"/>
          <w:lang w:eastAsia="zh-CN"/>
        </w:rPr>
        <w:t>（如有）</w:t>
      </w:r>
    </w:p>
    <w:tbl>
      <w:tblPr>
        <w:tblStyle w:val="44"/>
        <w:tblW w:w="0" w:type="auto"/>
        <w:tblInd w:w="91" w:type="dxa"/>
        <w:tblLayout w:type="autofit"/>
        <w:tblCellMar>
          <w:top w:w="0" w:type="dxa"/>
          <w:left w:w="108" w:type="dxa"/>
          <w:bottom w:w="0" w:type="dxa"/>
          <w:right w:w="108" w:type="dxa"/>
        </w:tblCellMar>
      </w:tblPr>
      <w:tblGrid>
        <w:gridCol w:w="1870"/>
        <w:gridCol w:w="841"/>
        <w:gridCol w:w="2038"/>
        <w:gridCol w:w="1010"/>
        <w:gridCol w:w="2038"/>
        <w:gridCol w:w="841"/>
        <w:gridCol w:w="841"/>
      </w:tblGrid>
      <w:tr>
        <w:tblPrEx>
          <w:tblCellMar>
            <w:top w:w="0" w:type="dxa"/>
            <w:left w:w="108" w:type="dxa"/>
            <w:bottom w:w="0" w:type="dxa"/>
            <w:right w:w="108" w:type="dxa"/>
          </w:tblCellMar>
        </w:tblPrEx>
        <w:trPr>
          <w:trHeight w:val="852" w:hRule="atLeast"/>
        </w:trPr>
        <w:tc>
          <w:tcPr>
            <w:tcW w:w="0" w:type="auto"/>
            <w:gridSpan w:val="7"/>
            <w:tcBorders>
              <w:top w:val="nil"/>
              <w:left w:val="nil"/>
              <w:bottom w:val="nil"/>
              <w:right w:val="nil"/>
            </w:tcBorders>
            <w:vAlign w:val="center"/>
          </w:tcPr>
          <w:p>
            <w:pPr>
              <w:widowControl/>
              <w:jc w:val="center"/>
              <w:rPr>
                <w:rFonts w:ascii="华文中宋" w:hAnsi="华文中宋" w:eastAsia="华文中宋" w:cs="宋体"/>
                <w:bCs/>
                <w:sz w:val="40"/>
                <w:szCs w:val="40"/>
              </w:rPr>
            </w:pPr>
            <w:r>
              <w:rPr>
                <w:rFonts w:hint="eastAsia" w:ascii="黑体" w:hAnsi="黑体" w:eastAsia="黑体" w:cs="黑体"/>
                <w:bCs/>
                <w:sz w:val="36"/>
                <w:szCs w:val="36"/>
              </w:rPr>
              <w:t>投标产品关键生产设备统计表</w:t>
            </w:r>
          </w:p>
        </w:tc>
      </w:tr>
      <w:tr>
        <w:tblPrEx>
          <w:tblCellMar>
            <w:top w:w="0" w:type="dxa"/>
            <w:left w:w="108" w:type="dxa"/>
            <w:bottom w:w="0" w:type="dxa"/>
            <w:right w:w="108" w:type="dxa"/>
          </w:tblCellMar>
        </w:tblPrEx>
        <w:trPr>
          <w:trHeight w:val="65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cs="宋体" w:asciiTheme="minorEastAsia" w:hAnsiTheme="minorEastAsia" w:eastAsiaTheme="minorEastAsia"/>
                <w:bCs/>
                <w:sz w:val="24"/>
              </w:rPr>
            </w:pPr>
            <w:r>
              <w:rPr>
                <w:rFonts w:cs="黑体" w:asciiTheme="minorEastAsia" w:hAnsiTheme="minorEastAsia" w:eastAsiaTheme="minorEastAsia"/>
                <w:bCs/>
                <w:sz w:val="24"/>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13335</wp:posOffset>
                      </wp:positionV>
                      <wp:extent cx="1216025" cy="393065"/>
                      <wp:effectExtent l="0" t="0" r="22225" b="2603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216025" cy="3930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95pt;margin-top:1.05pt;height:30.95pt;width:95.75pt;z-index:251662336;mso-width-relative:page;mso-height-relative:page;" filled="f" stroked="t" coordsize="21600,21600" o:gfxdata="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plOW1wAAAAgBAAAPAAAAAAAAAAEAIAAAACIAAABkcnMvZG93bnJldi54bWxQ&#10;SwECFAAUAAAACACHTuJAJ3teYPgBAADDAwAADgAAAAAAAAABACAAAAAmAQAAZHJzL2Uyb0RvYy54&#10;bWxQSwUGAAAAAAYABgBZAQAAkAUAAAAA&#10;">
                      <v:fill on="f" focussize="0,0"/>
                      <v:stroke color="#000000" joinstyle="round"/>
                      <v:imagedata o:title=""/>
                      <o:lock v:ext="edit" aspectratio="f"/>
                    </v:shape>
                  </w:pict>
                </mc:Fallback>
              </mc:AlternateContent>
            </w:r>
            <w:r>
              <w:rPr>
                <w:rFonts w:cs="宋体" w:asciiTheme="minorEastAsia" w:hAnsiTheme="minorEastAsia" w:eastAsiaTheme="minorEastAsia"/>
                <w:bCs/>
                <w:sz w:val="24"/>
              </w:rPr>
              <w:t xml:space="preserve">     项目  </w:t>
            </w:r>
          </w:p>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设备名称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购买</w:t>
            </w:r>
          </w:p>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年月</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设备原值（万元）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折旧率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设备净值（万元）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汇率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页码</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0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33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448" w:hRule="atLeast"/>
        </w:trPr>
        <w:tc>
          <w:tcPr>
            <w:tcW w:w="0" w:type="auto"/>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bCs/>
                <w:sz w:val="24"/>
              </w:rPr>
            </w:pPr>
            <w:r>
              <w:rPr>
                <w:rFonts w:hint="eastAsia" w:ascii="宋体" w:hAnsi="宋体"/>
                <w:bCs/>
                <w:sz w:val="24"/>
              </w:rPr>
              <w:t>说明：</w:t>
            </w:r>
          </w:p>
          <w:p>
            <w:pPr>
              <w:widowControl/>
              <w:spacing w:line="276" w:lineRule="auto"/>
              <w:ind w:firstLine="480" w:firstLineChars="200"/>
              <w:jc w:val="left"/>
              <w:rPr>
                <w:rFonts w:ascii="宋体" w:hAnsi="宋体" w:cs="宋体"/>
                <w:bCs/>
                <w:sz w:val="24"/>
              </w:rPr>
            </w:pPr>
            <w:r>
              <w:rPr>
                <w:rFonts w:ascii="宋体" w:hAnsi="宋体" w:cs="宋体"/>
                <w:bCs/>
                <w:sz w:val="24"/>
              </w:rPr>
              <w:t>1.只需提供</w:t>
            </w:r>
            <w:r>
              <w:rPr>
                <w:rFonts w:ascii="宋体" w:hAnsi="宋体" w:cs="宋体"/>
                <w:bCs/>
                <w:sz w:val="24"/>
                <w:u w:val="single"/>
              </w:rPr>
              <w:t xml:space="preserve">     </w:t>
            </w:r>
            <w:r>
              <w:rPr>
                <w:rFonts w:hint="eastAsia" w:ascii="宋体" w:hAnsi="宋体" w:cs="宋体"/>
                <w:bCs/>
                <w:sz w:val="24"/>
              </w:rPr>
              <w:t>年内的相关设备相关材料，投标截止时间当年度购买的设备净值按</w:t>
            </w:r>
            <w:r>
              <w:rPr>
                <w:rFonts w:ascii="宋体" w:hAnsi="宋体" w:cs="宋体"/>
                <w:bCs/>
                <w:sz w:val="24"/>
              </w:rPr>
              <w:t>100%计算（投标截止时间前3个月后购买的设备无效），每向前一个年度折旧率递增</w:t>
            </w:r>
            <w:r>
              <w:rPr>
                <w:rFonts w:ascii="宋体" w:hAnsi="宋体" w:cs="宋体"/>
                <w:bCs/>
                <w:sz w:val="24"/>
                <w:u w:val="single"/>
              </w:rPr>
              <w:t xml:space="preserve">   </w:t>
            </w:r>
            <w:r>
              <w:rPr>
                <w:rFonts w:ascii="宋体" w:hAnsi="宋体" w:cs="宋体"/>
                <w:bCs/>
                <w:sz w:val="24"/>
              </w:rPr>
              <w:t>%，即</w:t>
            </w:r>
            <w:r>
              <w:rPr>
                <w:rFonts w:ascii="宋体" w:hAnsi="宋体" w:cs="宋体"/>
                <w:bCs/>
                <w:sz w:val="24"/>
                <w:u w:val="single"/>
              </w:rPr>
              <w:t xml:space="preserve">   </w:t>
            </w:r>
            <w:r>
              <w:rPr>
                <w:rFonts w:hint="eastAsia" w:ascii="宋体" w:hAnsi="宋体" w:cs="宋体"/>
                <w:bCs/>
                <w:sz w:val="24"/>
              </w:rPr>
              <w:t>年</w:t>
            </w:r>
            <w:r>
              <w:rPr>
                <w:rFonts w:ascii="宋体" w:hAnsi="宋体" w:cs="宋体"/>
                <w:bCs/>
                <w:sz w:val="24"/>
              </w:rPr>
              <w:t>1月前购买的设备净值为0。</w:t>
            </w:r>
          </w:p>
          <w:p>
            <w:pPr>
              <w:widowControl/>
              <w:spacing w:line="276" w:lineRule="auto"/>
              <w:ind w:firstLine="480" w:firstLineChars="200"/>
              <w:jc w:val="left"/>
              <w:rPr>
                <w:rFonts w:ascii="宋体" w:hAnsi="宋体" w:cs="宋体"/>
                <w:bCs/>
                <w:sz w:val="24"/>
              </w:rPr>
            </w:pPr>
            <w:r>
              <w:rPr>
                <w:rFonts w:ascii="宋体" w:hAnsi="宋体" w:cs="宋体"/>
                <w:bCs/>
                <w:sz w:val="24"/>
              </w:rPr>
              <w:t>2.进口设备需填写设备购买当年12月31日汇率，并按照该汇率计算设备购买金额。</w:t>
            </w:r>
          </w:p>
          <w:p>
            <w:pPr>
              <w:widowControl/>
              <w:spacing w:line="276" w:lineRule="auto"/>
              <w:ind w:firstLine="480" w:firstLineChars="200"/>
              <w:jc w:val="left"/>
              <w:rPr>
                <w:rFonts w:ascii="宋体" w:hAnsi="宋体" w:cs="宋体"/>
                <w:bCs/>
                <w:sz w:val="24"/>
              </w:rPr>
            </w:pPr>
            <w:r>
              <w:rPr>
                <w:rFonts w:ascii="宋体" w:hAnsi="宋体" w:cs="宋体"/>
                <w:bCs/>
                <w:sz w:val="24"/>
              </w:rPr>
              <w:t>3.设备净值＝设备原值－设备原值*折旧率。</w:t>
            </w:r>
          </w:p>
          <w:p>
            <w:pPr>
              <w:widowControl/>
              <w:spacing w:line="276" w:lineRule="auto"/>
              <w:ind w:firstLine="480" w:firstLineChars="200"/>
              <w:jc w:val="left"/>
              <w:rPr>
                <w:rFonts w:ascii="宋体" w:hAnsi="宋体" w:cs="宋体"/>
                <w:bCs/>
                <w:sz w:val="24"/>
              </w:rPr>
            </w:pPr>
            <w:r>
              <w:rPr>
                <w:rFonts w:ascii="宋体" w:hAnsi="宋体" w:cs="宋体"/>
                <w:bCs/>
                <w:sz w:val="24"/>
              </w:rPr>
              <w:t>4.每种设备均需附购置票据复印件，进口设备需附进口报关单复印件，复印件不清晰的视为无效设备。</w:t>
            </w:r>
          </w:p>
          <w:p>
            <w:pPr>
              <w:widowControl/>
              <w:spacing w:line="276" w:lineRule="auto"/>
              <w:ind w:firstLine="480" w:firstLineChars="200"/>
              <w:jc w:val="left"/>
              <w:rPr>
                <w:rFonts w:ascii="宋体" w:hAnsi="宋体" w:cs="宋体"/>
                <w:bCs/>
                <w:sz w:val="24"/>
              </w:rPr>
            </w:pPr>
            <w:r>
              <w:rPr>
                <w:rFonts w:ascii="宋体" w:hAnsi="宋体" w:cs="宋体"/>
                <w:bCs/>
                <w:sz w:val="24"/>
              </w:rPr>
              <w:t>5.“页码”栏中填写该设备证明材料所在“商务技术文件”中的页码位置。</w:t>
            </w:r>
          </w:p>
          <w:p>
            <w:pPr>
              <w:widowControl/>
              <w:spacing w:line="276" w:lineRule="auto"/>
              <w:ind w:firstLine="480" w:firstLineChars="200"/>
              <w:jc w:val="left"/>
              <w:rPr>
                <w:rFonts w:cs="宋体" w:asciiTheme="minorEastAsia" w:hAnsiTheme="minorEastAsia" w:eastAsiaTheme="minorEastAsia"/>
                <w:bCs/>
                <w:sz w:val="24"/>
              </w:rPr>
            </w:pPr>
            <w:r>
              <w:rPr>
                <w:rFonts w:ascii="宋体" w:hAnsi="宋体" w:cs="宋体"/>
                <w:bCs/>
                <w:sz w:val="24"/>
              </w:rPr>
              <w:t>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p>
        </w:tc>
      </w:tr>
    </w:tbl>
    <w:p>
      <w:pPr>
        <w:pStyle w:val="6"/>
        <w:spacing w:before="120" w:beforeLines="50" w:after="120" w:afterLines="50"/>
        <w:rPr>
          <w:rFonts w:ascii="宋体" w:hAnsi="宋体"/>
          <w:b w:val="0"/>
          <w:color w:val="auto"/>
        </w:rPr>
      </w:pPr>
      <w:r>
        <w:rPr>
          <w:b w:val="0"/>
          <w:lang w:val="zh-CN"/>
        </w:rPr>
        <w:br w:type="page"/>
      </w:r>
      <w:bookmarkStart w:id="418" w:name="_Toc11724"/>
      <w:bookmarkStart w:id="419" w:name="_Toc9822"/>
      <w:bookmarkStart w:id="420" w:name="_Toc16214"/>
      <w:bookmarkStart w:id="421" w:name="_Toc8834"/>
      <w:bookmarkStart w:id="422" w:name="_Toc299"/>
      <w:bookmarkStart w:id="423" w:name="_Toc25244"/>
      <w:bookmarkStart w:id="424" w:name="_Toc15725"/>
      <w:bookmarkStart w:id="425" w:name="_Toc19897"/>
      <w:r>
        <w:rPr>
          <w:rFonts w:hint="eastAsia"/>
          <w:b w:val="0"/>
          <w:color w:val="auto"/>
        </w:rPr>
        <w:t>附件</w:t>
      </w:r>
      <w:r>
        <w:rPr>
          <w:b w:val="0"/>
          <w:color w:val="auto"/>
        </w:rPr>
        <w:t>2-1</w:t>
      </w:r>
      <w:r>
        <w:rPr>
          <w:rFonts w:hint="eastAsia"/>
          <w:b w:val="0"/>
          <w:color w:val="auto"/>
          <w:lang w:val="en-US" w:eastAsia="zh-CN"/>
        </w:rPr>
        <w:t xml:space="preserve">2 </w:t>
      </w:r>
      <w:r>
        <w:rPr>
          <w:rFonts w:hint="eastAsia"/>
          <w:b w:val="0"/>
          <w:color w:val="auto"/>
        </w:rPr>
        <w:t>商务评审表要求的内容（不含价格因素）</w:t>
      </w:r>
    </w:p>
    <w:p>
      <w:pPr>
        <w:widowControl/>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同类项目业绩</w:t>
      </w:r>
    </w:p>
    <w:p>
      <w:pPr>
        <w:rPr>
          <w:bCs/>
          <w:color w:val="auto"/>
          <w:sz w:val="28"/>
          <w:szCs w:val="28"/>
        </w:rPr>
      </w:pPr>
      <w:r>
        <w:rPr>
          <w:rFonts w:hint="eastAsia"/>
          <w:bCs/>
          <w:color w:val="auto"/>
          <w:sz w:val="28"/>
          <w:szCs w:val="28"/>
        </w:rPr>
        <w:t>项目名称：</w:t>
      </w:r>
      <w:r>
        <w:rPr>
          <w:bCs/>
          <w:color w:val="auto"/>
          <w:sz w:val="28"/>
          <w:szCs w:val="28"/>
          <w:u w:val="single"/>
        </w:rPr>
        <w:t xml:space="preserve">          </w:t>
      </w:r>
      <w:r>
        <w:rPr>
          <w:bCs/>
          <w:color w:val="auto"/>
          <w:sz w:val="28"/>
          <w:szCs w:val="28"/>
        </w:rPr>
        <w:t xml:space="preserve">    </w:t>
      </w:r>
      <w:r>
        <w:rPr>
          <w:rFonts w:hint="eastAsia"/>
          <w:bCs/>
          <w:color w:val="auto"/>
          <w:sz w:val="28"/>
          <w:szCs w:val="28"/>
        </w:rPr>
        <w:t>项目编号：</w:t>
      </w:r>
      <w:r>
        <w:rPr>
          <w:bCs/>
          <w:color w:val="auto"/>
          <w:sz w:val="28"/>
          <w:szCs w:val="28"/>
          <w:u w:val="single"/>
        </w:rPr>
        <w:t xml:space="preserve">            </w:t>
      </w:r>
      <w:r>
        <w:rPr>
          <w:bCs/>
          <w:color w:val="auto"/>
          <w:sz w:val="28"/>
          <w:szCs w:val="28"/>
        </w:rPr>
        <w:t xml:space="preserve">   </w:t>
      </w:r>
      <w:r>
        <w:rPr>
          <w:rFonts w:hint="eastAsia"/>
          <w:bCs/>
          <w:color w:val="auto"/>
          <w:sz w:val="28"/>
          <w:szCs w:val="28"/>
        </w:rPr>
        <w:t>包号：</w:t>
      </w:r>
      <w:r>
        <w:rPr>
          <w:bCs/>
          <w:color w:val="auto"/>
          <w:sz w:val="28"/>
          <w:szCs w:val="28"/>
          <w:u w:val="single"/>
        </w:rPr>
        <w:t xml:space="preserve">         </w:t>
      </w:r>
    </w:p>
    <w:tbl>
      <w:tblPr>
        <w:tblStyle w:val="44"/>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2"/>
        <w:gridCol w:w="1123"/>
        <w:gridCol w:w="1670"/>
        <w:gridCol w:w="1679"/>
        <w:gridCol w:w="710"/>
        <w:gridCol w:w="129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w:t>
            </w:r>
          </w:p>
          <w:p>
            <w:pPr>
              <w:jc w:val="center"/>
              <w:rPr>
                <w:bCs/>
                <w:color w:val="auto"/>
                <w:sz w:val="24"/>
              </w:rPr>
            </w:pPr>
            <w:r>
              <w:rPr>
                <w:rFonts w:hint="eastAsia"/>
                <w:bCs/>
                <w:color w:val="auto"/>
                <w:sz w:val="24"/>
              </w:rPr>
              <w:t>名称</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w:t>
            </w:r>
          </w:p>
          <w:p>
            <w:pPr>
              <w:jc w:val="center"/>
              <w:rPr>
                <w:bCs/>
                <w:color w:val="auto"/>
                <w:sz w:val="24"/>
              </w:rPr>
            </w:pPr>
            <w:r>
              <w:rPr>
                <w:rFonts w:hint="eastAsia"/>
                <w:bCs/>
                <w:color w:val="auto"/>
                <w:sz w:val="24"/>
              </w:rPr>
              <w:t>名称</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项目内容</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合同有效金额（万元）</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签订日期</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用户联系人及电话</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合计</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1"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ind w:leftChars="-56" w:hanging="117" w:hangingChars="49"/>
              <w:jc w:val="left"/>
              <w:rPr>
                <w:rFonts w:ascii="宋体" w:hAnsi="宋体"/>
                <w:bCs/>
                <w:color w:val="auto"/>
                <w:sz w:val="24"/>
              </w:rPr>
            </w:pPr>
            <w:r>
              <w:rPr>
                <w:rFonts w:ascii="宋体" w:hAnsi="宋体"/>
                <w:bCs/>
                <w:color w:val="auto"/>
                <w:sz w:val="24"/>
              </w:rPr>
              <w:t>备注：</w:t>
            </w:r>
          </w:p>
          <w:p>
            <w:pPr>
              <w:widowControl/>
              <w:spacing w:line="276" w:lineRule="auto"/>
              <w:ind w:firstLine="480" w:firstLineChars="200"/>
              <w:jc w:val="left"/>
              <w:rPr>
                <w:rFonts w:ascii="黑体" w:hAnsi="黑体" w:eastAsia="黑体" w:cs="宋体"/>
                <w:bCs/>
                <w:color w:val="auto"/>
                <w:sz w:val="24"/>
              </w:rPr>
            </w:pPr>
            <w:r>
              <w:rPr>
                <w:rFonts w:ascii="宋体" w:hAnsi="宋体" w:cs="宋体"/>
                <w:bCs/>
                <w:color w:val="auto"/>
                <w:sz w:val="24"/>
              </w:rPr>
              <w:t>1.</w:t>
            </w:r>
            <w:r>
              <w:rPr>
                <w:rFonts w:hint="eastAsia" w:ascii="宋体" w:hAnsi="宋体" w:cs="宋体"/>
                <w:bCs/>
                <w:color w:val="auto"/>
                <w:sz w:val="24"/>
              </w:rPr>
              <w:t>同类项目指本次招标的产品或同类产品</w:t>
            </w:r>
            <w:r>
              <w:rPr>
                <w:rFonts w:hint="eastAsia" w:ascii="宋体" w:hAnsi="宋体"/>
                <w:bCs/>
                <w:color w:val="auto"/>
                <w:sz w:val="28"/>
                <w:szCs w:val="28"/>
              </w:rPr>
              <w:t>，</w:t>
            </w:r>
            <w:r>
              <w:rPr>
                <w:rFonts w:hint="eastAsia" w:ascii="宋体" w:hAnsi="宋体" w:cs="宋体"/>
                <w:bCs/>
                <w:color w:val="auto"/>
                <w:sz w:val="24"/>
              </w:rPr>
              <w:t>具体在评审标准中明确范围。合同有效金额是指合同中本次招标的相同产品或同类产品金额。</w:t>
            </w:r>
            <w:r>
              <w:rPr>
                <w:rFonts w:hint="eastAsia" w:ascii="黑体" w:hAnsi="黑体" w:eastAsia="黑体" w:cs="宋体"/>
                <w:bCs/>
                <w:color w:val="auto"/>
                <w:sz w:val="24"/>
              </w:rPr>
              <w:t>该表严格按照《商务评审标准表》明确的相关要求填报。</w:t>
            </w:r>
          </w:p>
          <w:p>
            <w:pPr>
              <w:pStyle w:val="16"/>
              <w:spacing w:after="0" w:line="276" w:lineRule="auto"/>
              <w:ind w:firstLine="480" w:firstLineChars="200"/>
              <w:rPr>
                <w:rFonts w:ascii="宋体" w:hAnsi="宋体"/>
                <w:color w:val="auto"/>
                <w:sz w:val="24"/>
              </w:rPr>
            </w:pPr>
            <w:r>
              <w:rPr>
                <w:rFonts w:ascii="宋体" w:hAnsi="宋体"/>
                <w:color w:val="auto"/>
                <w:sz w:val="24"/>
              </w:rPr>
              <w:t>2.</w:t>
            </w:r>
            <w:r>
              <w:rPr>
                <w:rFonts w:hint="eastAsia" w:ascii="宋体" w:hAnsi="宋体"/>
                <w:bCs/>
                <w:color w:val="auto"/>
                <w:sz w:val="24"/>
              </w:rPr>
              <w:t>项目内容包括同类项目，产品名称、型号等。</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3.“页码”栏中填写</w:t>
            </w:r>
            <w:r>
              <w:rPr>
                <w:rFonts w:hint="eastAsia" w:ascii="宋体" w:hAnsi="宋体" w:cs="宋体"/>
                <w:bCs/>
                <w:color w:val="auto"/>
                <w:sz w:val="24"/>
              </w:rPr>
              <w:t>业绩材料</w:t>
            </w:r>
            <w:r>
              <w:rPr>
                <w:rFonts w:ascii="宋体" w:hAnsi="宋体" w:cs="宋体"/>
                <w:bCs/>
                <w:color w:val="auto"/>
                <w:sz w:val="24"/>
              </w:rPr>
              <w:t>所在“商务技术文件”中的页码位置。</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4</w:t>
            </w:r>
            <w:r>
              <w:rPr>
                <w:rFonts w:hint="eastAsia" w:ascii="宋体" w:hAnsi="宋体" w:cs="宋体"/>
                <w:bCs/>
                <w:color w:val="auto"/>
                <w:sz w:val="24"/>
              </w:rPr>
              <w:t>.合同缔约方存在控股或管理关系的，该合同无效。</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5.投标供应商提供虚假合同的，按虚假投标处理。</w:t>
            </w:r>
          </w:p>
          <w:p>
            <w:pPr>
              <w:ind w:firstLine="480" w:firstLineChars="200"/>
              <w:jc w:val="left"/>
              <w:rPr>
                <w:bCs/>
                <w:color w:val="auto"/>
                <w:sz w:val="24"/>
              </w:rPr>
            </w:pPr>
            <w:r>
              <w:rPr>
                <w:rFonts w:ascii="宋体" w:hAnsi="宋体"/>
                <w:color w:val="auto"/>
                <w:sz w:val="24"/>
              </w:rPr>
              <w:t>6</w:t>
            </w:r>
            <w:r>
              <w:rPr>
                <w:rFonts w:hint="eastAsia" w:ascii="宋体" w:hAnsi="宋体"/>
                <w:color w:val="auto"/>
                <w:sz w:val="24"/>
              </w:rPr>
              <w:t>.合同中涉及总价、单价、规格、</w:t>
            </w:r>
            <w:r>
              <w:rPr>
                <w:rFonts w:hint="eastAsia" w:ascii="宋体" w:hAnsi="宋体" w:cs="宋体"/>
                <w:bCs/>
                <w:color w:val="auto"/>
                <w:sz w:val="24"/>
              </w:rPr>
              <w:t>缔约方</w:t>
            </w:r>
            <w:r>
              <w:rPr>
                <w:rFonts w:hint="eastAsia" w:ascii="宋体" w:hAnsi="宋体"/>
                <w:color w:val="auto"/>
                <w:sz w:val="24"/>
              </w:rPr>
              <w:t>签字盖章等关键信息应当清晰可辨，否则视为无效合同。</w:t>
            </w:r>
          </w:p>
        </w:tc>
      </w:tr>
    </w:tbl>
    <w:p>
      <w:pPr>
        <w:pStyle w:val="16"/>
        <w:widowControl/>
        <w:spacing w:after="0" w:line="560" w:lineRule="exact"/>
        <w:ind w:firstLine="560" w:firstLineChars="200"/>
        <w:jc w:val="left"/>
        <w:rPr>
          <w:bCs/>
          <w:color w:val="auto"/>
          <w:sz w:val="28"/>
          <w:szCs w:val="28"/>
          <w:lang w:val="zh-CN"/>
        </w:rPr>
      </w:pPr>
    </w:p>
    <w:p>
      <w:pPr>
        <w:rPr>
          <w:rFonts w:hint="eastAsia" w:cs="Times New Roman"/>
          <w:color w:val="auto"/>
          <w:sz w:val="24"/>
          <w:szCs w:val="18"/>
        </w:rPr>
      </w:pPr>
      <w:r>
        <w:rPr>
          <w:rFonts w:hint="eastAsia" w:cs="Times New Roman"/>
          <w:color w:val="auto"/>
          <w:sz w:val="24"/>
          <w:szCs w:val="18"/>
        </w:rPr>
        <w:br w:type="page"/>
      </w:r>
    </w:p>
    <w:p>
      <w:pPr>
        <w:rPr>
          <w:rFonts w:hint="eastAsia"/>
          <w:b w:val="0"/>
        </w:rPr>
      </w:pPr>
    </w:p>
    <w:p>
      <w:pPr>
        <w:pStyle w:val="6"/>
        <w:spacing w:before="120" w:beforeLines="50" w:after="120" w:afterLines="50"/>
        <w:rPr>
          <w:rFonts w:hint="eastAsia" w:ascii="宋体" w:hAnsi="宋体" w:eastAsia="黑体"/>
          <w:b w:val="0"/>
          <w:lang w:eastAsia="zh-CN"/>
        </w:rPr>
      </w:pPr>
      <w:r>
        <w:rPr>
          <w:rFonts w:hint="eastAsia"/>
          <w:b w:val="0"/>
        </w:rPr>
        <w:t>附件</w:t>
      </w:r>
      <w:r>
        <w:rPr>
          <w:b w:val="0"/>
        </w:rPr>
        <w:t>2-1</w:t>
      </w:r>
      <w:r>
        <w:rPr>
          <w:rFonts w:hint="eastAsia"/>
          <w:b w:val="0"/>
          <w:lang w:val="en-US" w:eastAsia="zh-CN"/>
        </w:rPr>
        <w:t>3</w:t>
      </w:r>
      <w:r>
        <w:rPr>
          <w:b w:val="0"/>
        </w:rPr>
        <w:t xml:space="preserve"> </w:t>
      </w:r>
      <w:r>
        <w:rPr>
          <w:rFonts w:hint="eastAsia"/>
          <w:b w:val="0"/>
        </w:rPr>
        <w:t>技术力量清单及证明材料</w:t>
      </w:r>
      <w:bookmarkEnd w:id="418"/>
      <w:bookmarkEnd w:id="419"/>
      <w:bookmarkEnd w:id="420"/>
      <w:bookmarkEnd w:id="421"/>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（由投标供应商根据项目需求及技术评审标准表中“技术力量”评审标准自行拟定，并后附评审标准要求的证明</w:t>
      </w:r>
      <w:r>
        <w:rPr>
          <w:rFonts w:hint="eastAsia" w:ascii="宋体" w:hAnsi="宋体"/>
          <w:bCs/>
          <w:sz w:val="28"/>
          <w:szCs w:val="28"/>
        </w:rPr>
        <w:t>材料。</w:t>
      </w:r>
      <w:r>
        <w:rPr>
          <w:rFonts w:hint="eastAsia"/>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ind w:firstLine="560" w:firstLineChars="200"/>
        <w:jc w:val="center"/>
        <w:rPr>
          <w:bCs/>
          <w:sz w:val="36"/>
          <w:szCs w:val="36"/>
        </w:rPr>
      </w:pPr>
      <w:r>
        <w:rPr>
          <w:bCs/>
          <w:snapToGrid w:val="0"/>
          <w:sz w:val="28"/>
          <w:szCs w:val="28"/>
          <w:lang w:val="zh-CN"/>
        </w:rPr>
        <w:br w:type="page"/>
      </w:r>
    </w:p>
    <w:bookmarkEnd w:id="422"/>
    <w:bookmarkEnd w:id="423"/>
    <w:bookmarkEnd w:id="424"/>
    <w:bookmarkEnd w:id="425"/>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eastAsia="黑体"/>
          <w:b w:val="0"/>
          <w:bCs/>
          <w:lang w:eastAsia="zh-CN"/>
        </w:rPr>
      </w:pPr>
      <w:bookmarkStart w:id="426" w:name="_Toc19663"/>
      <w:bookmarkStart w:id="427" w:name="_Toc10912"/>
      <w:bookmarkStart w:id="428" w:name="_Toc25966"/>
      <w:bookmarkStart w:id="429" w:name="_Toc2615"/>
      <w:r>
        <w:rPr>
          <w:rFonts w:hint="eastAsia"/>
          <w:b w:val="0"/>
          <w:bCs/>
        </w:rPr>
        <w:t>附件</w:t>
      </w:r>
      <w:r>
        <w:rPr>
          <w:b w:val="0"/>
          <w:bCs/>
        </w:rPr>
        <w:t xml:space="preserve">2-14 </w:t>
      </w:r>
      <w:r>
        <w:rPr>
          <w:rFonts w:hint="eastAsia"/>
          <w:b w:val="0"/>
          <w:bCs/>
        </w:rPr>
        <w:t>投标供应商专利技术证书</w:t>
      </w:r>
      <w:r>
        <w:rPr>
          <w:rFonts w:hint="eastAsia"/>
          <w:b w:val="0"/>
          <w:bCs/>
          <w:lang w:eastAsia="zh-CN"/>
        </w:rPr>
        <w:t>（</w:t>
      </w:r>
      <w:r>
        <w:rPr>
          <w:rFonts w:hint="eastAsia"/>
          <w:b w:val="0"/>
          <w:bCs/>
          <w:lang w:val="en-US" w:eastAsia="zh-CN"/>
        </w:rPr>
        <w:t>如有</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投标供应商专利技术证书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b w:val="0"/>
          <w:bCs/>
          <w:sz w:val="28"/>
          <w:szCs w:val="28"/>
          <w:lang w:val="zh-CN"/>
        </w:rPr>
      </w:pPr>
      <w:r>
        <w:rPr>
          <w:rFonts w:hint="eastAsia"/>
          <w:b w:val="0"/>
          <w:bCs/>
          <w:sz w:val="28"/>
          <w:szCs w:val="28"/>
          <w:lang w:val="zh-CN"/>
        </w:rPr>
        <w:t>（由投标供应商自行拟定，包括发明专利、实用新型专利）</w:t>
      </w:r>
    </w:p>
    <w:p>
      <w:pPr>
        <w:pStyle w:val="6"/>
        <w:spacing w:before="120" w:beforeLines="50" w:after="120" w:afterLines="50"/>
        <w:rPr>
          <w:rFonts w:hint="eastAsia" w:eastAsia="黑体"/>
          <w:b w:val="0"/>
          <w:lang w:eastAsia="zh-CN"/>
        </w:rPr>
      </w:pPr>
      <w:r>
        <w:rPr>
          <w:b w:val="0"/>
          <w:snapToGrid w:val="0"/>
        </w:rPr>
        <w:br w:type="page"/>
      </w:r>
      <w:r>
        <w:rPr>
          <w:rFonts w:hint="eastAsia"/>
          <w:b w:val="0"/>
        </w:rPr>
        <w:t>附件</w:t>
      </w:r>
      <w:r>
        <w:rPr>
          <w:b w:val="0"/>
        </w:rPr>
        <w:t>2-15</w:t>
      </w:r>
      <w:r>
        <w:rPr>
          <w:rFonts w:hint="eastAsia"/>
          <w:b w:val="0"/>
        </w:rPr>
        <w:t>其他</w:t>
      </w:r>
      <w:r>
        <w:rPr>
          <w:rFonts w:hint="eastAsia" w:ascii="宋体" w:hAnsi="宋体"/>
          <w:b w:val="0"/>
        </w:rPr>
        <w:t>材料</w:t>
      </w:r>
      <w:bookmarkEnd w:id="426"/>
      <w:bookmarkEnd w:id="427"/>
      <w:bookmarkEnd w:id="428"/>
      <w:bookmarkEnd w:id="429"/>
      <w:r>
        <w:rPr>
          <w:rFonts w:hint="eastAsia" w:ascii="宋体" w:hAnsi="宋体"/>
          <w:b w:val="0"/>
          <w:lang w:eastAsia="zh-CN"/>
        </w:rPr>
        <w:t>（如有）</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（投标供应商根据评审内容，自行添加其他资料）</w:t>
      </w:r>
    </w:p>
    <w:p>
      <w:pPr>
        <w:jc w:val="center"/>
        <w:rPr>
          <w:bCs/>
          <w:sz w:val="36"/>
          <w:szCs w:val="36"/>
        </w:rPr>
      </w:pPr>
    </w:p>
    <w:p>
      <w:pPr>
        <w:jc w:val="center"/>
        <w:rPr>
          <w:bCs/>
          <w:sz w:val="36"/>
          <w:szCs w:val="36"/>
        </w:rPr>
      </w:pPr>
    </w:p>
    <w:p/>
    <w:p/>
    <w:p/>
    <w:p/>
    <w:p>
      <w:pPr>
        <w:rPr>
          <w:rFonts w:eastAsia="黑体"/>
          <w:sz w:val="28"/>
          <w:szCs w:val="28"/>
        </w:rPr>
      </w:pPr>
      <w:bookmarkStart w:id="430" w:name="_Toc25038"/>
      <w:r>
        <w:rPr>
          <w:rFonts w:eastAsia="黑体"/>
          <w:sz w:val="28"/>
          <w:szCs w:val="2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431" w:name="_Toc30939"/>
      <w:r>
        <w:rPr>
          <w:rFonts w:hint="eastAsia"/>
          <w:b w:val="0"/>
          <w:bCs/>
          <w:lang w:val="en-US" w:eastAsia="zh-CN"/>
        </w:rPr>
        <w:t>附件2-16</w:t>
      </w:r>
      <w:bookmarkEnd w:id="430"/>
      <w:bookmarkEnd w:id="431"/>
      <w:r>
        <w:rPr>
          <w:rFonts w:hint="eastAsia"/>
          <w:b w:val="0"/>
          <w:bCs/>
          <w:lang w:val="en-US" w:eastAsia="zh-CN"/>
        </w:rPr>
        <w:t xml:space="preserve"> 交货清单</w:t>
      </w:r>
    </w:p>
    <w:p>
      <w:pPr>
        <w:spacing w:before="120" w:beforeLines="50" w:after="120" w:afterLines="50" w:line="560" w:lineRule="exact"/>
        <w:jc w:val="center"/>
        <w:rPr>
          <w:rFonts w:hint="eastAsia" w:ascii="黑体" w:hAnsi="黑体" w:eastAsia="黑体" w:cs="黑体"/>
          <w:bCs/>
          <w:sz w:val="36"/>
          <w:szCs w:val="36"/>
          <w:lang w:val="zh-CN"/>
        </w:rPr>
      </w:pPr>
      <w:bookmarkStart w:id="432" w:name="_Toc24582"/>
      <w:r>
        <w:rPr>
          <w:rFonts w:hint="eastAsia" w:ascii="黑体" w:hAnsi="黑体" w:eastAsia="黑体" w:cs="黑体"/>
          <w:bCs/>
          <w:sz w:val="36"/>
          <w:szCs w:val="36"/>
          <w:lang w:val="zh-CN"/>
        </w:rPr>
        <w:t>交货清单</w:t>
      </w:r>
      <w:bookmarkEnd w:id="432"/>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包号：</w:t>
      </w:r>
      <w:r>
        <w:rPr>
          <w:sz w:val="28"/>
          <w:szCs w:val="28"/>
          <w:u w:val="single"/>
        </w:rPr>
        <w:t xml:space="preserve">         </w:t>
      </w:r>
    </w:p>
    <w:tbl>
      <w:tblPr>
        <w:tblStyle w:val="44"/>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297"/>
        <w:gridCol w:w="899"/>
        <w:gridCol w:w="1439"/>
        <w:gridCol w:w="822"/>
        <w:gridCol w:w="759"/>
        <w:gridCol w:w="1338"/>
        <w:gridCol w:w="2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序号</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品名</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规格型号</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数量</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单位</w:t>
            </w: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pPr>
            <w:r>
              <w:t>原产地</w:t>
            </w: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r>
              <w:rPr>
                <w:rFonts w:hint="eastAsia"/>
                <w:color w:val="FF0000"/>
                <w:szCs w:val="28"/>
              </w:rPr>
              <w:t>填写对应配置清单要求名称，如不一致请说明情况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交货方式：</w:t>
            </w:r>
          </w:p>
        </w:tc>
      </w:tr>
    </w:tbl>
    <w:p>
      <w:pPr>
        <w:rPr>
          <w:snapToGrid w:val="0"/>
        </w:rPr>
      </w:pPr>
    </w:p>
    <w:p>
      <w:pPr>
        <w:ind w:firstLine="420" w:firstLineChars="200"/>
        <w:rPr>
          <w:rFonts w:hint="eastAsia" w:eastAsia="宋体"/>
          <w:b w:val="0"/>
          <w:bCs/>
        </w:rPr>
      </w:pPr>
      <w:r>
        <w:rPr>
          <w:rFonts w:hint="eastAsia" w:eastAsia="宋体"/>
          <w:b w:val="0"/>
          <w:bCs/>
        </w:rPr>
        <w:t>备注：1.</w:t>
      </w:r>
      <w:r>
        <w:rPr>
          <w:rFonts w:hint="eastAsia" w:eastAsia="宋体"/>
          <w:b w:val="0"/>
          <w:bCs/>
          <w:lang w:val="zh-CN"/>
        </w:rPr>
        <w:t>请报价人严格对照最终交货产品填写品牌及规格型号，若最终因交货清单与实际交货品牌及规格型号不符，后果由成交人自行承担。</w:t>
      </w:r>
    </w:p>
    <w:p>
      <w:pPr>
        <w:ind w:firstLine="420" w:firstLineChars="200"/>
        <w:rPr>
          <w:rFonts w:hint="eastAsia" w:eastAsia="宋体"/>
          <w:b w:val="0"/>
          <w:bCs/>
        </w:rPr>
      </w:pPr>
      <w:r>
        <w:rPr>
          <w:rFonts w:hint="eastAsia" w:eastAsia="宋体"/>
          <w:b w:val="0"/>
          <w:bCs/>
        </w:rPr>
        <w:t>2.如不能完全包含采购需求配置清单，将做无效投标处理。</w:t>
      </w:r>
    </w:p>
    <w:p>
      <w:pPr>
        <w:ind w:firstLine="420" w:firstLineChars="200"/>
        <w:rPr>
          <w:rFonts w:hint="eastAsia" w:eastAsia="宋体"/>
          <w:b w:val="0"/>
          <w:bCs/>
        </w:rPr>
      </w:pPr>
      <w:r>
        <w:rPr>
          <w:rFonts w:hint="eastAsia" w:eastAsia="宋体"/>
          <w:b w:val="0"/>
          <w:bCs/>
        </w:rPr>
        <w:t>3.根据采购需求数量填写交货数量，如技术要求中单台设备配置清单“主机”数量为1台，货物一览表中总“***设备”采购数量为2套，则设备交货清单中“主机”数量应为1*2=2台。</w:t>
      </w:r>
    </w:p>
    <w:p>
      <w:pPr>
        <w:autoSpaceDE w:val="0"/>
        <w:autoSpaceDN w:val="0"/>
        <w:adjustRightInd w:val="0"/>
        <w:ind w:firstLine="352" w:firstLineChars="168"/>
        <w:rPr>
          <w:snapToGrid w:val="0"/>
          <w:lang w:val="zh-CN"/>
        </w:rPr>
      </w:pPr>
    </w:p>
    <w:p>
      <w:pPr>
        <w:jc w:val="center"/>
        <w:rPr>
          <w:rFonts w:hint="eastAsia"/>
          <w:snapToGrid w:val="0"/>
          <w:sz w:val="28"/>
          <w:szCs w:val="28"/>
          <w:lang w:val="zh-CN"/>
        </w:rPr>
      </w:pPr>
      <w:r>
        <w:rPr>
          <w:rFonts w:hint="eastAsia"/>
          <w:snapToGrid w:val="0"/>
          <w:sz w:val="28"/>
          <w:szCs w:val="28"/>
          <w:lang w:val="zh-CN"/>
        </w:rPr>
        <w:t xml:space="preserve">   </w:t>
      </w:r>
    </w:p>
    <w:p>
      <w:pPr>
        <w:jc w:val="center"/>
        <w:rPr>
          <w:rFonts w:hint="eastAsia"/>
          <w:snapToGrid w:val="0"/>
          <w:sz w:val="28"/>
          <w:szCs w:val="28"/>
          <w:lang w:val="zh-CN"/>
        </w:rPr>
      </w:pPr>
    </w:p>
    <w:p>
      <w:pPr>
        <w:jc w:val="center"/>
        <w:rPr>
          <w:snapToGrid w:val="0"/>
          <w:sz w:val="28"/>
          <w:szCs w:val="28"/>
          <w:lang w:val="zh-CN"/>
        </w:rPr>
      </w:pPr>
      <w:r>
        <w:rPr>
          <w:rFonts w:hint="eastAsia"/>
          <w:snapToGrid w:val="0"/>
          <w:sz w:val="28"/>
          <w:szCs w:val="28"/>
          <w:lang w:val="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eastAsia="方正小标宋简体"/>
          <w:bCs/>
          <w:sz w:val="48"/>
          <w:szCs w:val="48"/>
        </w:rPr>
        <w:sectPr>
          <w:headerReference r:id="rId12" w:type="default"/>
          <w:footerReference r:id="rId13" w:type="default"/>
          <w:pgSz w:w="11906" w:h="16838"/>
          <w:pgMar w:top="1418" w:right="1134" w:bottom="1418" w:left="1418" w:header="851" w:footer="851" w:gutter="0"/>
          <w:pgNumType w:fmt="numberInDash"/>
          <w:cols w:space="720" w:num="1"/>
          <w:docGrid w:linePitch="388" w:charSpace="-1260"/>
        </w:sectPr>
      </w:pPr>
      <w:r>
        <w:rPr>
          <w:rFonts w:hint="eastAsia" w:ascii="方正小标宋简体" w:eastAsia="方正小标宋简体"/>
          <w:bCs/>
          <w:sz w:val="48"/>
          <w:szCs w:val="4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r>
        <w:rPr>
          <w:rFonts w:hint="eastAsia"/>
          <w:b w:val="0"/>
          <w:bCs/>
          <w:lang w:val="en-US" w:eastAsia="zh-CN"/>
        </w:rPr>
        <w:t>附件2-17 零配件全国统一报价表（如有）</w:t>
      </w:r>
    </w:p>
    <w:p>
      <w:pPr>
        <w:pStyle w:val="164"/>
      </w:pPr>
      <w:r>
        <w:rPr>
          <w:rFonts w:hint="eastAsia"/>
        </w:rPr>
        <w:t>零配件全国统一报价表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4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967"/>
        <w:gridCol w:w="797"/>
        <w:gridCol w:w="880"/>
        <w:gridCol w:w="123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零配件名称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规格型号</w:t>
            </w: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国别及品牌</w:t>
            </w: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单价</w:t>
            </w: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原产地</w:t>
            </w: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bl>
    <w:p>
      <w:pPr>
        <w:ind w:firstLine="420"/>
      </w:pPr>
      <w:r>
        <w:rPr>
          <w:rFonts w:hint="eastAsia"/>
        </w:rPr>
        <w:t>我方承诺：</w:t>
      </w:r>
      <w:r>
        <w:rPr>
          <w:rFonts w:hint="eastAsia"/>
          <w:color w:val="FF0000"/>
          <w:u w:val="single"/>
        </w:rPr>
        <w:t>采购人更换配件价格不超过统一报价的70%（即采购人更换配件价格不超过上表价格的70%）</w:t>
      </w:r>
      <w:r>
        <w:rPr>
          <w:rFonts w:hint="eastAsia"/>
        </w:rPr>
        <w:t>。</w:t>
      </w:r>
    </w:p>
    <w:p>
      <w:pPr>
        <w:ind w:firstLine="3091" w:firstLineChars="1104"/>
        <w:rPr>
          <w:snapToGrid w:val="0"/>
          <w:sz w:val="28"/>
          <w:szCs w:val="28"/>
          <w:lang w:val="zh-CN"/>
        </w:rPr>
      </w:pPr>
    </w:p>
    <w:p>
      <w:pPr>
        <w:jc w:val="center"/>
        <w:rPr>
          <w:snapToGrid w:val="0"/>
          <w:sz w:val="28"/>
          <w:szCs w:val="28"/>
          <w:lang w:val="zh-CN"/>
        </w:rPr>
      </w:pPr>
      <w:r>
        <w:rPr>
          <w:rFonts w:hint="eastAsia"/>
          <w:snapToGrid w:val="0"/>
          <w:sz w:val="28"/>
          <w:szCs w:val="28"/>
          <w:lang w:val="en-US" w:eastAsia="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w:t>
      </w:r>
      <w:r>
        <w:rPr>
          <w:rFonts w:hint="eastAsia"/>
          <w:snapToGrid w:val="0"/>
          <w:sz w:val="28"/>
          <w:szCs w:val="28"/>
          <w:lang w:val="en-US" w:eastAsia="zh-CN"/>
        </w:rPr>
        <w:t xml:space="preserve">    </w:t>
      </w:r>
      <w:r>
        <w:rPr>
          <w:snapToGrid w:val="0"/>
          <w:sz w:val="28"/>
          <w:szCs w:val="28"/>
          <w:lang w:val="zh-CN"/>
        </w:rPr>
        <w:t>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ind w:firstLine="3091" w:firstLineChars="1104"/>
        <w:rPr>
          <w:rFonts w:hint="eastAsia"/>
          <w:snapToGrid w:val="0"/>
          <w:sz w:val="28"/>
          <w:szCs w:val="28"/>
          <w:lang w:val="zh-CN"/>
        </w:rPr>
        <w:sectPr>
          <w:pgSz w:w="11906" w:h="16838"/>
          <w:pgMar w:top="1418" w:right="1134" w:bottom="1418" w:left="1418" w:header="851" w:footer="851" w:gutter="0"/>
          <w:pgNumType w:fmt="numberInDash"/>
          <w:cols w:space="720" w:num="1"/>
          <w:docGrid w:linePitch="388" w:charSpace="-1260"/>
        </w:sectPr>
      </w:pPr>
    </w:p>
    <w:p>
      <w:pPr>
        <w:pStyle w:val="16"/>
        <w:rPr>
          <w:rFonts w:hint="eastAsia"/>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433" w:name="_Toc1227"/>
      <w:bookmarkStart w:id="434" w:name="_Toc8342"/>
      <w:bookmarkStart w:id="435" w:name="_Toc30339"/>
      <w:r>
        <w:rPr>
          <w:rFonts w:hint="eastAsia" w:ascii="方正小标宋简体" w:eastAsia="方正小标宋简体"/>
          <w:b w:val="0"/>
          <w:sz w:val="52"/>
          <w:szCs w:val="52"/>
        </w:rPr>
        <w:t>三、资格证明文件</w:t>
      </w:r>
      <w:bookmarkEnd w:id="433"/>
      <w:bookmarkEnd w:id="434"/>
      <w:bookmarkEnd w:id="435"/>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rPr>
          <w:rFonts w:hint="eastAsia"/>
          <w:b w:val="0"/>
        </w:rPr>
      </w:pPr>
      <w:bookmarkStart w:id="436" w:name="_Toc19491"/>
      <w:bookmarkStart w:id="437" w:name="_Toc6540"/>
      <w:bookmarkStart w:id="438" w:name="_Toc5900"/>
      <w:bookmarkStart w:id="439" w:name="_Toc29799"/>
      <w:r>
        <w:rPr>
          <w:rFonts w:hint="eastAsia"/>
          <w:b w:val="0"/>
        </w:rPr>
        <w:br w:type="page"/>
      </w:r>
    </w:p>
    <w:p>
      <w:pPr>
        <w:pStyle w:val="6"/>
        <w:spacing w:before="120" w:beforeLines="50" w:after="120" w:afterLines="50"/>
        <w:rPr>
          <w:b w:val="0"/>
          <w:lang w:val="zh-CN"/>
        </w:rPr>
      </w:pPr>
      <w:r>
        <w:rPr>
          <w:rFonts w:hint="eastAsia"/>
          <w:b w:val="0"/>
        </w:rPr>
        <w:t>附件</w:t>
      </w:r>
      <w:r>
        <w:rPr>
          <w:b w:val="0"/>
        </w:rPr>
        <w:t xml:space="preserve">3-1 </w:t>
      </w:r>
      <w:r>
        <w:rPr>
          <w:rFonts w:hint="eastAsia"/>
          <w:b w:val="0"/>
        </w:rPr>
        <w:t>资格证明文件索引表</w:t>
      </w:r>
      <w:bookmarkEnd w:id="436"/>
      <w:bookmarkEnd w:id="437"/>
      <w:bookmarkEnd w:id="438"/>
      <w:bookmarkEnd w:id="43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4"/>
        <w:tblW w:w="5000" w:type="pct"/>
        <w:jc w:val="center"/>
        <w:tblLayout w:type="fixed"/>
        <w:tblCellMar>
          <w:top w:w="0" w:type="dxa"/>
          <w:left w:w="108" w:type="dxa"/>
          <w:bottom w:w="0" w:type="dxa"/>
          <w:right w:w="108" w:type="dxa"/>
        </w:tblCellMar>
      </w:tblPr>
      <w:tblGrid>
        <w:gridCol w:w="817"/>
        <w:gridCol w:w="7088"/>
        <w:gridCol w:w="1665"/>
      </w:tblGrid>
      <w:tr>
        <w:tblPrEx>
          <w:tblCellMar>
            <w:top w:w="0" w:type="dxa"/>
            <w:left w:w="108" w:type="dxa"/>
            <w:bottom w:w="0" w:type="dxa"/>
            <w:right w:w="108" w:type="dxa"/>
          </w:tblCellMar>
        </w:tblPrEx>
        <w:trPr>
          <w:trHeight w:val="549" w:hRule="atLeast"/>
          <w:jc w:val="center"/>
        </w:trPr>
        <w:tc>
          <w:tcPr>
            <w:tcW w:w="427" w:type="pct"/>
            <w:vMerge w:val="restar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序号</w:t>
            </w:r>
          </w:p>
        </w:tc>
        <w:tc>
          <w:tcPr>
            <w:tcW w:w="3703"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资格性审查项目</w:t>
            </w:r>
          </w:p>
        </w:tc>
        <w:tc>
          <w:tcPr>
            <w:tcW w:w="870"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资格证明文件位置页码</w:t>
            </w:r>
          </w:p>
        </w:tc>
      </w:tr>
      <w:tr>
        <w:tblPrEx>
          <w:tblCellMar>
            <w:top w:w="0" w:type="dxa"/>
            <w:left w:w="108" w:type="dxa"/>
            <w:bottom w:w="0" w:type="dxa"/>
            <w:right w:w="108" w:type="dxa"/>
          </w:tblCellMar>
        </w:tblPrEx>
        <w:trPr>
          <w:trHeight w:val="276" w:hRule="atLeast"/>
          <w:jc w:val="center"/>
        </w:trPr>
        <w:tc>
          <w:tcPr>
            <w:tcW w:w="427" w:type="pct"/>
            <w:vMerge w:val="continue"/>
            <w:tcBorders>
              <w:left w:val="single" w:color="auto" w:sz="4" w:space="0"/>
              <w:bottom w:val="single" w:color="auto" w:sz="4" w:space="0"/>
              <w:right w:val="single" w:color="auto" w:sz="4" w:space="0"/>
            </w:tcBorders>
            <w:vAlign w:val="center"/>
          </w:tcPr>
          <w:p>
            <w:pPr>
              <w:jc w:val="center"/>
              <w:rPr>
                <w:bCs/>
                <w:sz w:val="24"/>
              </w:rPr>
            </w:pPr>
          </w:p>
        </w:tc>
        <w:tc>
          <w:tcPr>
            <w:tcW w:w="3703" w:type="pct"/>
            <w:vMerge w:val="continue"/>
            <w:tcBorders>
              <w:left w:val="nil"/>
              <w:bottom w:val="single" w:color="auto" w:sz="4" w:space="0"/>
              <w:right w:val="single" w:color="auto" w:sz="4" w:space="0"/>
            </w:tcBorders>
            <w:vAlign w:val="center"/>
          </w:tcPr>
          <w:p>
            <w:pPr>
              <w:jc w:val="center"/>
              <w:rPr>
                <w:bCs/>
                <w:sz w:val="24"/>
              </w:rPr>
            </w:pPr>
          </w:p>
        </w:tc>
        <w:tc>
          <w:tcPr>
            <w:tcW w:w="870" w:type="pct"/>
            <w:vMerge w:val="continue"/>
            <w:tcBorders>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68" w:hRule="exac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ind w:firstLine="420" w:firstLineChars="200"/>
        <w:rPr>
          <w:bCs/>
          <w:lang w:val="zh-CN"/>
        </w:rPr>
      </w:pPr>
      <w:r>
        <w:rPr>
          <w:bCs/>
          <w:lang w:val="zh-CN"/>
        </w:rPr>
        <w:br w:type="page"/>
      </w:r>
    </w:p>
    <w:p>
      <w:pPr>
        <w:pStyle w:val="6"/>
        <w:spacing w:before="120" w:beforeLines="50" w:after="120" w:afterLines="50"/>
        <w:rPr>
          <w:b w:val="0"/>
          <w:lang w:val="zh-CN"/>
        </w:rPr>
      </w:pPr>
      <w:bookmarkStart w:id="440" w:name="_Toc28654"/>
      <w:bookmarkStart w:id="441" w:name="_Toc12871"/>
      <w:bookmarkStart w:id="442" w:name="_Toc25235"/>
      <w:bookmarkStart w:id="443" w:name="_Toc5626"/>
      <w:r>
        <w:rPr>
          <w:rFonts w:hint="eastAsia"/>
          <w:b w:val="0"/>
          <w:lang w:val="zh-CN"/>
        </w:rPr>
        <w:t>附件</w:t>
      </w:r>
      <w:r>
        <w:rPr>
          <w:b w:val="0"/>
          <w:lang w:val="zh-CN"/>
        </w:rPr>
        <w:t xml:space="preserve">3-2 </w:t>
      </w:r>
      <w:r>
        <w:rPr>
          <w:rFonts w:hint="eastAsia"/>
          <w:b w:val="0"/>
          <w:lang w:val="zh-CN"/>
        </w:rPr>
        <w:t>工商营业执照、组织机构代码证、税务登记证</w:t>
      </w:r>
      <w:bookmarkEnd w:id="440"/>
      <w:bookmarkEnd w:id="441"/>
      <w:bookmarkEnd w:id="442"/>
      <w:bookmarkEnd w:id="443"/>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b w:val="0"/>
        </w:rPr>
      </w:pPr>
      <w:bookmarkStart w:id="444" w:name="_Toc26386"/>
      <w:bookmarkStart w:id="445" w:name="_Toc24537"/>
      <w:bookmarkStart w:id="446" w:name="_Toc4671"/>
      <w:bookmarkStart w:id="447" w:name="_Toc15253"/>
      <w:r>
        <w:rPr>
          <w:rFonts w:hint="eastAsia"/>
          <w:b w:val="0"/>
        </w:rPr>
        <w:t>附件</w:t>
      </w:r>
      <w:r>
        <w:rPr>
          <w:b w:val="0"/>
        </w:rPr>
        <w:t xml:space="preserve">3-3 </w:t>
      </w:r>
      <w:r>
        <w:rPr>
          <w:rFonts w:hint="eastAsia"/>
          <w:b w:val="0"/>
        </w:rPr>
        <w:t>法定代表人资格证明书</w:t>
      </w:r>
      <w:bookmarkEnd w:id="444"/>
      <w:bookmarkEnd w:id="445"/>
      <w:bookmarkEnd w:id="446"/>
      <w:bookmarkEnd w:id="447"/>
    </w:p>
    <w:p>
      <w:pPr>
        <w:spacing w:before="120" w:beforeLines="50" w:after="120" w:afterLines="50" w:line="560" w:lineRule="exact"/>
        <w:jc w:val="center"/>
        <w:rPr>
          <w:rFonts w:eastAsia="楷体_GB2312"/>
          <w:bCs/>
          <w:sz w:val="28"/>
          <w:szCs w:val="28"/>
        </w:rPr>
      </w:pPr>
      <w:r>
        <w:rPr>
          <w:rFonts w:hint="eastAsia" w:ascii="黑体" w:hAnsi="黑体" w:eastAsia="黑体" w:cs="黑体"/>
          <w:bCs/>
          <w:sz w:val="36"/>
          <w:szCs w:val="21"/>
        </w:rPr>
        <w:t>法定代表人资格证明书</w:t>
      </w:r>
    </w:p>
    <w:p>
      <w:pPr>
        <w:spacing w:before="480" w:beforeLines="200"/>
        <w:ind w:firstLine="560"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（投标供应商全称）</w:t>
      </w:r>
      <w:r>
        <w:rPr>
          <w:rFonts w:hint="eastAsia"/>
          <w:bCs/>
          <w:sz w:val="28"/>
          <w:szCs w:val="28"/>
        </w:rPr>
        <w:t>的法定代表人。</w:t>
      </w:r>
    </w:p>
    <w:p>
      <w:pPr>
        <w:ind w:firstLine="560" w:firstLineChars="200"/>
        <w:rPr>
          <w:bCs/>
          <w:sz w:val="28"/>
          <w:szCs w:val="28"/>
        </w:rPr>
      </w:pPr>
    </w:p>
    <w:p>
      <w:pPr>
        <w:ind w:firstLine="560" w:firstLineChars="200"/>
        <w:rPr>
          <w:bCs/>
          <w:sz w:val="28"/>
          <w:szCs w:val="28"/>
        </w:rPr>
      </w:pPr>
      <w:r>
        <w:rPr>
          <w:rFonts w:hint="eastAsia"/>
          <w:bCs/>
          <w:sz w:val="28"/>
          <w:szCs w:val="28"/>
        </w:rPr>
        <w:t>特此证明</w:t>
      </w:r>
    </w:p>
    <w:p>
      <w:pPr>
        <w:ind w:firstLine="560" w:firstLineChars="200"/>
        <w:rPr>
          <w:bCs/>
          <w:sz w:val="28"/>
          <w:szCs w:val="28"/>
        </w:rPr>
      </w:pPr>
      <w:r>
        <w:rPr>
          <w:bCs/>
          <w:sz w:val="28"/>
          <w:szCs w:val="28"/>
        </w:rPr>
        <mc:AlternateContent>
          <mc:Choice Requires="wps">
            <w:drawing>
              <wp:anchor distT="0" distB="0" distL="114300" distR="114300" simplePos="0" relativeHeight="251661312" behindDoc="0" locked="0" layoutInCell="1" allowOverlap="1">
                <wp:simplePos x="0" y="0"/>
                <wp:positionH relativeFrom="column">
                  <wp:posOffset>2899410</wp:posOffset>
                </wp:positionH>
                <wp:positionV relativeFrom="paragraph">
                  <wp:posOffset>60325</wp:posOffset>
                </wp:positionV>
                <wp:extent cx="2181860" cy="1125855"/>
                <wp:effectExtent l="0" t="0" r="2794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75pt;height:88.65pt;width:171.8pt;z-index:251661312;v-text-anchor:middle;mso-width-relative:page;mso-height-relative:page;" fillcolor="#FFFFFF" filled="t" stroked="t" coordsize="21600,21600" o:gfxdata="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UwJdUAAAAJAQAADwAAAAAA&#10;AAABACAAAAAiAAAAZHJzL2Rvd25yZXYueG1sUEsBAhQAFAAAAAgAh07iQAjDKg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6028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60" w:firstLineChars="200"/>
        <w:rPr>
          <w:bCs/>
          <w:sz w:val="28"/>
          <w:szCs w:val="28"/>
        </w:rPr>
      </w:pPr>
      <w:r>
        <w:rPr>
          <w:rFonts w:hint="eastAsia"/>
          <w:bCs/>
          <w:sz w:val="28"/>
          <w:szCs w:val="28"/>
        </w:rPr>
        <w:t>身份证关键信息应当清晰可辨，否则视为无效投标。</w:t>
      </w:r>
    </w:p>
    <w:p>
      <w:pPr>
        <w:ind w:firstLine="4900" w:firstLineChars="1750"/>
        <w:rPr>
          <w:bCs/>
          <w:sz w:val="28"/>
          <w:szCs w:val="28"/>
        </w:rPr>
      </w:pPr>
    </w:p>
    <w:p>
      <w:pPr>
        <w:ind w:firstLine="4900" w:firstLineChars="1750"/>
        <w:rPr>
          <w:bCs/>
          <w:sz w:val="28"/>
          <w:szCs w:val="28"/>
        </w:rPr>
      </w:pPr>
    </w:p>
    <w:p>
      <w:pPr>
        <w:rPr>
          <w:bCs/>
          <w:sz w:val="28"/>
          <w:szCs w:val="28"/>
        </w:rPr>
      </w:pPr>
    </w:p>
    <w:p>
      <w:pPr>
        <w:ind w:firstLine="560" w:firstLineChars="200"/>
        <w:jc w:val="center"/>
        <w:rPr>
          <w:bCs/>
          <w:sz w:val="28"/>
          <w:szCs w:val="28"/>
        </w:rPr>
      </w:pPr>
      <w:r>
        <w:rPr>
          <w:bCs/>
          <w:sz w:val="28"/>
          <w:szCs w:val="28"/>
        </w:rPr>
        <w:t xml:space="preserve">                   </w:t>
      </w:r>
      <w:r>
        <w:rPr>
          <w:rFonts w:hint="eastAsia"/>
          <w:bCs/>
          <w:sz w:val="28"/>
          <w:szCs w:val="28"/>
        </w:rPr>
        <w:t>投标供应商全称：（盖章）</w:t>
      </w:r>
    </w:p>
    <w:p>
      <w:pPr>
        <w:jc w:val="left"/>
        <w:rPr>
          <w:bCs/>
          <w:sz w:val="28"/>
          <w:szCs w:val="28"/>
        </w:rPr>
      </w:pPr>
    </w:p>
    <w:p>
      <w:pPr>
        <w:ind w:firstLine="560"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rPr>
          <w:b w:val="0"/>
        </w:rPr>
      </w:pPr>
      <w:bookmarkStart w:id="448" w:name="_Toc20902"/>
      <w:bookmarkStart w:id="449" w:name="_Toc27366"/>
      <w:bookmarkStart w:id="450" w:name="_Toc12673"/>
      <w:bookmarkStart w:id="451" w:name="_Toc12128"/>
      <w:r>
        <w:rPr>
          <w:rFonts w:hint="eastAsia"/>
          <w:b w:val="0"/>
        </w:rPr>
        <w:t>附件</w:t>
      </w:r>
      <w:r>
        <w:rPr>
          <w:b w:val="0"/>
        </w:rPr>
        <w:t xml:space="preserve">3-4 </w:t>
      </w:r>
      <w:r>
        <w:rPr>
          <w:rFonts w:hint="eastAsia"/>
          <w:b w:val="0"/>
        </w:rPr>
        <w:t>法定代表人授权书</w:t>
      </w:r>
      <w:bookmarkEnd w:id="448"/>
      <w:bookmarkEnd w:id="449"/>
      <w:bookmarkEnd w:id="450"/>
      <w:bookmarkEnd w:id="451"/>
    </w:p>
    <w:p>
      <w:pPr>
        <w:spacing w:before="120" w:beforeLines="50" w:after="120" w:afterLines="50" w:line="560" w:lineRule="exact"/>
        <w:jc w:val="center"/>
        <w:rPr>
          <w:bCs/>
          <w:sz w:val="28"/>
          <w:szCs w:val="28"/>
        </w:rPr>
      </w:pPr>
      <w:r>
        <w:rPr>
          <w:rFonts w:hint="eastAsia" w:ascii="黑体" w:hAnsi="黑体" w:eastAsia="黑体" w:cs="黑体"/>
          <w:bCs/>
          <w:sz w:val="36"/>
          <w:szCs w:val="36"/>
        </w:rPr>
        <w:t>法定代表人授权书</w:t>
      </w:r>
    </w:p>
    <w:p>
      <w:pPr>
        <w:spacing w:line="60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600" w:lineRule="exact"/>
        <w:ind w:firstLine="560" w:firstLineChars="200"/>
        <w:rPr>
          <w:rFonts w:ascii="宋体" w:hAnsi="宋体" w:cs="宋体"/>
          <w:bCs/>
          <w:sz w:val="28"/>
          <w:szCs w:val="28"/>
        </w:rPr>
      </w:pPr>
      <w:r>
        <w:rPr>
          <w:rFonts w:hint="eastAsia" w:ascii="宋体" w:hAnsi="宋体" w:cs="宋体"/>
          <w:bCs/>
          <w:sz w:val="28"/>
          <w:szCs w:val="28"/>
          <w:u w:val="single"/>
        </w:rPr>
        <w:t>（投标供应商全称）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60" w:firstLineChars="200"/>
        <w:rPr>
          <w:rFonts w:ascii="宋体" w:hAnsi="宋体" w:cs="宋体"/>
          <w:bCs/>
          <w:sz w:val="28"/>
          <w:szCs w:val="28"/>
        </w:rPr>
      </w:pPr>
      <w:r>
        <w:rPr>
          <w:rFonts w:hint="eastAsia" w:ascii="宋体" w:hAnsi="宋体" w:cs="宋体"/>
          <w:bCs/>
          <w:sz w:val="28"/>
          <w:szCs w:val="28"/>
        </w:rPr>
        <w:t>附：</w:t>
      </w:r>
    </w:p>
    <w:p>
      <w:pPr>
        <w:spacing w:line="560" w:lineRule="exact"/>
        <w:ind w:firstLine="560"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4384" behindDoc="0" locked="0" layoutInCell="1" allowOverlap="1">
                <wp:simplePos x="0" y="0"/>
                <wp:positionH relativeFrom="column">
                  <wp:posOffset>2877820</wp:posOffset>
                </wp:positionH>
                <wp:positionV relativeFrom="paragraph">
                  <wp:posOffset>121920</wp:posOffset>
                </wp:positionV>
                <wp:extent cx="2240915" cy="1102360"/>
                <wp:effectExtent l="0" t="0" r="260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6pt;margin-top:9.6pt;height:86.8pt;width:176.45pt;z-index:251664384;v-text-anchor:middle;mso-width-relative:page;mso-height-relative:page;" fillcolor="#FFFFFF" filled="t" stroked="t" coordsize="21600,21600" o:gfxdata="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iQw9UAAAAKAQAADwAAAAAA&#10;AAABACAAAAAiAAAAZHJzL2Rvd25yZXYueG1sUEsBAhQAFAAAAAgAh07iQDdEUJx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45pt;height:85.15pt;width:176.45pt;z-index:251663360;v-text-anchor:middle;mso-width-relative:page;mso-height-relative:page;" fillcolor="#FFFFFF" filled="t" stroked="t" coordsize="21600,21600" o:gfxdata="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0Q1AAAAAkBAAAPAAAAAAAA&#10;AAEAIAAAACIAAABkcnMvZG93bnJldi54bWxQSwECFAAUAAAACACHTuJArYXNvU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20" w:firstLineChars="15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身份证关键信息应当清晰可辨，否则视为无效投标。</w:t>
      </w:r>
    </w:p>
    <w:p>
      <w:pPr>
        <w:spacing w:line="560" w:lineRule="exact"/>
        <w:ind w:firstLine="560" w:firstLineChars="200"/>
      </w:pPr>
      <w:r>
        <w:rPr>
          <w:rFonts w:hint="eastAsia" w:ascii="黑体" w:hAnsi="黑体" w:eastAsia="黑体" w:cs="宋体"/>
          <w:bCs/>
          <w:sz w:val="28"/>
          <w:szCs w:val="28"/>
        </w:rPr>
        <w:t>注：授权书后应当附授权代表在投标前</w:t>
      </w:r>
      <w:r>
        <w:rPr>
          <w:rFonts w:ascii="黑体" w:hAnsi="黑体" w:eastAsia="黑体" w:cs="宋体"/>
          <w:bCs/>
          <w:sz w:val="28"/>
          <w:szCs w:val="28"/>
        </w:rPr>
        <w:t>4个月内</w:t>
      </w:r>
      <w:r>
        <w:rPr>
          <w:rFonts w:hint="eastAsia" w:ascii="黑体" w:hAnsi="黑体" w:eastAsia="黑体" w:cs="宋体"/>
          <w:bCs/>
          <w:sz w:val="28"/>
          <w:szCs w:val="28"/>
        </w:rPr>
        <w:t>（不含投标当月）</w:t>
      </w:r>
      <w:r>
        <w:rPr>
          <w:rFonts w:ascii="黑体" w:hAnsi="黑体" w:eastAsia="黑体" w:cs="宋体"/>
          <w:bCs/>
          <w:sz w:val="28"/>
          <w:szCs w:val="28"/>
        </w:rPr>
        <w:t>连续3个月由</w:t>
      </w:r>
      <w:r>
        <w:rPr>
          <w:rFonts w:hint="eastAsia" w:ascii="黑体" w:hAnsi="黑体" w:eastAsia="黑体" w:cs="宋体"/>
          <w:bCs/>
          <w:sz w:val="28"/>
          <w:szCs w:val="28"/>
        </w:rPr>
        <w:t>投标供应商缴纳社保证明材料。</w:t>
      </w:r>
    </w:p>
    <w:p>
      <w:pPr>
        <w:jc w:val="center"/>
        <w:rPr>
          <w:bCs/>
          <w:lang w:val="zh-CN"/>
        </w:rPr>
      </w:pPr>
    </w:p>
    <w:p>
      <w:pPr>
        <w:jc w:val="center"/>
        <w:rPr>
          <w:bCs/>
          <w:lang w:val="zh-CN"/>
        </w:rPr>
      </w:pPr>
    </w:p>
    <w:p>
      <w:pPr>
        <w:pStyle w:val="6"/>
        <w:spacing w:before="120" w:beforeLines="50" w:after="120" w:afterLines="50"/>
        <w:rPr>
          <w:b w:val="0"/>
        </w:rPr>
      </w:pPr>
      <w:bookmarkStart w:id="452" w:name="_Toc21021"/>
      <w:bookmarkStart w:id="453" w:name="_Toc28821"/>
      <w:bookmarkStart w:id="454" w:name="_Toc31855"/>
      <w:bookmarkStart w:id="455" w:name="_Toc20114"/>
      <w:r>
        <w:rPr>
          <w:rFonts w:hint="eastAsia"/>
          <w:b w:val="0"/>
        </w:rPr>
        <w:t>附件</w:t>
      </w:r>
      <w:r>
        <w:rPr>
          <w:b w:val="0"/>
        </w:rPr>
        <w:t xml:space="preserve">3-5 </w:t>
      </w:r>
      <w:r>
        <w:rPr>
          <w:rFonts w:hint="eastAsia"/>
          <w:b w:val="0"/>
        </w:rPr>
        <w:t>供应商承诺声明</w:t>
      </w:r>
      <w:bookmarkEnd w:id="452"/>
      <w:bookmarkEnd w:id="453"/>
      <w:bookmarkEnd w:id="454"/>
      <w:bookmarkEnd w:id="455"/>
    </w:p>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cs="宋体"/>
          <w:bCs/>
          <w:sz w:val="28"/>
          <w:szCs w:val="28"/>
        </w:rPr>
      </w:pPr>
      <w:r>
        <w:rPr>
          <w:rFonts w:ascii="宋体" w:hAnsi="宋体"/>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我单位自愿参加贵部组织的（</w:t>
      </w:r>
      <w:r>
        <w:rPr>
          <w:rFonts w:hint="eastAsia" w:ascii="宋体" w:hAnsi="宋体" w:cs="宋体"/>
          <w:bCs/>
          <w:sz w:val="28"/>
          <w:szCs w:val="28"/>
          <w:u w:val="single"/>
        </w:rPr>
        <w:t>项目名称</w:t>
      </w:r>
      <w:r>
        <w:rPr>
          <w:rFonts w:hint="eastAsia" w:ascii="宋体" w:hAnsi="宋体" w:cs="宋体"/>
          <w:bCs/>
          <w:sz w:val="28"/>
          <w:szCs w:val="28"/>
        </w:rPr>
        <w:t>）、（</w:t>
      </w:r>
      <w:r>
        <w:rPr>
          <w:rFonts w:hint="eastAsia" w:ascii="宋体" w:hAnsi="宋体" w:cs="宋体"/>
          <w:bCs/>
          <w:sz w:val="28"/>
          <w:szCs w:val="28"/>
          <w:u w:val="single"/>
        </w:rPr>
        <w:t>项目编号</w:t>
      </w:r>
      <w:r>
        <w:rPr>
          <w:rFonts w:hint="eastAsia" w:ascii="宋体" w:hAnsi="宋体" w:cs="宋体"/>
          <w:bCs/>
          <w:sz w:val="28"/>
          <w:szCs w:val="28"/>
        </w:rPr>
        <w:t>）采购活动，承诺声明如下：</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一、供应商诚信承诺</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1.如实编写投标文件，对投标文件中提供的文件</w:t>
      </w:r>
      <w:r>
        <w:rPr>
          <w:rFonts w:hint="eastAsia" w:ascii="宋体" w:hAnsi="宋体"/>
          <w:bCs/>
          <w:sz w:val="28"/>
          <w:szCs w:val="28"/>
        </w:rPr>
        <w:t>材料</w:t>
      </w:r>
      <w:r>
        <w:rPr>
          <w:rFonts w:hint="eastAsia" w:ascii="宋体" w:hAnsi="宋体" w:cs="宋体"/>
          <w:bCs/>
          <w:sz w:val="28"/>
          <w:szCs w:val="28"/>
        </w:rPr>
        <w:t>、图片影像、财务数据、资产情况及相应证明等材料的真实性、完整性、准确性，承担相应的法律责任。</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rPr>
        <w:t>2.因单位转制、兼并、股改等特殊情况，无法提供原始</w:t>
      </w:r>
      <w:r>
        <w:rPr>
          <w:rFonts w:hint="eastAsia" w:ascii="宋体" w:hAnsi="宋体"/>
          <w:bCs/>
          <w:sz w:val="28"/>
          <w:szCs w:val="28"/>
        </w:rPr>
        <w:t>材料</w:t>
      </w:r>
      <w:r>
        <w:rPr>
          <w:rFonts w:hint="eastAsia" w:ascii="宋体" w:hAnsi="宋体" w:cs="宋体"/>
          <w:bCs/>
          <w:sz w:val="28"/>
          <w:szCs w:val="28"/>
        </w:rPr>
        <w:t>、财务数据、资产情况等，造成单位信息难以确认时，自愿放弃参加军队采购活动。</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3.</w:t>
      </w:r>
      <w:r>
        <w:rPr>
          <w:rFonts w:hint="eastAsia" w:ascii="宋体" w:hAnsi="宋体" w:cs="宋体"/>
          <w:bCs/>
          <w:sz w:val="28"/>
          <w:szCs w:val="28"/>
        </w:rPr>
        <w:t>在提供投标文件或现场核查时，如存在伪造文件</w:t>
      </w:r>
      <w:r>
        <w:rPr>
          <w:rFonts w:hint="eastAsia" w:ascii="宋体" w:hAnsi="宋体"/>
          <w:bCs/>
          <w:sz w:val="28"/>
          <w:szCs w:val="28"/>
        </w:rPr>
        <w:t>材料</w:t>
      </w:r>
      <w:r>
        <w:rPr>
          <w:rFonts w:hint="eastAsia" w:ascii="宋体" w:hAnsi="宋体" w:cs="宋体"/>
          <w:bCs/>
          <w:sz w:val="28"/>
          <w:szCs w:val="28"/>
        </w:rPr>
        <w:t>，提供虚假图片影像、业绩合同、</w:t>
      </w:r>
      <w:r>
        <w:rPr>
          <w:rFonts w:hint="eastAsia" w:ascii="宋体" w:hAnsi="宋体"/>
          <w:bCs/>
          <w:sz w:val="28"/>
          <w:szCs w:val="28"/>
        </w:rPr>
        <w:t>材料</w:t>
      </w:r>
      <w:r>
        <w:rPr>
          <w:rFonts w:hint="eastAsia" w:ascii="宋体" w:hAnsi="宋体" w:cs="宋体"/>
          <w:bCs/>
          <w:sz w:val="28"/>
          <w:szCs w:val="28"/>
        </w:rPr>
        <w:t>数据等，造假或篡改相关数据及资产等情况，自愿放弃中标资格并无条件接受相应处罚。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二、保密承诺</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4.招标文件以及相关技术文件专室放置、专盘存储、专人管理。</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5.未经采购机构审查批准，不得擅自在互联网、通讯媒体等发表涉及此次采购项目相关信息。</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三、诚信责任保证金承诺</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w:t>
      </w:r>
      <w:r>
        <w:rPr>
          <w:rFonts w:hint="eastAsia" w:ascii="宋体" w:hAnsi="宋体" w:cs="宋体"/>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w:t>
      </w:r>
      <w:r>
        <w:rPr>
          <w:rFonts w:hint="eastAsia" w:ascii="宋体" w:hAnsi="宋体" w:cs="宋体"/>
          <w:bCs/>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bidi="ar"/>
        </w:rPr>
        <w:t>4.给部队造成损失的，同意按照国家法律和合同约定，予以相应经济赔偿。</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四、未被列入违法失信名单承诺</w:t>
      </w:r>
    </w:p>
    <w:p>
      <w:pPr>
        <w:spacing w:line="560" w:lineRule="exact"/>
        <w:ind w:firstLine="560" w:firstLineChars="200"/>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w:t>
      </w:r>
      <w:r>
        <w:rPr>
          <w:rFonts w:hint="eastAsia" w:ascii="宋体" w:hAnsi="宋体"/>
          <w:sz w:val="28"/>
          <w:szCs w:val="28"/>
          <w:lang w:eastAsia="zh-CN"/>
        </w:rPr>
        <w:t>、</w:t>
      </w:r>
      <w:r>
        <w:rPr>
          <w:rFonts w:hint="eastAsia" w:ascii="宋体" w:hAnsi="宋体"/>
          <w:sz w:val="28"/>
          <w:szCs w:val="28"/>
        </w:rPr>
        <w:t>未被列入我院违规调查处理名单中，以及未被“信用中国”（</w:t>
      </w:r>
      <w:r>
        <w:rPr>
          <w:rFonts w:ascii="宋体" w:hAnsi="宋体"/>
          <w:sz w:val="28"/>
          <w:szCs w:val="28"/>
        </w:rPr>
        <w:t>www.creditchina.gov.cn</w:t>
      </w:r>
      <w:r>
        <w:rPr>
          <w:rFonts w:hint="eastAsia" w:ascii="宋体" w:hAnsi="宋体"/>
          <w:sz w:val="28"/>
          <w:szCs w:val="28"/>
        </w:rPr>
        <w:t>）列入严重失信主体名单</w:t>
      </w:r>
      <w:r>
        <w:rPr>
          <w:rFonts w:hint="eastAsia" w:ascii="宋体" w:hAnsi="宋体"/>
          <w:sz w:val="28"/>
          <w:szCs w:val="28"/>
          <w:lang w:eastAsia="zh-CN"/>
        </w:rPr>
        <w:t>、</w:t>
      </w:r>
      <w:r>
        <w:rPr>
          <w:rFonts w:hint="eastAsia" w:ascii="宋体" w:hAnsi="宋体"/>
          <w:sz w:val="28"/>
          <w:szCs w:val="28"/>
        </w:rPr>
        <w:t>重大税收违法案件当事人名单，或国家企业信用信息公示系统（</w:t>
      </w:r>
      <w:r>
        <w:rPr>
          <w:rFonts w:ascii="宋体" w:hAnsi="宋体"/>
          <w:sz w:val="28"/>
          <w:szCs w:val="28"/>
        </w:rPr>
        <w:t>www.gsxt.gov.cn</w:t>
      </w:r>
      <w:r>
        <w:rPr>
          <w:rFonts w:hint="eastAsia" w:ascii="宋体" w:hAnsi="宋体"/>
          <w:sz w:val="28"/>
          <w:szCs w:val="28"/>
        </w:rPr>
        <w:t>）列入严重违法失信名单（处罚期内）</w:t>
      </w:r>
      <w:r>
        <w:rPr>
          <w:rFonts w:hint="eastAsia" w:ascii="宋体" w:hAnsi="宋体"/>
          <w:sz w:val="28"/>
          <w:szCs w:val="28"/>
          <w:lang w:eastAsia="zh-CN"/>
        </w:rPr>
        <w:t>或</w:t>
      </w:r>
      <w:r>
        <w:rPr>
          <w:rFonts w:hint="eastAsia" w:ascii="宋体" w:hAnsi="宋体"/>
          <w:sz w:val="28"/>
          <w:szCs w:val="28"/>
        </w:rPr>
        <w:t>与医疗设备相关的不良记录。</w:t>
      </w:r>
    </w:p>
    <w:p>
      <w:pPr>
        <w:tabs>
          <w:tab w:val="left" w:pos="771"/>
        </w:tabs>
        <w:spacing w:line="560" w:lineRule="exact"/>
        <w:ind w:firstLine="560" w:firstLineChars="200"/>
        <w:rPr>
          <w:rFonts w:ascii="宋体" w:hAnsi="宋体" w:cs="宋体"/>
          <w:bCs/>
          <w:sz w:val="28"/>
          <w:szCs w:val="28"/>
        </w:rPr>
      </w:pPr>
      <w:r>
        <w:rPr>
          <w:rFonts w:hint="eastAsia" w:ascii="黑体" w:hAnsi="黑体" w:eastAsia="黑体" w:cs="宋体"/>
          <w:bCs/>
          <w:sz w:val="28"/>
          <w:szCs w:val="28"/>
        </w:rPr>
        <w:t>五、关联关系企业不参与采购活动承诺</w:t>
      </w:r>
    </w:p>
    <w:p>
      <w:pPr>
        <w:pStyle w:val="16"/>
        <w:spacing w:after="0"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16"/>
        <w:spacing w:after="0" w:line="560" w:lineRule="exact"/>
        <w:ind w:firstLine="560" w:firstLineChars="200"/>
        <w:rPr>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六、前</w:t>
      </w:r>
      <w:r>
        <w:rPr>
          <w:rFonts w:ascii="黑体" w:hAnsi="黑体" w:eastAsia="黑体" w:cs="宋体"/>
          <w:bCs/>
          <w:sz w:val="28"/>
          <w:szCs w:val="28"/>
        </w:rPr>
        <w:t>3年没有重大违法记录的书面声明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我单位在参加本次采购活动前</w:t>
      </w:r>
      <w:r>
        <w:rPr>
          <w:rFonts w:ascii="宋体" w:hAnsi="宋体" w:cs="宋体"/>
          <w:bCs/>
          <w:sz w:val="28"/>
          <w:szCs w:val="28"/>
        </w:rPr>
        <w:t>3年内</w:t>
      </w:r>
      <w:r>
        <w:rPr>
          <w:rFonts w:hint="eastAsia" w:ascii="宋体" w:hAnsi="宋体" w:cs="宋体"/>
          <w:bCs/>
          <w:sz w:val="28"/>
          <w:szCs w:val="28"/>
        </w:rPr>
        <w:t>在经营活动中没有重大违法记录。</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七、没有发生过重大质量安全事故的书面声明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我单位近3年没有发生过重大质量安全事故。</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八、非外资独资企业或控股企业的书面声明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我单位为非外资</w:t>
      </w:r>
      <w:r>
        <w:rPr>
          <w:rFonts w:hint="eastAsia" w:ascii="宋体" w:hAnsi="宋体" w:cs="宋体"/>
          <w:bCs/>
          <w:sz w:val="28"/>
          <w:szCs w:val="28"/>
          <w:lang w:eastAsia="zh-CN"/>
        </w:rPr>
        <w:t>（含港澳台）</w:t>
      </w:r>
      <w:r>
        <w:rPr>
          <w:rFonts w:hint="eastAsia" w:ascii="宋体" w:hAnsi="宋体" w:cs="宋体"/>
          <w:bCs/>
          <w:sz w:val="28"/>
          <w:szCs w:val="28"/>
        </w:rPr>
        <w:t>独资企业或控股企业。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60"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60" w:firstLineChars="200"/>
        <w:rPr>
          <w:rFonts w:ascii="宋体" w:hAnsi="宋体" w:cs="宋体"/>
          <w:bCs/>
          <w:sz w:val="28"/>
          <w:szCs w:val="28"/>
        </w:rPr>
      </w:pPr>
    </w:p>
    <w:p>
      <w:pPr>
        <w:spacing w:line="560" w:lineRule="exact"/>
        <w:ind w:firstLine="560" w:firstLineChars="200"/>
        <w:jc w:val="left"/>
        <w:rPr>
          <w:rFonts w:ascii="宋体" w:hAnsi="宋体" w:cs="宋体"/>
          <w:bCs/>
          <w:sz w:val="28"/>
          <w:szCs w:val="28"/>
          <w:lang w:val="zh-CN"/>
        </w:rPr>
      </w:pPr>
      <w:r>
        <w:rPr>
          <w:rFonts w:hint="eastAsia" w:ascii="宋体" w:hAnsi="宋体" w:cs="宋体"/>
          <w:bCs/>
          <w:sz w:val="28"/>
          <w:szCs w:val="28"/>
        </w:rPr>
        <w:t>如果我方违反上述承诺声明内容，愿意承担由此导致的一切不利后果和法律责任，</w:t>
      </w:r>
      <w:r>
        <w:rPr>
          <w:rFonts w:hint="eastAsia" w:ascii="宋体" w:hAnsi="宋体" w:cs="宋体"/>
          <w:bCs/>
          <w:sz w:val="28"/>
          <w:szCs w:val="28"/>
          <w:lang w:val="zh-CN"/>
        </w:rPr>
        <w:t>接受军队采购管理部门和采购机构按国家和军队有关法规作出的相关处罚</w:t>
      </w:r>
      <w:r>
        <w:rPr>
          <w:rFonts w:hint="eastAsia" w:ascii="宋体" w:hAnsi="宋体" w:cs="宋体"/>
          <w:bCs/>
          <w:sz w:val="28"/>
          <w:szCs w:val="28"/>
        </w:rPr>
        <w:t>。</w:t>
      </w: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560"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widowControl/>
        <w:ind w:firstLine="420" w:firstLineChars="200"/>
        <w:jc w:val="left"/>
        <w:rPr>
          <w:bCs/>
          <w:sz w:val="44"/>
          <w:szCs w:val="44"/>
          <w:lang w:val="zh-CN"/>
        </w:rPr>
      </w:pPr>
      <w:r>
        <w:rPr>
          <w:bCs/>
          <w:lang w:val="zh-CN"/>
        </w:rPr>
        <w:br w:type="page"/>
      </w:r>
    </w:p>
    <w:p>
      <w:pPr>
        <w:pStyle w:val="6"/>
        <w:spacing w:before="120" w:beforeLines="50" w:after="120" w:afterLines="50"/>
        <w:rPr>
          <w:b w:val="0"/>
          <w:lang w:val="zh-CN"/>
        </w:rPr>
      </w:pPr>
      <w:bookmarkStart w:id="456" w:name="_Toc12004"/>
      <w:bookmarkStart w:id="457" w:name="_Toc19414"/>
      <w:bookmarkStart w:id="458" w:name="_Toc18461"/>
      <w:bookmarkStart w:id="459" w:name="_Toc4199"/>
      <w:bookmarkStart w:id="460" w:name="_Toc26622"/>
      <w:bookmarkStart w:id="461" w:name="_Toc5323"/>
      <w:bookmarkStart w:id="462" w:name="_Toc16276"/>
      <w:bookmarkStart w:id="463" w:name="_Toc25453"/>
      <w:r>
        <w:rPr>
          <w:rFonts w:hint="eastAsia"/>
          <w:b w:val="0"/>
          <w:lang w:val="zh-CN"/>
        </w:rPr>
        <w:t>附件</w:t>
      </w:r>
      <w:r>
        <w:rPr>
          <w:b w:val="0"/>
          <w:lang w:val="zh-CN"/>
        </w:rPr>
        <w:t>3-</w:t>
      </w:r>
      <w:r>
        <w:rPr>
          <w:rFonts w:hint="eastAsia"/>
          <w:b w:val="0"/>
          <w:lang w:val="en-US" w:eastAsia="zh-CN"/>
        </w:rPr>
        <w:t>6</w:t>
      </w:r>
      <w:r>
        <w:rPr>
          <w:b w:val="0"/>
          <w:lang w:val="zh-CN"/>
        </w:rPr>
        <w:t xml:space="preserve"> </w:t>
      </w:r>
      <w:r>
        <w:rPr>
          <w:rFonts w:hint="eastAsia"/>
          <w:b w:val="0"/>
          <w:lang w:val="zh-CN"/>
        </w:rPr>
        <w:t>近</w:t>
      </w:r>
      <w:r>
        <w:rPr>
          <w:b w:val="0"/>
          <w:lang w:val="zh-CN"/>
        </w:rPr>
        <w:t>3</w:t>
      </w:r>
      <w:r>
        <w:rPr>
          <w:rFonts w:hint="eastAsia" w:cs="Times New Roman"/>
          <w:b w:val="0"/>
          <w:lang w:val="zh-CN"/>
        </w:rPr>
        <w:t>年（</w:t>
      </w:r>
      <w:r>
        <w:rPr>
          <w:rFonts w:hint="eastAsia" w:cs="Times New Roman"/>
          <w:b w:val="0"/>
          <w:lang w:val="en-US" w:eastAsia="zh-CN"/>
        </w:rPr>
        <w:t>2020-2022年</w:t>
      </w:r>
      <w:r>
        <w:rPr>
          <w:rFonts w:hint="eastAsia" w:cs="Times New Roman"/>
          <w:b w:val="0"/>
          <w:lang w:val="zh-CN"/>
        </w:rPr>
        <w:t>）</w:t>
      </w:r>
      <w:r>
        <w:rPr>
          <w:rFonts w:hint="eastAsia"/>
          <w:b w:val="0"/>
          <w:lang w:val="zh-CN"/>
        </w:rPr>
        <w:t>会计师事务所出具的审计报告</w:t>
      </w:r>
      <w:bookmarkEnd w:id="456"/>
      <w:bookmarkEnd w:id="457"/>
      <w:bookmarkEnd w:id="458"/>
      <w:bookmarkEnd w:id="459"/>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w:t>
      </w:r>
      <w:r>
        <w:rPr>
          <w:rFonts w:ascii="黑体" w:hAnsi="黑体" w:eastAsia="黑体" w:cs="黑体"/>
          <w:bCs/>
          <w:sz w:val="36"/>
          <w:szCs w:val="36"/>
          <w:lang w:val="zh-CN"/>
        </w:rPr>
        <w:t>3</w:t>
      </w:r>
      <w:r>
        <w:rPr>
          <w:rFonts w:hint="eastAsia" w:ascii="黑体" w:hAnsi="黑体" w:eastAsia="黑体" w:cs="黑体"/>
          <w:bCs/>
          <w:sz w:val="36"/>
          <w:szCs w:val="36"/>
          <w:lang w:val="zh-CN"/>
        </w:rPr>
        <w:t>年会计师事务所出具的审计报告</w:t>
      </w:r>
    </w:p>
    <w:p>
      <w:pPr>
        <w:pStyle w:val="16"/>
        <w:spacing w:after="0" w:line="560" w:lineRule="exact"/>
        <w:ind w:firstLine="560" w:firstLineChars="200"/>
        <w:rPr>
          <w:sz w:val="28"/>
          <w:szCs w:val="28"/>
          <w:lang w:val="zh-CN"/>
        </w:rPr>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rPr>
          <w:rFonts w:hint="eastAsia"/>
          <w:b w:val="0"/>
          <w:lang w:val="zh-CN"/>
        </w:rPr>
      </w:pPr>
      <w:r>
        <w:rPr>
          <w:rFonts w:hint="eastAsia"/>
          <w:b w:val="0"/>
          <w:lang w:val="zh-CN"/>
        </w:rPr>
        <w:br w:type="page"/>
      </w:r>
    </w:p>
    <w:p>
      <w:pPr>
        <w:pStyle w:val="6"/>
        <w:spacing w:before="120" w:beforeLines="50" w:after="120" w:afterLines="50"/>
        <w:rPr>
          <w:b w:val="0"/>
          <w:lang w:val="zh-CN"/>
        </w:rPr>
      </w:pPr>
      <w:r>
        <w:rPr>
          <w:rFonts w:hint="eastAsia"/>
          <w:b w:val="0"/>
          <w:lang w:val="zh-CN"/>
        </w:rPr>
        <w:t>附件</w:t>
      </w:r>
      <w:r>
        <w:rPr>
          <w:b w:val="0"/>
          <w:lang w:val="zh-CN"/>
        </w:rPr>
        <w:t>3-</w:t>
      </w:r>
      <w:r>
        <w:rPr>
          <w:rFonts w:hint="eastAsia"/>
          <w:b w:val="0"/>
          <w:lang w:val="en-US" w:eastAsia="zh-CN"/>
        </w:rPr>
        <w:t>7</w:t>
      </w:r>
      <w:r>
        <w:rPr>
          <w:b w:val="0"/>
          <w:lang w:val="zh-CN"/>
        </w:rPr>
        <w:t xml:space="preserve"> </w:t>
      </w:r>
      <w:r>
        <w:rPr>
          <w:rFonts w:hint="eastAsia"/>
          <w:b w:val="0"/>
          <w:lang w:val="zh-CN"/>
        </w:rPr>
        <w:t>纳税证明材料</w:t>
      </w:r>
      <w:bookmarkEnd w:id="460"/>
      <w:bookmarkEnd w:id="461"/>
      <w:bookmarkEnd w:id="462"/>
      <w:bookmarkEnd w:id="463"/>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纳税证明材料</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rPr>
          <w:b w:val="0"/>
          <w:lang w:val="zh-CN"/>
        </w:rPr>
      </w:pPr>
      <w:bookmarkStart w:id="464" w:name="_Toc1727"/>
      <w:bookmarkStart w:id="465" w:name="_Toc2760"/>
      <w:bookmarkStart w:id="466" w:name="_Toc17310"/>
      <w:bookmarkStart w:id="467" w:name="_Toc27827"/>
      <w:r>
        <w:rPr>
          <w:rFonts w:hint="eastAsia"/>
          <w:b w:val="0"/>
          <w:lang w:val="zh-CN"/>
        </w:rPr>
        <w:t>附件</w:t>
      </w:r>
      <w:r>
        <w:rPr>
          <w:b w:val="0"/>
          <w:lang w:val="zh-CN"/>
        </w:rPr>
        <w:t>3-</w:t>
      </w:r>
      <w:r>
        <w:rPr>
          <w:rFonts w:hint="eastAsia"/>
          <w:b w:val="0"/>
          <w:lang w:val="en-US" w:eastAsia="zh-CN"/>
        </w:rPr>
        <w:t>8</w:t>
      </w:r>
      <w:r>
        <w:rPr>
          <w:b w:val="0"/>
          <w:lang w:val="zh-CN"/>
        </w:rPr>
        <w:t xml:space="preserve"> </w:t>
      </w:r>
      <w:r>
        <w:rPr>
          <w:rFonts w:hint="eastAsia"/>
          <w:b w:val="0"/>
          <w:lang w:val="zh-CN"/>
        </w:rPr>
        <w:t>缴纳社会保障金证明材料</w:t>
      </w:r>
      <w:bookmarkEnd w:id="464"/>
      <w:bookmarkEnd w:id="465"/>
      <w:bookmarkEnd w:id="466"/>
      <w:bookmarkEnd w:id="467"/>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缴纳社会保障金证明材料</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方正小标宋简体" w:hAnsi="宋体" w:eastAsia="方正小标宋简体"/>
          <w:b w:val="0"/>
          <w:sz w:val="44"/>
          <w:szCs w:val="44"/>
        </w:rPr>
      </w:pPr>
      <w:bookmarkStart w:id="468" w:name="_Toc20080"/>
      <w:bookmarkStart w:id="469" w:name="_Toc23830"/>
      <w:bookmarkStart w:id="470" w:name="_Toc20757"/>
      <w:bookmarkStart w:id="471" w:name="_Toc10809"/>
      <w:r>
        <w:rPr>
          <w:rFonts w:hint="eastAsia"/>
          <w:b w:val="0"/>
        </w:rPr>
        <w:t>附件</w:t>
      </w:r>
      <w:r>
        <w:rPr>
          <w:b w:val="0"/>
        </w:rPr>
        <w:t xml:space="preserve">3-9 </w:t>
      </w:r>
      <w:r>
        <w:rPr>
          <w:rFonts w:hint="eastAsia"/>
          <w:b w:val="0"/>
        </w:rPr>
        <w:t>投标保证金缴纳证明材料</w:t>
      </w:r>
      <w:bookmarkEnd w:id="468"/>
      <w:bookmarkEnd w:id="469"/>
      <w:bookmarkEnd w:id="470"/>
      <w:bookmarkEnd w:id="471"/>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560" w:lineRule="exact"/>
        <w:jc w:val="center"/>
        <w:rPr>
          <w:bCs/>
        </w:rPr>
      </w:pPr>
      <w:r>
        <w:rPr>
          <w:rFonts w:hint="eastAsia" w:ascii="宋体" w:hAnsi="宋体"/>
          <w:sz w:val="28"/>
          <w:szCs w:val="28"/>
        </w:rPr>
        <w:t>（一般为银行转账凭证，投标保证金应当从投标供应商的银行账户缴纳）</w:t>
      </w:r>
    </w:p>
    <w:p>
      <w:pPr>
        <w:rPr>
          <w:bCs/>
        </w:rPr>
      </w:pPr>
      <w:r>
        <w:rPr>
          <w:rFonts w:hint="eastAsia"/>
          <w:bCs/>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rPr>
      </w:pPr>
      <w:bookmarkStart w:id="472" w:name="_Toc5829"/>
      <w:bookmarkStart w:id="473" w:name="_Toc6667"/>
      <w:bookmarkStart w:id="474" w:name="_Toc25249"/>
      <w:bookmarkStart w:id="475" w:name="_Toc1721"/>
      <w:bookmarkStart w:id="476" w:name="_Toc7822"/>
      <w:r>
        <w:rPr>
          <w:rFonts w:hint="eastAsia"/>
          <w:b w:val="0"/>
          <w:bCs/>
        </w:rPr>
        <w:t>附件</w:t>
      </w:r>
      <w:r>
        <w:rPr>
          <w:b w:val="0"/>
          <w:bCs/>
        </w:rPr>
        <w:t>3-</w:t>
      </w:r>
      <w:r>
        <w:rPr>
          <w:rFonts w:hint="eastAsia"/>
          <w:b w:val="0"/>
          <w:bCs/>
          <w:lang w:val="en-US" w:eastAsia="zh-CN"/>
        </w:rPr>
        <w:t>10</w:t>
      </w:r>
      <w:r>
        <w:rPr>
          <w:b w:val="0"/>
          <w:bCs/>
        </w:rPr>
        <w:t xml:space="preserve"> </w:t>
      </w:r>
      <w:r>
        <w:rPr>
          <w:rFonts w:hint="eastAsia"/>
          <w:b w:val="0"/>
          <w:bCs/>
        </w:rPr>
        <w:t>投标供应商基本情况表</w:t>
      </w:r>
      <w:bookmarkEnd w:id="472"/>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投标供应商基本情况表</w:t>
      </w:r>
    </w:p>
    <w:tbl>
      <w:tblPr>
        <w:tblStyle w:val="44"/>
        <w:tblW w:w="9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36"/>
        <w:gridCol w:w="738"/>
        <w:gridCol w:w="370"/>
        <w:gridCol w:w="551"/>
        <w:gridCol w:w="553"/>
        <w:gridCol w:w="368"/>
        <w:gridCol w:w="738"/>
        <w:gridCol w:w="342"/>
        <w:gridCol w:w="579"/>
        <w:gridCol w:w="738"/>
        <w:gridCol w:w="18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投标供应商全称</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详细地址</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主管部门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法定代表人</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企业性质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授权代表</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邮政编码</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电</w:t>
            </w:r>
            <w:r>
              <w:rPr>
                <w:b w:val="0"/>
                <w:bCs/>
              </w:rPr>
              <w:t xml:space="preserve">    </w:t>
            </w:r>
            <w:r>
              <w:rPr>
                <w:rFonts w:hint="eastAsia"/>
                <w:b w:val="0"/>
                <w:bCs/>
              </w:rPr>
              <w:t>话</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传真</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单位简介及机构</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单位优势及特长</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w:t>
            </w:r>
          </w:p>
          <w:p>
            <w:pPr>
              <w:jc w:val="center"/>
              <w:rPr>
                <w:b w:val="0"/>
                <w:bCs/>
              </w:rPr>
            </w:pPr>
            <w:r>
              <w:rPr>
                <w:rFonts w:hint="eastAsia"/>
                <w:b w:val="0"/>
                <w:bCs/>
              </w:rPr>
              <w:t>位</w:t>
            </w:r>
          </w:p>
          <w:p>
            <w:pPr>
              <w:jc w:val="center"/>
              <w:rPr>
                <w:b w:val="0"/>
                <w:bCs/>
              </w:rPr>
            </w:pPr>
            <w:r>
              <w:rPr>
                <w:rFonts w:hint="eastAsia"/>
                <w:b w:val="0"/>
                <w:bCs/>
              </w:rPr>
              <w:t>概</w:t>
            </w:r>
          </w:p>
          <w:p>
            <w:pPr>
              <w:jc w:val="center"/>
              <w:rPr>
                <w:b w:val="0"/>
                <w:bCs/>
              </w:rPr>
            </w:pPr>
            <w:r>
              <w:rPr>
                <w:rFonts w:hint="eastAsia"/>
                <w:b w:val="0"/>
                <w:bCs/>
              </w:rPr>
              <w:t>况</w:t>
            </w: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职工</w:t>
            </w:r>
          </w:p>
          <w:p>
            <w:pPr>
              <w:jc w:val="center"/>
              <w:rPr>
                <w:b w:val="0"/>
                <w:bCs/>
              </w:rPr>
            </w:pPr>
            <w:r>
              <w:rPr>
                <w:rFonts w:hint="eastAsia"/>
                <w:b w:val="0"/>
                <w:bCs/>
              </w:rPr>
              <w:t>总数</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ind w:right="560"/>
              <w:jc w:val="center"/>
              <w:rPr>
                <w:b w:val="0"/>
                <w:bCs/>
              </w:rPr>
            </w:pPr>
            <w:r>
              <w:rPr>
                <w:b w:val="0"/>
                <w:bCs/>
                <w:sz w:val="28"/>
                <w:szCs w:val="28"/>
              </w:rPr>
              <w:t xml:space="preserve">   </w:t>
            </w:r>
            <w:r>
              <w:rPr>
                <w:b w:val="0"/>
                <w:bCs/>
                <w:sz w:val="28"/>
                <w:szCs w:val="28"/>
                <w:u w:val="single"/>
              </w:rPr>
              <w:t xml:space="preserve">    </w:t>
            </w:r>
            <w:r>
              <w:rPr>
                <w:rFonts w:hint="eastAsia"/>
                <w:b w:val="0"/>
                <w:bCs/>
              </w:rPr>
              <w:t>人</w:t>
            </w: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工</w:t>
            </w:r>
            <w:r>
              <w:rPr>
                <w:b w:val="0"/>
                <w:bCs/>
              </w:rPr>
              <w:t xml:space="preserve"> </w:t>
            </w:r>
            <w:r>
              <w:rPr>
                <w:rFonts w:hint="eastAsia"/>
                <w:b w:val="0"/>
                <w:bCs/>
              </w:rPr>
              <w:t>人</w:t>
            </w:r>
            <w:r>
              <w:rPr>
                <w:b w:val="0"/>
                <w:bCs/>
              </w:rPr>
              <w:t xml:space="preserve"> </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工程技术人员</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流动</w:t>
            </w:r>
          </w:p>
          <w:p>
            <w:pPr>
              <w:jc w:val="center"/>
              <w:rPr>
                <w:b w:val="0"/>
                <w:bCs/>
              </w:rPr>
            </w:pPr>
            <w:r>
              <w:rPr>
                <w:rFonts w:hint="eastAsia"/>
                <w:b w:val="0"/>
                <w:bCs/>
              </w:rPr>
              <w:t>资金</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资金来源</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自有资金</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银行贷款</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4"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固定</w:t>
            </w:r>
          </w:p>
          <w:p>
            <w:pPr>
              <w:jc w:val="center"/>
              <w:rPr>
                <w:b w:val="0"/>
                <w:bCs/>
              </w:rPr>
            </w:pPr>
            <w:r>
              <w:rPr>
                <w:rFonts w:hint="eastAsia"/>
                <w:b w:val="0"/>
                <w:bCs/>
              </w:rPr>
              <w:t>资产</w:t>
            </w: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原值</w:t>
            </w: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资金性质</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5"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净值</w:t>
            </w:r>
            <w:r>
              <w:rPr>
                <w:b w:val="0"/>
                <w:bCs/>
                <w:sz w:val="28"/>
                <w:szCs w:val="28"/>
                <w:u w:val="single"/>
              </w:rPr>
              <w:t xml:space="preserve">   </w:t>
            </w:r>
            <w:r>
              <w:rPr>
                <w:rFonts w:hint="eastAsia"/>
                <w:b w:val="0"/>
                <w:bCs/>
              </w:rPr>
              <w:t>万元</w:t>
            </w: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非生产性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0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主要设施设备情况</w:t>
            </w:r>
          </w:p>
        </w:tc>
        <w:tc>
          <w:tcPr>
            <w:tcW w:w="5630" w:type="dxa"/>
            <w:gridSpan w:val="9"/>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w:t>
            </w:r>
            <w:r>
              <w:rPr>
                <w:b w:val="0"/>
                <w:bCs/>
              </w:rPr>
              <w:t xml:space="preserve"> </w:t>
            </w:r>
            <w:r>
              <w:rPr>
                <w:rFonts w:hint="eastAsia"/>
                <w:b w:val="0"/>
                <w:bCs/>
              </w:rPr>
              <w:t>业</w:t>
            </w:r>
            <w:r>
              <w:rPr>
                <w:b w:val="0"/>
                <w:bCs/>
              </w:rPr>
              <w:t xml:space="preserve"> </w:t>
            </w:r>
            <w:r>
              <w:rPr>
                <w:rFonts w:hint="eastAsia"/>
                <w:b w:val="0"/>
                <w:bCs/>
              </w:rPr>
              <w:t>财</w:t>
            </w:r>
          </w:p>
          <w:p>
            <w:pPr>
              <w:jc w:val="center"/>
              <w:rPr>
                <w:b w:val="0"/>
                <w:bCs/>
              </w:rPr>
            </w:pPr>
            <w:r>
              <w:rPr>
                <w:rFonts w:hint="eastAsia"/>
                <w:b w:val="0"/>
                <w:bCs/>
              </w:rPr>
              <w:t>务</w:t>
            </w:r>
            <w:r>
              <w:rPr>
                <w:b w:val="0"/>
                <w:bCs/>
              </w:rPr>
              <w:t xml:space="preserve"> </w:t>
            </w:r>
            <w:r>
              <w:rPr>
                <w:rFonts w:hint="eastAsia"/>
                <w:b w:val="0"/>
                <w:bCs/>
              </w:rPr>
              <w:t>情</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年度</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收入总额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利润总额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税后利润</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w:t>
            </w:r>
            <w:r>
              <w:rPr>
                <w:b w:val="0"/>
                <w:bCs/>
              </w:rPr>
              <w:t xml:space="preserve"> </w:t>
            </w:r>
            <w:r>
              <w:rPr>
                <w:rFonts w:hint="eastAsia"/>
                <w:b w:val="0"/>
                <w:bCs/>
              </w:rPr>
              <w:t>要</w:t>
            </w:r>
            <w:r>
              <w:rPr>
                <w:b w:val="0"/>
                <w:bCs/>
              </w:rPr>
              <w:t xml:space="preserve"> </w:t>
            </w:r>
            <w:r>
              <w:rPr>
                <w:rFonts w:hint="eastAsia"/>
                <w:b w:val="0"/>
                <w:bCs/>
              </w:rPr>
              <w:t>货</w:t>
            </w:r>
            <w:r>
              <w:rPr>
                <w:b w:val="0"/>
                <w:bCs/>
              </w:rPr>
              <w:t xml:space="preserve">  </w:t>
            </w:r>
            <w:r>
              <w:rPr>
                <w:rFonts w:hint="eastAsia"/>
                <w:b w:val="0"/>
                <w:bCs/>
              </w:rPr>
              <w:t>物</w:t>
            </w:r>
            <w:r>
              <w:rPr>
                <w:b w:val="0"/>
                <w:bCs/>
              </w:rPr>
              <w:t xml:space="preserve"> </w:t>
            </w:r>
            <w:r>
              <w:rPr>
                <w:rFonts w:hint="eastAsia"/>
                <w:b w:val="0"/>
                <w:bCs/>
              </w:rPr>
              <w:t>状</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货物</w:t>
            </w:r>
          </w:p>
          <w:p>
            <w:pPr>
              <w:jc w:val="center"/>
              <w:rPr>
                <w:b w:val="0"/>
                <w:bCs/>
              </w:rPr>
            </w:pPr>
            <w:r>
              <w:rPr>
                <w:rFonts w:hint="eastAsia"/>
                <w:b w:val="0"/>
                <w:bCs/>
              </w:rPr>
              <w:t>名称</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上年产量</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上年销售值</w:t>
            </w:r>
          </w:p>
          <w:p>
            <w:pPr>
              <w:jc w:val="center"/>
              <w:rPr>
                <w:b w:val="0"/>
                <w:bCs/>
              </w:rPr>
            </w:pPr>
            <w:r>
              <w:rPr>
                <w:rFonts w:hint="eastAsia"/>
                <w:b w:val="0"/>
                <w:bCs/>
              </w:rPr>
              <w:t>（万元）</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3420" w:type="dxa"/>
            <w:gridSpan w:val="5"/>
            <w:tcBorders>
              <w:top w:val="single" w:color="auto" w:sz="4" w:space="0"/>
              <w:left w:val="single" w:color="auto" w:sz="4" w:space="0"/>
              <w:bottom w:val="single" w:color="auto" w:sz="4" w:space="0"/>
              <w:right w:val="single" w:color="auto" w:sz="4" w:space="0"/>
            </w:tcBorders>
            <w:noWrap w:val="0"/>
            <w:vAlign w:val="top"/>
          </w:tcPr>
          <w:p>
            <w:pPr>
              <w:rPr>
                <w:b w:val="0"/>
                <w:bCs/>
              </w:rPr>
            </w:pPr>
          </w:p>
        </w:tc>
      </w:tr>
    </w:tbl>
    <w:p>
      <w:pPr>
        <w:ind w:firstLine="5541" w:firstLineChars="2639"/>
        <w:jc w:val="right"/>
        <w:rPr>
          <w:rFonts w:hint="eastAsia"/>
          <w:b w:val="0"/>
          <w:bCs/>
        </w:rPr>
      </w:pPr>
      <w:r>
        <w:rPr>
          <w:rFonts w:hint="eastAsia"/>
          <w:b w:val="0"/>
          <w:bCs/>
        </w:rPr>
        <w:t>纸面不敷时，可以另加页</w:t>
      </w:r>
    </w:p>
    <w:p>
      <w:pPr>
        <w:rPr>
          <w:rFonts w:hint="eastAsia"/>
          <w:b w:val="0"/>
          <w:bCs/>
        </w:rPr>
      </w:pPr>
      <w:r>
        <w:rPr>
          <w:rFonts w:hint="eastAsia"/>
          <w:b w:val="0"/>
          <w:bCs/>
        </w:rPr>
        <w:br w:type="page"/>
      </w:r>
    </w:p>
    <w:p>
      <w:pPr>
        <w:pStyle w:val="6"/>
        <w:spacing w:before="120" w:beforeLines="50" w:after="120" w:afterLines="50"/>
        <w:rPr>
          <w:b w:val="0"/>
          <w:lang w:val="zh-CN"/>
        </w:rPr>
      </w:pPr>
      <w:r>
        <w:rPr>
          <w:rFonts w:hint="eastAsia"/>
          <w:b w:val="0"/>
          <w:lang w:val="zh-CN"/>
        </w:rPr>
        <w:t>附件</w:t>
      </w:r>
      <w:r>
        <w:rPr>
          <w:b w:val="0"/>
          <w:lang w:val="zh-CN"/>
        </w:rPr>
        <w:t>3-</w:t>
      </w:r>
      <w:r>
        <w:rPr>
          <w:b w:val="0"/>
        </w:rPr>
        <w:t>1</w:t>
      </w:r>
      <w:r>
        <w:rPr>
          <w:rFonts w:hint="eastAsia"/>
          <w:b w:val="0"/>
          <w:lang w:val="en-US" w:eastAsia="zh-CN"/>
        </w:rPr>
        <w:t>1</w:t>
      </w:r>
      <w:r>
        <w:rPr>
          <w:b w:val="0"/>
          <w:lang w:val="zh-CN"/>
        </w:rPr>
        <w:t xml:space="preserve"> </w:t>
      </w:r>
      <w:r>
        <w:rPr>
          <w:rFonts w:hint="eastAsia"/>
          <w:b w:val="0"/>
          <w:lang w:val="zh-CN"/>
        </w:rPr>
        <w:t>管理体系认证证书</w:t>
      </w:r>
      <w:bookmarkEnd w:id="473"/>
      <w:bookmarkEnd w:id="474"/>
      <w:bookmarkEnd w:id="475"/>
      <w:bookmarkEnd w:id="476"/>
      <w:r>
        <w:rPr>
          <w:rFonts w:hint="eastAsia"/>
          <w:b w:val="0"/>
          <w:lang w:val="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管理体系认证证书</w:t>
      </w:r>
    </w:p>
    <w:p>
      <w:pPr>
        <w:spacing w:line="360" w:lineRule="auto"/>
        <w:ind w:firstLine="560" w:firstLineChars="200"/>
        <w:jc w:val="left"/>
        <w:rPr>
          <w:bCs/>
          <w:sz w:val="28"/>
          <w:szCs w:val="28"/>
          <w:lang w:val="zh-CN"/>
        </w:rPr>
      </w:pPr>
      <w:r>
        <w:rPr>
          <w:rFonts w:hint="eastAsia"/>
          <w:bCs/>
          <w:sz w:val="28"/>
          <w:szCs w:val="28"/>
          <w:lang w:val="zh-CN"/>
        </w:rPr>
        <w:t>（</w:t>
      </w:r>
      <w:r>
        <w:rPr>
          <w:rFonts w:hint="eastAsia"/>
          <w:bCs/>
          <w:sz w:val="28"/>
          <w:szCs w:val="28"/>
        </w:rPr>
        <w:t>包括质量管理体系、环境管理体系、职业健康管理体系认证证书，</w:t>
      </w:r>
      <w:r>
        <w:rPr>
          <w:rFonts w:hint="eastAsia"/>
          <w:bCs/>
          <w:sz w:val="28"/>
          <w:szCs w:val="28"/>
          <w:lang w:val="zh-CN"/>
        </w:rPr>
        <w:t>由投标供应商</w:t>
      </w:r>
      <w:r>
        <w:rPr>
          <w:rFonts w:hint="eastAsia"/>
          <w:bCs/>
          <w:sz w:val="28"/>
          <w:szCs w:val="28"/>
        </w:rPr>
        <w:t>按招标文件要求提供。</w:t>
      </w:r>
      <w:r>
        <w:rPr>
          <w:rFonts w:hint="eastAsia"/>
          <w:bCs/>
          <w:sz w:val="28"/>
          <w:szCs w:val="28"/>
          <w:lang w:val="zh-CN"/>
        </w:rPr>
        <w:t>）</w:t>
      </w:r>
    </w:p>
    <w:p>
      <w:pPr>
        <w:widowControl/>
        <w:ind w:firstLine="420" w:firstLineChars="200"/>
        <w:jc w:val="left"/>
        <w:rPr>
          <w:bCs/>
          <w:lang w:val="zh-CN"/>
        </w:rPr>
      </w:pPr>
      <w:r>
        <w:rPr>
          <w:bCs/>
          <w:lang w:val="zh-CN"/>
        </w:rPr>
        <w:br w:type="page"/>
      </w:r>
    </w:p>
    <w:p>
      <w:pPr>
        <w:pStyle w:val="6"/>
        <w:spacing w:before="120" w:beforeLines="50" w:after="120" w:afterLines="50"/>
        <w:rPr>
          <w:rFonts w:hint="default"/>
          <w:b w:val="0"/>
          <w:lang w:val="en-US" w:eastAsia="zh-CN"/>
        </w:rPr>
      </w:pPr>
      <w:bookmarkStart w:id="477" w:name="_Toc9184"/>
      <w:bookmarkStart w:id="478" w:name="_Toc10244"/>
      <w:bookmarkStart w:id="479" w:name="_Toc302"/>
      <w:r>
        <w:rPr>
          <w:rFonts w:hint="eastAsia"/>
          <w:b w:val="0"/>
          <w:lang w:val="zh-CN"/>
        </w:rPr>
        <w:t>附件</w:t>
      </w:r>
      <w:r>
        <w:rPr>
          <w:rFonts w:hint="eastAsia"/>
          <w:b w:val="0"/>
          <w:lang w:val="en-US" w:eastAsia="zh-CN"/>
        </w:rPr>
        <w:t>3-12</w:t>
      </w:r>
      <w:bookmarkEnd w:id="477"/>
      <w:bookmarkEnd w:id="478"/>
      <w:r>
        <w:rPr>
          <w:rFonts w:hint="eastAsia"/>
          <w:b w:val="0"/>
          <w:lang w:val="en-US" w:eastAsia="zh-CN"/>
        </w:rPr>
        <w:t xml:space="preserve"> 主要股东或出资人信息</w:t>
      </w:r>
    </w:p>
    <w:p>
      <w:pPr>
        <w:spacing w:before="120" w:beforeLines="50" w:after="120" w:afterLines="50" w:line="560" w:lineRule="exact"/>
        <w:jc w:val="center"/>
        <w:rPr>
          <w:rFonts w:hint="eastAsia" w:ascii="黑体" w:hAnsi="黑体" w:eastAsia="黑体" w:cs="黑体"/>
          <w:bCs/>
          <w:sz w:val="36"/>
          <w:szCs w:val="36"/>
          <w:lang w:val="zh-CN"/>
        </w:rPr>
      </w:pPr>
      <w:bookmarkStart w:id="480" w:name="_Toc14018"/>
      <w:r>
        <w:rPr>
          <w:rFonts w:hint="eastAsia" w:ascii="黑体" w:hAnsi="黑体" w:eastAsia="黑体" w:cs="黑体"/>
          <w:bCs/>
          <w:sz w:val="36"/>
          <w:szCs w:val="36"/>
          <w:lang w:val="zh-CN"/>
        </w:rPr>
        <w:t>主要股东或出资人信息</w:t>
      </w:r>
      <w:bookmarkEnd w:id="480"/>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r>
        <w:rPr>
          <w:sz w:val="28"/>
          <w:szCs w:val="28"/>
          <w:lang w:val="zh-CN"/>
        </w:rPr>
        <w:t xml:space="preserve">              法定代表人（或授权代表）：（签字）</w:t>
      </w: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eastAsia="黑体"/>
          <w:b w:val="0"/>
          <w:bCs w:val="0"/>
          <w:kern w:val="0"/>
          <w:sz w:val="28"/>
          <w:szCs w:val="28"/>
        </w:rPr>
      </w:pPr>
      <w:r>
        <w:rPr>
          <w:rFonts w:hint="eastAsia" w:eastAsia="黑体"/>
          <w:b w:val="0"/>
          <w:bCs w:val="0"/>
          <w:kern w:val="0"/>
          <w:sz w:val="28"/>
          <w:szCs w:val="28"/>
        </w:rPr>
        <w:br w:type="page"/>
      </w:r>
    </w:p>
    <w:bookmarkEnd w:id="479"/>
    <w:p/>
    <w:p>
      <w:pPr>
        <w:pStyle w:val="6"/>
        <w:spacing w:before="120" w:beforeLines="50" w:after="120" w:afterLines="50"/>
        <w:rPr>
          <w:rFonts w:hint="eastAsia"/>
          <w:b w:val="0"/>
          <w:lang w:val="zh-CN"/>
        </w:rPr>
      </w:pPr>
      <w:bookmarkStart w:id="481" w:name="_Toc13444"/>
      <w:bookmarkStart w:id="482" w:name="_Toc23109"/>
      <w:r>
        <w:rPr>
          <w:rFonts w:hint="eastAsia"/>
          <w:b w:val="0"/>
          <w:lang w:val="zh-CN"/>
        </w:rPr>
        <w:t>附件</w:t>
      </w:r>
      <w:r>
        <w:rPr>
          <w:rFonts w:hint="eastAsia"/>
          <w:b w:val="0"/>
          <w:lang w:val="en-US" w:eastAsia="zh-CN"/>
        </w:rPr>
        <w:t>3-13</w:t>
      </w:r>
      <w:r>
        <w:rPr>
          <w:rFonts w:hint="eastAsia"/>
          <w:b w:val="0"/>
          <w:lang w:val="zh-CN"/>
        </w:rPr>
        <w:t>特定资格条件证明材料</w:t>
      </w:r>
      <w:bookmarkEnd w:id="481"/>
      <w:bookmarkEnd w:id="482"/>
    </w:p>
    <w:p>
      <w:pPr>
        <w:spacing w:before="120" w:beforeLines="50" w:after="120" w:afterLines="50" w:line="560" w:lineRule="exact"/>
        <w:jc w:val="center"/>
        <w:rPr>
          <w:rFonts w:hint="eastAsia" w:ascii="黑体" w:hAnsi="黑体" w:eastAsia="黑体" w:cs="黑体"/>
          <w:bCs/>
          <w:sz w:val="36"/>
          <w:szCs w:val="36"/>
          <w:lang w:val="zh-CN"/>
        </w:rPr>
      </w:pPr>
      <w:bookmarkStart w:id="483" w:name="_Toc31481"/>
      <w:r>
        <w:rPr>
          <w:rFonts w:hint="eastAsia" w:ascii="黑体" w:hAnsi="黑体" w:eastAsia="黑体" w:cs="黑体"/>
          <w:bCs/>
          <w:sz w:val="36"/>
          <w:szCs w:val="36"/>
          <w:lang w:val="zh-CN"/>
        </w:rPr>
        <w:t>特定资格条件证明材料</w:t>
      </w:r>
      <w:bookmarkEnd w:id="483"/>
    </w:p>
    <w:p>
      <w:pPr>
        <w:ind w:firstLine="422"/>
        <w:rPr>
          <w:rFonts w:hint="eastAsia" w:ascii="宋体" w:hAnsi="宋体" w:cs="宋体"/>
          <w:sz w:val="28"/>
          <w:szCs w:val="28"/>
        </w:rPr>
      </w:pPr>
      <w:r>
        <w:rPr>
          <w:rFonts w:hint="eastAsia" w:ascii="宋体" w:hAnsi="宋体" w:cs="宋体"/>
          <w:b/>
          <w:bCs/>
          <w:sz w:val="28"/>
          <w:szCs w:val="28"/>
        </w:rPr>
        <w:t>注：</w:t>
      </w:r>
      <w:r>
        <w:rPr>
          <w:rFonts w:hint="eastAsia" w:ascii="宋体" w:hAnsi="宋体" w:cs="宋体"/>
          <w:sz w:val="28"/>
          <w:szCs w:val="28"/>
        </w:rPr>
        <w:t>投标人需按本招标文件“第</w:t>
      </w:r>
      <w:r>
        <w:rPr>
          <w:rFonts w:hint="eastAsia" w:ascii="宋体" w:hAnsi="宋体" w:cs="宋体"/>
          <w:sz w:val="28"/>
          <w:szCs w:val="28"/>
          <w:lang w:val="en-US" w:eastAsia="zh-CN"/>
        </w:rPr>
        <w:t>四章</w:t>
      </w:r>
      <w:r>
        <w:rPr>
          <w:rFonts w:hint="eastAsia" w:ascii="宋体" w:hAnsi="宋体" w:cs="宋体"/>
          <w:sz w:val="28"/>
          <w:szCs w:val="28"/>
        </w:rPr>
        <w:t xml:space="preserve"> 招标公告”——“</w:t>
      </w:r>
      <w:r>
        <w:rPr>
          <w:rFonts w:hint="eastAsia" w:ascii="宋体" w:hAnsi="宋体"/>
          <w:sz w:val="28"/>
          <w:szCs w:val="28"/>
        </w:rPr>
        <w:t>（六）本项目特定资质</w:t>
      </w:r>
      <w:r>
        <w:rPr>
          <w:rFonts w:hint="eastAsia" w:ascii="宋体" w:hAnsi="宋体" w:cs="宋体"/>
          <w:sz w:val="28"/>
          <w:szCs w:val="28"/>
        </w:rPr>
        <w:t>”要求提供相关证明材料。</w:t>
      </w:r>
    </w:p>
    <w:p>
      <w:pPr>
        <w:ind w:firstLine="422"/>
        <w:rPr>
          <w:rFonts w:hint="eastAsia" w:ascii="宋体" w:hAnsi="宋体" w:cs="宋体"/>
          <w:sz w:val="28"/>
          <w:szCs w:val="28"/>
        </w:rPr>
      </w:pPr>
      <w:r>
        <w:rPr>
          <w:rFonts w:hint="eastAsia" w:ascii="宋体" w:hAnsi="宋体" w:cs="宋体"/>
          <w:sz w:val="28"/>
          <w:szCs w:val="28"/>
        </w:rPr>
        <w:t>其中产品授权按以下要求提供资料：报价产品为进口产品必须提供产品授权文件，国产产品可以从以下方式中进行选择。</w:t>
      </w:r>
    </w:p>
    <w:p>
      <w:pPr>
        <w:pStyle w:val="17"/>
        <w:ind w:firstLine="0"/>
        <w:rPr>
          <w:rFonts w:hint="eastAsia" w:ascii="宋体" w:hAnsi="宋体" w:cs="宋体"/>
          <w:sz w:val="28"/>
          <w:szCs w:val="28"/>
        </w:rPr>
      </w:pPr>
      <w:r>
        <w:rPr>
          <w:rFonts w:hint="eastAsia" w:ascii="宋体" w:hAnsi="宋体" w:cs="宋体"/>
          <w:sz w:val="28"/>
          <w:szCs w:val="28"/>
        </w:rPr>
        <w:t>方式一：授权文件证明材料：</w:t>
      </w:r>
    </w:p>
    <w:p>
      <w:pPr>
        <w:rPr>
          <w:rFonts w:hint="eastAsia" w:ascii="宋体" w:hAnsi="宋体" w:cs="宋体"/>
          <w:sz w:val="28"/>
          <w:szCs w:val="28"/>
        </w:rPr>
      </w:pPr>
    </w:p>
    <w:p>
      <w:pPr>
        <w:pStyle w:val="16"/>
        <w:rPr>
          <w:rFonts w:hint="eastAsia" w:ascii="宋体" w:hAnsi="宋体" w:cs="宋体"/>
          <w:sz w:val="28"/>
          <w:szCs w:val="28"/>
        </w:rPr>
      </w:pPr>
    </w:p>
    <w:p>
      <w:pPr>
        <w:pStyle w:val="17"/>
        <w:rPr>
          <w:rFonts w:hint="eastAsia" w:ascii="宋体" w:hAnsi="宋体" w:cs="宋体"/>
          <w:sz w:val="28"/>
          <w:szCs w:val="28"/>
        </w:rPr>
      </w:pPr>
    </w:p>
    <w:p>
      <w:pPr>
        <w:rPr>
          <w:rFonts w:hint="eastAsia" w:ascii="宋体" w:hAnsi="宋体" w:cs="宋体"/>
          <w:sz w:val="28"/>
          <w:szCs w:val="28"/>
        </w:rPr>
      </w:pPr>
    </w:p>
    <w:p>
      <w:pPr>
        <w:pStyle w:val="16"/>
        <w:rPr>
          <w:rFonts w:hint="eastAsia"/>
        </w:rPr>
      </w:pPr>
    </w:p>
    <w:p>
      <w:pPr>
        <w:rPr>
          <w:rFonts w:hint="eastAsia" w:ascii="宋体" w:hAnsi="宋体" w:cs="宋体"/>
          <w:sz w:val="28"/>
          <w:szCs w:val="28"/>
        </w:rPr>
      </w:pPr>
      <w:r>
        <w:rPr>
          <w:rFonts w:hint="eastAsia" w:ascii="宋体" w:hAnsi="宋体" w:cs="宋体"/>
          <w:sz w:val="28"/>
          <w:szCs w:val="28"/>
        </w:rPr>
        <w:t>方式二：授权承诺函（本次报价中未能提供产品授权委托书，且为国产产品可填写授权承诺函）</w:t>
      </w:r>
    </w:p>
    <w:p>
      <w:pPr>
        <w:pStyle w:val="17"/>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承诺函</w:t>
      </w:r>
    </w:p>
    <w:p>
      <w:pPr>
        <w:rPr>
          <w:rFonts w:hint="eastAsia" w:ascii="宋体" w:hAnsi="宋体" w:cs="宋体"/>
          <w:color w:val="000000"/>
          <w:sz w:val="28"/>
          <w:szCs w:val="28"/>
          <w:lang w:val="zh-CN"/>
        </w:rPr>
      </w:pPr>
      <w:r>
        <w:rPr>
          <w:rFonts w:hint="eastAsia" w:ascii="宋体" w:hAnsi="宋体" w:cs="宋体"/>
          <w:color w:val="000000"/>
          <w:sz w:val="28"/>
          <w:szCs w:val="28"/>
          <w:lang w:val="zh-CN"/>
        </w:rPr>
        <w:t>致：</w:t>
      </w:r>
      <w:r>
        <w:rPr>
          <w:rFonts w:hint="eastAsia" w:ascii="宋体" w:hAnsi="宋体" w:cs="宋体"/>
          <w:color w:val="000000"/>
          <w:sz w:val="28"/>
          <w:szCs w:val="28"/>
          <w:u w:val="single"/>
          <w:lang w:val="zh-CN"/>
        </w:rPr>
        <w:t>新桥医院</w:t>
      </w:r>
    </w:p>
    <w:p>
      <w:pPr>
        <w:ind w:firstLine="560" w:firstLineChars="200"/>
        <w:rPr>
          <w:rFonts w:hint="eastAsia" w:ascii="宋体" w:hAnsi="宋体" w:cs="宋体"/>
          <w:sz w:val="28"/>
          <w:szCs w:val="28"/>
        </w:rPr>
      </w:pPr>
      <w:r>
        <w:rPr>
          <w:rFonts w:hint="eastAsia" w:ascii="宋体" w:hAnsi="宋体" w:cs="宋体"/>
          <w:sz w:val="28"/>
          <w:szCs w:val="28"/>
        </w:rPr>
        <w:t>我公司本次报价中未提供产品授权委托书（国产物资），</w:t>
      </w:r>
      <w:r>
        <w:rPr>
          <w:rFonts w:hint="eastAsia" w:ascii="宋体" w:hAnsi="宋体" w:cs="宋体"/>
          <w:sz w:val="28"/>
          <w:szCs w:val="28"/>
          <w:lang w:val="zh-CN"/>
        </w:rPr>
        <w:t>为保证售后服务质量，我公司将在合同签订前提供生产厂家对报价产品的授权委托书，如无法提供则做废标处理</w:t>
      </w:r>
      <w:r>
        <w:rPr>
          <w:rFonts w:hint="eastAsia" w:ascii="宋体" w:hAnsi="宋体" w:cs="宋体"/>
          <w:sz w:val="28"/>
          <w:szCs w:val="28"/>
        </w:rPr>
        <w:t>,并且接受医院按照相关规定进行处罚</w:t>
      </w:r>
      <w:r>
        <w:rPr>
          <w:rFonts w:hint="eastAsia" w:ascii="宋体" w:hAnsi="宋体" w:cs="宋体"/>
          <w:sz w:val="28"/>
          <w:szCs w:val="28"/>
          <w:lang w:val="zh-CN"/>
        </w:rPr>
        <w:t>。</w:t>
      </w:r>
    </w:p>
    <w:p>
      <w:pPr>
        <w:ind w:firstLine="420"/>
        <w:rPr>
          <w:rFonts w:hint="eastAsia" w:ascii="宋体" w:hAnsi="宋体" w:cs="宋体"/>
          <w:sz w:val="28"/>
          <w:szCs w:val="28"/>
        </w:rPr>
      </w:pPr>
      <w:r>
        <w:rPr>
          <w:rFonts w:hint="eastAsia" w:ascii="宋体" w:hAnsi="宋体" w:cs="宋体"/>
          <w:sz w:val="28"/>
          <w:szCs w:val="28"/>
        </w:rPr>
        <w:t>特此承诺。</w:t>
      </w:r>
    </w:p>
    <w:p>
      <w:pPr>
        <w:pStyle w:val="17"/>
        <w:rPr>
          <w:rFonts w:hint="eastAsia" w:ascii="宋体" w:hAnsi="宋体" w:cs="宋体"/>
          <w:sz w:val="28"/>
          <w:szCs w:val="28"/>
        </w:rPr>
      </w:pPr>
    </w:p>
    <w:p>
      <w:pPr>
        <w:ind w:firstLine="3640" w:firstLineChars="1300"/>
        <w:rPr>
          <w:rFonts w:hint="eastAsia" w:ascii="宋体" w:hAnsi="宋体" w:cs="宋体"/>
          <w:color w:val="000000"/>
          <w:sz w:val="28"/>
          <w:szCs w:val="28"/>
        </w:rPr>
      </w:pPr>
      <w:r>
        <w:rPr>
          <w:rFonts w:hint="eastAsia" w:ascii="宋体" w:hAnsi="宋体" w:cs="宋体"/>
          <w:color w:val="000000"/>
          <w:sz w:val="28"/>
          <w:szCs w:val="28"/>
        </w:rPr>
        <w:t>报价方全称：</w:t>
      </w:r>
      <w:r>
        <w:rPr>
          <w:rFonts w:hint="eastAsia" w:ascii="宋体" w:hAnsi="宋体" w:cs="宋体"/>
          <w:color w:val="000000"/>
          <w:sz w:val="28"/>
          <w:szCs w:val="28"/>
          <w:u w:val="single"/>
        </w:rPr>
        <w:t xml:space="preserve">         </w:t>
      </w:r>
      <w:r>
        <w:rPr>
          <w:rFonts w:hint="eastAsia" w:ascii="宋体" w:hAnsi="宋体" w:cs="宋体"/>
          <w:color w:val="000000"/>
          <w:sz w:val="28"/>
          <w:szCs w:val="28"/>
        </w:rPr>
        <w:t>（盖章）</w:t>
      </w:r>
    </w:p>
    <w:p>
      <w:pPr>
        <w:ind w:firstLine="2240" w:firstLineChars="800"/>
        <w:rPr>
          <w:rFonts w:hint="eastAsia" w:ascii="宋体" w:hAnsi="宋体" w:cs="宋体"/>
          <w:color w:val="000000"/>
          <w:sz w:val="28"/>
          <w:szCs w:val="28"/>
        </w:rPr>
      </w:pPr>
      <w:r>
        <w:rPr>
          <w:rFonts w:hint="eastAsia" w:ascii="宋体" w:hAnsi="宋体" w:cs="宋体"/>
          <w:color w:val="000000"/>
          <w:sz w:val="28"/>
          <w:szCs w:val="28"/>
        </w:rPr>
        <w:t>法定代表人（或授权代表）：</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p>
    <w:p>
      <w:pPr>
        <w:ind w:firstLine="4264" w:firstLineChars="1523"/>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rPr>
          <w:rFonts w:ascii="宋体" w:hAnsi="宋体"/>
          <w:b w:val="0"/>
          <w:bCs/>
          <w:szCs w:val="21"/>
        </w:rPr>
      </w:pPr>
      <w:bookmarkStart w:id="484" w:name="_Toc18392"/>
      <w:r>
        <w:rPr>
          <w:rFonts w:hint="eastAsia"/>
          <w:b w:val="0"/>
          <w:bCs/>
          <w:lang w:val="en-US" w:eastAsia="zh-CN"/>
        </w:rPr>
        <w:br w:type="page"/>
      </w:r>
      <w:bookmarkEnd w:id="484"/>
    </w:p>
    <w:p>
      <w:pPr>
        <w:spacing w:line="600" w:lineRule="auto"/>
        <w:jc w:val="center"/>
        <w:rPr>
          <w:b w:val="0"/>
          <w:bCs/>
          <w:color w:val="auto"/>
          <w:sz w:val="44"/>
          <w:szCs w:val="44"/>
        </w:rPr>
      </w:pPr>
      <w:r>
        <w:rPr>
          <w:rFonts w:hint="eastAsia"/>
          <w:b w:val="0"/>
          <w:bCs/>
          <w:color w:val="auto"/>
          <w:sz w:val="48"/>
          <w:szCs w:val="48"/>
        </w:rPr>
        <w:t>军队物资项目公开招标文件</w:t>
      </w:r>
    </w:p>
    <w:p>
      <w:pPr>
        <w:jc w:val="center"/>
        <w:rPr>
          <w:b w:val="0"/>
          <w:bCs/>
          <w:color w:val="auto"/>
          <w:sz w:val="28"/>
          <w:szCs w:val="28"/>
        </w:rPr>
      </w:pPr>
    </w:p>
    <w:p>
      <w:pPr>
        <w:rPr>
          <w:b w:val="0"/>
          <w:bCs/>
          <w:color w:val="auto"/>
          <w:sz w:val="28"/>
          <w:szCs w:val="28"/>
        </w:rPr>
      </w:pPr>
    </w:p>
    <w:p>
      <w:pPr>
        <w:spacing w:line="600" w:lineRule="auto"/>
        <w:jc w:val="center"/>
        <w:rPr>
          <w:rFonts w:ascii="宋体"/>
          <w:b w:val="0"/>
          <w:bCs/>
          <w:color w:val="auto"/>
          <w:sz w:val="84"/>
          <w:szCs w:val="84"/>
        </w:rPr>
      </w:pPr>
    </w:p>
    <w:p>
      <w:pPr>
        <w:spacing w:before="194" w:beforeLines="50" w:after="194" w:afterLines="50"/>
        <w:jc w:val="center"/>
        <w:rPr>
          <w:rFonts w:ascii="宋体"/>
          <w:b w:val="0"/>
          <w:bCs/>
          <w:color w:val="auto"/>
          <w:sz w:val="32"/>
          <w:szCs w:val="32"/>
        </w:rPr>
      </w:pPr>
    </w:p>
    <w:p>
      <w:pPr>
        <w:rPr>
          <w:b w:val="0"/>
          <w:bCs/>
          <w:color w:val="auto"/>
        </w:rPr>
      </w:pPr>
    </w:p>
    <w:p>
      <w:pPr>
        <w:jc w:val="center"/>
        <w:outlineLvl w:val="0"/>
      </w:pPr>
      <w:bookmarkStart w:id="485" w:name="_Toc18368"/>
      <w:bookmarkStart w:id="486" w:name="_Toc1083"/>
      <w:bookmarkStart w:id="487" w:name="_Toc19478"/>
      <w:r>
        <w:rPr>
          <w:rFonts w:hint="eastAsia" w:ascii="方正小标宋简体" w:hAnsi="Times New Roman" w:eastAsia="方正小标宋简体" w:cs="Times New Roman"/>
          <w:sz w:val="84"/>
          <w:szCs w:val="84"/>
          <w:lang w:eastAsia="zh-CN"/>
        </w:rPr>
        <w:t>专用部分</w:t>
      </w:r>
      <w:r>
        <w:br w:type="page"/>
      </w:r>
      <w:bookmarkEnd w:id="485"/>
      <w:bookmarkEnd w:id="486"/>
      <w:bookmarkEnd w:id="487"/>
    </w:p>
    <w:bookmarkEnd w:id="27"/>
    <w:p>
      <w:pPr>
        <w:keepNext/>
        <w:keepLines/>
        <w:adjustRightInd w:val="0"/>
        <w:snapToGrid w:val="0"/>
        <w:spacing w:line="560" w:lineRule="exact"/>
        <w:ind w:firstLine="0" w:firstLineChars="0"/>
        <w:jc w:val="center"/>
        <w:textAlignment w:val="baseline"/>
        <w:outlineLvl w:val="1"/>
        <w:rPr>
          <w:rFonts w:hint="eastAsia" w:ascii="Arial" w:hAnsi="Arial" w:eastAsia="方正小标宋简体" w:cs="Times New Roman"/>
          <w:b w:val="0"/>
          <w:bCs/>
          <w:kern w:val="2"/>
          <w:sz w:val="44"/>
          <w:szCs w:val="44"/>
          <w:lang w:val="zh-CN" w:eastAsia="zh-CN" w:bidi="ar-SA"/>
        </w:rPr>
      </w:pPr>
      <w:bookmarkStart w:id="488" w:name="_Toc21824"/>
      <w:bookmarkStart w:id="489" w:name="_Hlk112353494"/>
      <w:bookmarkStart w:id="490" w:name="_Toc23719"/>
      <w:bookmarkStart w:id="491" w:name="_Toc13044"/>
      <w:bookmarkStart w:id="492" w:name="_Toc17350"/>
      <w:bookmarkStart w:id="493" w:name="_Toc6116"/>
      <w:bookmarkStart w:id="494" w:name="_Toc8683"/>
      <w:bookmarkStart w:id="495" w:name="_Toc16768"/>
      <w:bookmarkStart w:id="496" w:name="_Toc112317780"/>
      <w:r>
        <w:rPr>
          <w:rFonts w:hint="eastAsia" w:ascii="Arial" w:hAnsi="Arial" w:eastAsia="方正小标宋简体" w:cs="Times New Roman"/>
          <w:b w:val="0"/>
          <w:bCs/>
          <w:kern w:val="2"/>
          <w:sz w:val="44"/>
          <w:szCs w:val="44"/>
          <w:lang w:val="zh-CN" w:eastAsia="zh-CN" w:bidi="ar-SA"/>
        </w:rPr>
        <w:t>投标供应商须知前附表</w:t>
      </w:r>
      <w:bookmarkEnd w:id="488"/>
      <w:bookmarkEnd w:id="489"/>
      <w:bookmarkEnd w:id="490"/>
      <w:bookmarkEnd w:id="491"/>
      <w:bookmarkEnd w:id="492"/>
      <w:bookmarkEnd w:id="493"/>
    </w:p>
    <w:p>
      <w:pPr>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560" w:firstLineChars="200"/>
        <w:jc w:val="left"/>
        <w:textAlignment w:val="baseline"/>
        <w:rPr>
          <w:b w:val="0"/>
          <w:bCs/>
        </w:rPr>
      </w:pPr>
      <w:bookmarkStart w:id="497" w:name="_Toc83738975"/>
      <w:bookmarkStart w:id="498" w:name="_Toc32673"/>
      <w:r>
        <w:rPr>
          <w:rFonts w:hint="eastAsia" w:ascii="宋体" w:hAnsi="宋体" w:cs="宋体"/>
          <w:b w:val="0"/>
          <w:bCs/>
          <w:sz w:val="28"/>
          <w:szCs w:val="28"/>
        </w:rPr>
        <w:t>本表是对第一章“投标供应商须知”内容的集中说明，需重点关注。如与第一章“投标供应商须知”存在不一致的地方，以本表为准。</w:t>
      </w:r>
      <w:bookmarkEnd w:id="497"/>
      <w:bookmarkEnd w:id="498"/>
    </w:p>
    <w:tbl>
      <w:tblPr>
        <w:tblStyle w:val="44"/>
        <w:tblW w:w="499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18"/>
        <w:gridCol w:w="3655"/>
        <w:gridCol w:w="921"/>
        <w:gridCol w:w="30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条款号</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条款名称</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第1.1款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采购项目</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第3.2款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投标供应商资格条件</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招标文件申领时间</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组织现场踏勘或者召开答疑会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eastAsia="宋体" w:cs="宋体"/>
                <w:b w:val="0"/>
                <w:bCs/>
                <w:sz w:val="21"/>
                <w:szCs w:val="21"/>
                <w:highlight w:val="none"/>
              </w:rPr>
              <w:t>□</w:t>
            </w:r>
            <w:r>
              <w:rPr>
                <w:rFonts w:hint="eastAsia" w:ascii="宋体" w:hAnsi="宋体" w:cs="宋体"/>
                <w:b w:val="0"/>
                <w:bCs/>
                <w:color w:val="auto"/>
                <w:sz w:val="21"/>
                <w:szCs w:val="21"/>
                <w:highlight w:val="none"/>
                <w:lang w:val="en-US" w:eastAsia="zh-CN"/>
              </w:rPr>
              <w:t>时间：   地点:   联系人：</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要求：采购机构或采购单位统一组织所有潜在投标供应商同时进行现场踏勘。</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cs="宋体"/>
                <w:b w:val="0"/>
                <w:bCs/>
                <w:sz w:val="21"/>
                <w:szCs w:val="21"/>
                <w:highlight w:val="none"/>
                <w:lang w:eastAsia="zh-CN"/>
              </w:rPr>
              <w:t>☑</w:t>
            </w:r>
            <w:r>
              <w:rPr>
                <w:rFonts w:hint="eastAsia" w:ascii="宋体" w:hAnsi="宋体" w:cs="宋体"/>
                <w:b w:val="0"/>
                <w:bCs/>
                <w:color w:val="auto"/>
                <w:sz w:val="21"/>
                <w:szCs w:val="21"/>
                <w:highlight w:val="non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第8.1款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信息发布指定媒体</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第10.1款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投标截止时间</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第14.6款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cs="宋体"/>
                <w:bCs/>
                <w:szCs w:val="21"/>
                <w:highlight w:val="none"/>
              </w:rPr>
              <w:t>投标文件副本及电子版投标文件份数</w:t>
            </w:r>
          </w:p>
        </w:tc>
        <w:tc>
          <w:tcPr>
            <w:tcW w:w="2083" w:type="pct"/>
            <w:gridSpan w:val="2"/>
            <w:noWrap w:val="0"/>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副本份数：</w:t>
            </w:r>
            <w:r>
              <w:rPr>
                <w:rFonts w:hint="eastAsia" w:ascii="宋体" w:hAnsi="宋体" w:cs="宋体"/>
                <w:bCs/>
                <w:szCs w:val="21"/>
                <w:highlight w:val="none"/>
                <w:lang w:val="en-US" w:eastAsia="zh-CN"/>
              </w:rPr>
              <w:t>2</w:t>
            </w:r>
            <w:r>
              <w:rPr>
                <w:rFonts w:hint="eastAsia" w:ascii="宋体" w:hAnsi="宋体" w:cs="宋体"/>
                <w:bCs/>
                <w:szCs w:val="21"/>
                <w:highlight w:val="none"/>
              </w:rPr>
              <w:t>份</w:t>
            </w:r>
          </w:p>
          <w:p>
            <w:pPr>
              <w:adjustRightInd w:val="0"/>
              <w:snapToGrid w:val="0"/>
              <w:spacing w:before="120" w:beforeLines="50"/>
              <w:rPr>
                <w:rFonts w:ascii="宋体" w:hAnsi="宋体" w:cs="宋体"/>
                <w:bCs/>
                <w:szCs w:val="21"/>
                <w:highlight w:val="none"/>
                <w:u w:val="single"/>
              </w:rPr>
            </w:pPr>
            <w:r>
              <w:rPr>
                <w:rFonts w:hint="eastAsia" w:ascii="宋体" w:hAnsi="宋体" w:cs="宋体"/>
                <w:bCs/>
                <w:szCs w:val="21"/>
                <w:highlight w:val="none"/>
              </w:rPr>
              <w:t>电子版投标文件：1份</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cs="宋体"/>
                <w:bCs/>
                <w:szCs w:val="21"/>
                <w:highlight w:val="none"/>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第15.1款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投标文件有效期</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从提交投标文件的截止之日起</w:t>
            </w:r>
            <w:r>
              <w:rPr>
                <w:rFonts w:hint="eastAsia" w:ascii="宋体" w:hAnsi="宋体" w:eastAsia="宋体" w:cs="宋体"/>
                <w:b w:val="0"/>
                <w:bCs/>
                <w:sz w:val="21"/>
                <w:szCs w:val="21"/>
                <w:highlight w:val="none"/>
                <w:u w:val="single"/>
                <w:lang w:val="en-US" w:eastAsia="zh-CN"/>
              </w:rPr>
              <w:t>180</w:t>
            </w:r>
            <w:r>
              <w:rPr>
                <w:rFonts w:hint="eastAsia" w:ascii="宋体" w:hAnsi="宋体" w:eastAsia="宋体" w:cs="宋体"/>
                <w:b w:val="0"/>
                <w:bCs/>
                <w:sz w:val="21"/>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第16.4款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投标报价的其他要求</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第17.1款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投标保证金</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保证金金额：</w:t>
            </w:r>
            <w:r>
              <w:rPr>
                <w:rFonts w:hint="eastAsia" w:ascii="宋体" w:hAnsi="宋体" w:cs="宋体"/>
                <w:b w:val="0"/>
                <w:bCs/>
                <w:sz w:val="21"/>
                <w:szCs w:val="21"/>
                <w:highlight w:val="none"/>
                <w:u w:val="single"/>
                <w:lang w:eastAsia="zh-CN"/>
              </w:rPr>
              <w:t>玖仟陆佰元整</w:t>
            </w:r>
            <w:r>
              <w:rPr>
                <w:rFonts w:hint="eastAsia" w:ascii="宋体" w:hAnsi="宋体" w:eastAsia="宋体" w:cs="宋体"/>
                <w:b w:val="0"/>
                <w:bCs/>
                <w:sz w:val="21"/>
                <w:szCs w:val="21"/>
                <w:highlight w:val="none"/>
              </w:rPr>
              <w:t>（￥</w:t>
            </w:r>
            <w:r>
              <w:rPr>
                <w:rFonts w:hint="eastAsia" w:ascii="宋体" w:hAnsi="宋体" w:cs="宋体"/>
                <w:b w:val="0"/>
                <w:bCs/>
                <w:sz w:val="21"/>
                <w:szCs w:val="21"/>
                <w:highlight w:val="none"/>
                <w:u w:val="single"/>
                <w:lang w:val="en-US" w:eastAsia="zh-CN"/>
              </w:rPr>
              <w:t>9600</w:t>
            </w:r>
            <w:r>
              <w:rPr>
                <w:rFonts w:hint="eastAsia" w:ascii="宋体" w:hAnsi="宋体" w:eastAsia="宋体" w:cs="宋体"/>
                <w:b w:val="0"/>
                <w:bCs/>
                <w:sz w:val="21"/>
                <w:szCs w:val="21"/>
                <w:highlight w:val="none"/>
              </w:rPr>
              <w:t>）</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缴纳截止时间：</w:t>
            </w:r>
            <w:r>
              <w:rPr>
                <w:rFonts w:hint="eastAsia" w:ascii="宋体" w:hAnsi="宋体" w:cs="宋体"/>
                <w:b w:val="0"/>
                <w:bCs/>
                <w:sz w:val="21"/>
                <w:szCs w:val="21"/>
                <w:highlight w:val="yellow"/>
                <w:u w:val="single"/>
                <w:lang w:val="en-US" w:eastAsia="zh-CN"/>
              </w:rPr>
              <w:t>2024</w:t>
            </w:r>
            <w:r>
              <w:rPr>
                <w:rFonts w:hint="eastAsia" w:ascii="宋体" w:hAnsi="宋体" w:eastAsia="宋体" w:cs="宋体"/>
                <w:b w:val="0"/>
                <w:bCs/>
                <w:sz w:val="21"/>
                <w:szCs w:val="21"/>
                <w:highlight w:val="yellow"/>
              </w:rPr>
              <w:t>年</w:t>
            </w:r>
            <w:r>
              <w:rPr>
                <w:rFonts w:hint="eastAsia" w:ascii="宋体" w:hAnsi="宋体" w:cs="宋体"/>
                <w:b w:val="0"/>
                <w:bCs/>
                <w:sz w:val="21"/>
                <w:szCs w:val="21"/>
                <w:highlight w:val="yellow"/>
                <w:u w:val="single"/>
                <w:lang w:val="en-US" w:eastAsia="zh-CN"/>
              </w:rPr>
              <w:t>4</w:t>
            </w:r>
            <w:r>
              <w:rPr>
                <w:rFonts w:hint="eastAsia" w:ascii="宋体" w:hAnsi="宋体" w:eastAsia="宋体" w:cs="宋体"/>
                <w:b w:val="0"/>
                <w:bCs/>
                <w:sz w:val="21"/>
                <w:szCs w:val="21"/>
                <w:highlight w:val="yellow"/>
              </w:rPr>
              <w:t>月</w:t>
            </w:r>
            <w:r>
              <w:rPr>
                <w:rFonts w:hint="eastAsia" w:ascii="宋体" w:hAnsi="宋体" w:cs="宋体"/>
                <w:b w:val="0"/>
                <w:bCs/>
                <w:sz w:val="21"/>
                <w:szCs w:val="21"/>
                <w:highlight w:val="yellow"/>
                <w:u w:val="single"/>
                <w:lang w:val="en-US" w:eastAsia="zh-CN"/>
              </w:rPr>
              <w:t>29</w:t>
            </w:r>
            <w:r>
              <w:rPr>
                <w:rFonts w:hint="eastAsia" w:ascii="宋体" w:hAnsi="宋体" w:eastAsia="宋体" w:cs="宋体"/>
                <w:b w:val="0"/>
                <w:bCs/>
                <w:sz w:val="21"/>
                <w:szCs w:val="21"/>
                <w:highlight w:val="yellow"/>
              </w:rPr>
              <w:t>日</w:t>
            </w:r>
            <w:r>
              <w:rPr>
                <w:rFonts w:hint="eastAsia" w:ascii="宋体" w:hAnsi="宋体" w:cs="宋体"/>
                <w:b w:val="0"/>
                <w:bCs/>
                <w:sz w:val="21"/>
                <w:szCs w:val="21"/>
                <w:highlight w:val="yellow"/>
                <w:u w:val="single"/>
                <w:lang w:val="en-US" w:eastAsia="zh-CN"/>
              </w:rPr>
              <w:t>9</w:t>
            </w:r>
            <w:r>
              <w:rPr>
                <w:rFonts w:hint="eastAsia" w:ascii="宋体" w:hAnsi="宋体" w:eastAsia="宋体" w:cs="宋体"/>
                <w:b w:val="0"/>
                <w:bCs/>
                <w:sz w:val="21"/>
                <w:szCs w:val="21"/>
                <w:highlight w:val="yellow"/>
              </w:rPr>
              <w:t>:</w:t>
            </w:r>
            <w:r>
              <w:rPr>
                <w:rFonts w:hint="eastAsia" w:ascii="宋体" w:hAnsi="宋体" w:cs="宋体"/>
                <w:b w:val="0"/>
                <w:bCs/>
                <w:sz w:val="21"/>
                <w:szCs w:val="21"/>
                <w:highlight w:val="yellow"/>
                <w:u w:val="single"/>
                <w:lang w:val="en-US" w:eastAsia="zh-CN"/>
              </w:rPr>
              <w:t>30</w:t>
            </w:r>
            <w:r>
              <w:rPr>
                <w:rFonts w:hint="eastAsia" w:ascii="宋体" w:hAnsi="宋体" w:eastAsia="宋体" w:cs="宋体"/>
                <w:b w:val="0"/>
                <w:bCs/>
                <w:sz w:val="21"/>
                <w:szCs w:val="21"/>
                <w:highlight w:val="none"/>
              </w:rPr>
              <w:t xml:space="preserve"> (本项目投标截止时间），以投标保证金账户实际收款为准。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缴纳办法：投标单位必须通过</w:t>
            </w:r>
            <w:r>
              <w:rPr>
                <w:rFonts w:hint="eastAsia" w:ascii="宋体" w:hAnsi="宋体" w:eastAsia="宋体" w:cs="宋体"/>
                <w:b w:val="0"/>
                <w:bCs/>
                <w:sz w:val="21"/>
                <w:szCs w:val="21"/>
                <w:highlight w:val="none"/>
                <w:lang w:val="en-US" w:eastAsia="zh-CN"/>
              </w:rPr>
              <w:t>银行</w:t>
            </w:r>
            <w:r>
              <w:rPr>
                <w:rFonts w:hint="eastAsia" w:ascii="宋体" w:hAnsi="宋体" w:eastAsia="宋体" w:cs="宋体"/>
                <w:b w:val="0"/>
                <w:bCs/>
                <w:sz w:val="21"/>
                <w:szCs w:val="21"/>
                <w:highlight w:val="none"/>
              </w:rPr>
              <w:t>账户转账至投标保证金账户，在汇款时要在备注信息中注明本项目的编号及用途（如“项目编号，投标保证金”）。</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缴纳投标保证金账户信息：</w:t>
            </w:r>
            <w:r>
              <w:rPr>
                <w:rFonts w:hint="eastAsia" w:ascii="宋体" w:hAnsi="宋体" w:eastAsia="宋体" w:cs="宋体"/>
                <w:b w:val="0"/>
                <w:bCs/>
                <w:color w:val="auto"/>
                <w:sz w:val="21"/>
                <w:szCs w:val="21"/>
              </w:rPr>
              <w:t>报名成功后获取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18.4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投标开始和截止时间及地点、方式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0</w:t>
            </w:r>
            <w:r>
              <w:rPr>
                <w:rFonts w:hint="eastAsia" w:ascii="宋体" w:hAnsi="宋体" w:cs="宋体"/>
                <w:bCs/>
                <w:szCs w:val="21"/>
                <w:highlight w:val="none"/>
              </w:rPr>
              <w:t>.1款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开标时间及地点</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w:t>
            </w:r>
            <w:r>
              <w:rPr>
                <w:rFonts w:hint="eastAsia" w:ascii="宋体" w:hAnsi="宋体" w:eastAsia="宋体" w:cs="宋体"/>
                <w:b w:val="0"/>
                <w:bCs/>
                <w:sz w:val="21"/>
                <w:szCs w:val="21"/>
                <w:highlight w:val="none"/>
                <w:lang w:eastAsia="zh-CN"/>
              </w:rPr>
              <w:t>八</w:t>
            </w:r>
            <w:r>
              <w:rPr>
                <w:rFonts w:hint="eastAsia" w:ascii="宋体" w:hAnsi="宋体" w:eastAsia="宋体" w:cs="宋体"/>
                <w:b w:val="0"/>
                <w:bCs/>
                <w:sz w:val="21"/>
                <w:szCs w:val="21"/>
                <w:highlight w:val="none"/>
              </w:rPr>
              <w:t>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20</w:t>
            </w:r>
            <w:r>
              <w:rPr>
                <w:rFonts w:hint="eastAsia" w:ascii="宋体" w:hAnsi="宋体" w:cs="宋体"/>
                <w:bCs/>
                <w:szCs w:val="21"/>
                <w:highlight w:val="none"/>
              </w:rPr>
              <w:t>.2款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采用质量优先法评审的合格分或者名次</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技术得分达到</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分以上。</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sz w:val="21"/>
                <w:szCs w:val="21"/>
                <w:highlight w:val="none"/>
                <w:lang w:eastAsia="zh-CN"/>
              </w:rPr>
              <w:t>□</w:t>
            </w:r>
            <w:r>
              <w:rPr>
                <w:rFonts w:hint="eastAsia" w:ascii="宋体" w:hAnsi="宋体" w:eastAsia="宋体" w:cs="宋体"/>
                <w:b w:val="0"/>
                <w:bCs/>
                <w:sz w:val="21"/>
                <w:szCs w:val="21"/>
                <w:highlight w:val="none"/>
              </w:rPr>
              <w:t xml:space="preserve"> 技术得分达到前</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2</w:t>
            </w:r>
            <w:r>
              <w:rPr>
                <w:rFonts w:hint="eastAsia" w:ascii="宋体" w:hAnsi="宋体" w:cs="宋体"/>
                <w:bCs/>
                <w:szCs w:val="21"/>
                <w:highlight w:val="none"/>
              </w:rPr>
              <w:t>.1款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lang w:eastAsia="zh-CN"/>
              </w:rPr>
            </w:pPr>
            <w:r>
              <w:rPr>
                <w:rFonts w:hint="eastAsia" w:ascii="宋体" w:hAnsi="宋体" w:eastAsia="宋体" w:cs="宋体"/>
                <w:b w:val="0"/>
                <w:bCs/>
                <w:sz w:val="21"/>
                <w:szCs w:val="21"/>
                <w:highlight w:val="none"/>
                <w:lang w:eastAsia="zh-CN"/>
              </w:rPr>
              <w:t>资格性审查标准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22.2</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符合性审查标准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1</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商务评审标准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技术评审标准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第27.1（</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非实质性偏离的范围和幅度</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招标文件中非实质性商务条款偏离      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招标文件中非实质性技术参数偏离   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rPr>
              <w:sym w:font="Wingdings 2" w:char="0052"/>
            </w:r>
            <w:r>
              <w:rPr>
                <w:rFonts w:hint="eastAsia" w:ascii="宋体" w:hAnsi="宋体" w:eastAsia="宋体" w:cs="宋体"/>
                <w:b w:val="0"/>
                <w:bCs/>
                <w:sz w:val="21"/>
                <w:szCs w:val="21"/>
                <w:highlight w:val="none"/>
                <w:lang w:val="en-US" w:eastAsia="zh-CN"/>
              </w:rPr>
              <w:t xml:space="preserve">  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1003" w:type="pct"/>
            <w:vMerge w:val="restar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1</w:t>
            </w:r>
            <w:r>
              <w:rPr>
                <w:rFonts w:hint="eastAsia" w:ascii="宋体" w:hAnsi="宋体" w:cs="宋体"/>
                <w:bCs/>
                <w:szCs w:val="21"/>
                <w:highlight w:val="none"/>
              </w:rPr>
              <w:t>.2款</w:t>
            </w:r>
          </w:p>
        </w:tc>
        <w:tc>
          <w:tcPr>
            <w:tcW w:w="1912" w:type="pct"/>
            <w:vMerge w:val="restar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评审方法</w:t>
            </w:r>
          </w:p>
        </w:tc>
        <w:tc>
          <w:tcPr>
            <w:tcW w:w="2083" w:type="pct"/>
            <w:gridSpan w:val="2"/>
            <w:noWrap w:val="0"/>
            <w:vAlign w:val="center"/>
          </w:tcPr>
          <w:p>
            <w:pPr>
              <w:pageBreakBefore w:val="0"/>
              <w:widowControl/>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 xml:space="preserve"> 经评审的最低价法</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52"/>
            </w:r>
            <w:r>
              <w:rPr>
                <w:rFonts w:hint="eastAsia" w:ascii="宋体" w:hAnsi="宋体" w:eastAsia="宋体" w:cs="宋体"/>
                <w:b w:val="0"/>
                <w:bCs/>
                <w:sz w:val="21"/>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003"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1912"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482"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质量优先法</w:t>
            </w:r>
          </w:p>
        </w:tc>
        <w:tc>
          <w:tcPr>
            <w:tcW w:w="1601"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分以上</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技术得分达到前</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第29.3款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样品评审方法</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第29.4（1）项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相同品牌供应商得分或者报价相同的规定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第29.4（2）项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核心产品的规定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42.4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采购机构质疑处理部门及联系方式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联系人：</w:t>
            </w:r>
            <w:r>
              <w:rPr>
                <w:rFonts w:hint="eastAsia"/>
                <w:lang w:val="en-US" w:eastAsia="zh-CN"/>
              </w:rPr>
              <w:t>夏助理</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联系方式：</w:t>
            </w:r>
            <w:r>
              <w:rPr>
                <w:rFonts w:hint="eastAsia" w:ascii="宋体" w:hAnsi="宋体" w:eastAsia="宋体" w:cs="宋体"/>
                <w:b w:val="0"/>
                <w:bCs/>
                <w:sz w:val="21"/>
                <w:szCs w:val="21"/>
                <w:lang w:val="en-US" w:eastAsia="zh-CN"/>
              </w:rPr>
              <w:t>023-68763908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7"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43.4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受理、处理投标供应商部门及联系方式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大学供应保障处</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王参谋</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44</w:t>
            </w:r>
            <w:r>
              <w:rPr>
                <w:rFonts w:hint="eastAsia" w:ascii="宋体" w:hAnsi="宋体" w:cs="宋体"/>
                <w:bCs/>
                <w:szCs w:val="21"/>
                <w:highlight w:val="none"/>
              </w:rPr>
              <w:t>.4款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受理、处理投诉复议申请部门及联系方式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采购供应局</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李助理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w:t>
            </w:r>
            <w:r>
              <w:rPr>
                <w:rFonts w:hint="eastAsia" w:ascii="宋体" w:hAnsi="宋体" w:cs="宋体"/>
                <w:b w:val="0"/>
                <w:bCs/>
                <w:color w:val="auto"/>
                <w:sz w:val="21"/>
                <w:szCs w:val="21"/>
                <w:lang w:val="en-US" w:eastAsia="zh-CN"/>
              </w:rPr>
              <w:t>010-66718844</w:t>
            </w:r>
          </w:p>
        </w:tc>
      </w:tr>
    </w:tbl>
    <w:p>
      <w:pPr>
        <w:rPr>
          <w:b w:val="0"/>
          <w:bCs/>
        </w:rPr>
      </w:pPr>
    </w:p>
    <w:p>
      <w:pPr>
        <w:rPr>
          <w:rFonts w:hint="eastAsia" w:ascii="Arial" w:hAnsi="Arial" w:eastAsia="方正小标宋简体" w:cs="Times New Roman"/>
          <w:b w:val="0"/>
          <w:bCs/>
          <w:kern w:val="2"/>
          <w:sz w:val="44"/>
          <w:szCs w:val="44"/>
          <w:lang w:val="zh-CN" w:eastAsia="zh-CN" w:bidi="ar-SA"/>
        </w:rPr>
      </w:pPr>
      <w:bookmarkStart w:id="499" w:name="_Toc20239"/>
      <w:bookmarkStart w:id="500" w:name="_Toc21723"/>
      <w:bookmarkStart w:id="501" w:name="_Toc29486"/>
      <w:r>
        <w:rPr>
          <w:rFonts w:hint="eastAsia" w:ascii="Arial" w:hAnsi="Arial" w:eastAsia="方正小标宋简体" w:cs="Times New Roman"/>
          <w:b w:val="0"/>
          <w:bCs/>
          <w:kern w:val="2"/>
          <w:sz w:val="44"/>
          <w:szCs w:val="44"/>
          <w:lang w:val="zh-CN" w:eastAsia="zh-CN" w:bidi="ar-SA"/>
        </w:rPr>
        <w:br w:type="page"/>
      </w:r>
    </w:p>
    <w:p>
      <w:pPr>
        <w:widowControl/>
        <w:jc w:val="center"/>
        <w:outlineLvl w:val="1"/>
        <w:rPr>
          <w:rFonts w:hint="eastAsia" w:ascii="Arial" w:hAnsi="Arial" w:eastAsia="方正小标宋简体" w:cs="Times New Roman"/>
          <w:b w:val="0"/>
          <w:bCs/>
          <w:kern w:val="2"/>
          <w:sz w:val="44"/>
          <w:szCs w:val="44"/>
          <w:lang w:val="zh-CN" w:eastAsia="zh-CN" w:bidi="ar-SA"/>
        </w:rPr>
      </w:pPr>
      <w:bookmarkStart w:id="502" w:name="_Toc1944"/>
      <w:r>
        <w:rPr>
          <w:rFonts w:hint="eastAsia" w:ascii="Arial" w:hAnsi="Arial" w:eastAsia="方正小标宋简体" w:cs="Times New Roman"/>
          <w:b w:val="0"/>
          <w:bCs/>
          <w:kern w:val="2"/>
          <w:sz w:val="44"/>
          <w:szCs w:val="44"/>
          <w:lang w:val="zh-CN" w:eastAsia="zh-CN" w:bidi="ar-SA"/>
        </w:rPr>
        <w:t>第四章 招标公告</w:t>
      </w:r>
      <w:bookmarkEnd w:id="494"/>
      <w:bookmarkEnd w:id="495"/>
      <w:bookmarkEnd w:id="496"/>
      <w:bookmarkEnd w:id="499"/>
      <w:bookmarkEnd w:id="500"/>
      <w:bookmarkEnd w:id="501"/>
      <w:bookmarkEnd w:id="502"/>
    </w:p>
    <w:p>
      <w:pPr>
        <w:spacing w:line="560" w:lineRule="exact"/>
        <w:ind w:firstLine="560" w:firstLineChars="200"/>
        <w:rPr>
          <w:sz w:val="28"/>
          <w:szCs w:val="28"/>
        </w:rPr>
      </w:pPr>
      <w:r>
        <w:rPr>
          <w:rFonts w:hint="eastAsia"/>
          <w:sz w:val="28"/>
          <w:szCs w:val="28"/>
        </w:rPr>
        <w:t>我</w:t>
      </w:r>
      <w:r>
        <w:rPr>
          <w:rFonts w:hint="eastAsia"/>
          <w:sz w:val="28"/>
          <w:szCs w:val="28"/>
          <w:lang w:eastAsia="zh-CN"/>
        </w:rPr>
        <w:t>单位</w:t>
      </w:r>
      <w:r>
        <w:rPr>
          <w:sz w:val="28"/>
          <w:szCs w:val="28"/>
        </w:rPr>
        <w:t>就以下项目进行国内公开招标，采购资金已全部落实，欢迎符合条件的供应商参加投标。</w:t>
      </w:r>
    </w:p>
    <w:p>
      <w:pPr>
        <w:numPr>
          <w:ilvl w:val="0"/>
          <w:numId w:val="0"/>
        </w:numPr>
        <w:tabs>
          <w:tab w:val="left" w:pos="987"/>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一、</w:t>
      </w:r>
      <w:r>
        <w:rPr>
          <w:rFonts w:eastAsia="黑体"/>
          <w:sz w:val="28"/>
          <w:szCs w:val="28"/>
        </w:rPr>
        <w:t>项目名称：</w:t>
      </w:r>
      <w:r>
        <w:rPr>
          <w:rFonts w:hint="eastAsia" w:eastAsia="黑体"/>
          <w:b w:val="0"/>
          <w:bCs w:val="0"/>
          <w:sz w:val="28"/>
          <w:szCs w:val="28"/>
          <w:u w:val="single"/>
        </w:rPr>
        <w:t>电动骨组织手术设备</w:t>
      </w:r>
    </w:p>
    <w:p>
      <w:pPr>
        <w:numPr>
          <w:ilvl w:val="0"/>
          <w:numId w:val="0"/>
        </w:numPr>
        <w:tabs>
          <w:tab w:val="left" w:pos="0"/>
          <w:tab w:val="left" w:pos="987"/>
          <w:tab w:val="left" w:pos="1122"/>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二、</w:t>
      </w:r>
      <w:r>
        <w:rPr>
          <w:rFonts w:eastAsia="黑体"/>
          <w:sz w:val="28"/>
          <w:szCs w:val="28"/>
        </w:rPr>
        <w:t>项目编号：</w:t>
      </w:r>
      <w:r>
        <w:rPr>
          <w:rFonts w:hint="eastAsia" w:eastAsia="黑体"/>
          <w:sz w:val="28"/>
          <w:szCs w:val="28"/>
          <w:u w:val="single"/>
        </w:rPr>
        <w:t>2024-JL13(04)-W10028</w:t>
      </w:r>
    </w:p>
    <w:p>
      <w:pPr>
        <w:numPr>
          <w:ilvl w:val="0"/>
          <w:numId w:val="0"/>
        </w:numPr>
        <w:tabs>
          <w:tab w:val="left" w:pos="0"/>
          <w:tab w:val="left" w:pos="987"/>
          <w:tab w:val="left" w:pos="1122"/>
        </w:tabs>
        <w:spacing w:line="560" w:lineRule="exact"/>
        <w:ind w:left="0" w:firstLine="560" w:firstLineChars="200"/>
        <w:outlineLvl w:val="3"/>
        <w:rPr>
          <w:rFonts w:eastAsia="黑体"/>
          <w:sz w:val="28"/>
          <w:szCs w:val="28"/>
        </w:rPr>
      </w:pPr>
      <w:r>
        <w:rPr>
          <w:rFonts w:hint="eastAsia" w:eastAsia="黑体"/>
          <w:sz w:val="28"/>
          <w:szCs w:val="28"/>
          <w:u w:val="none"/>
          <w:lang w:val="en-US" w:eastAsia="zh-CN"/>
        </w:rPr>
        <w:t>三、</w:t>
      </w:r>
      <w:r>
        <w:rPr>
          <w:rFonts w:eastAsia="黑体"/>
          <w:sz w:val="28"/>
          <w:szCs w:val="28"/>
        </w:rPr>
        <w:t>项目概况：</w:t>
      </w:r>
    </w:p>
    <w:tbl>
      <w:tblPr>
        <w:tblStyle w:val="44"/>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80"/>
        <w:gridCol w:w="1171"/>
        <w:gridCol w:w="1546"/>
        <w:gridCol w:w="936"/>
        <w:gridCol w:w="995"/>
        <w:gridCol w:w="1301"/>
        <w:gridCol w:w="87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包号</w:t>
            </w:r>
          </w:p>
        </w:tc>
        <w:tc>
          <w:tcPr>
            <w:tcW w:w="148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货物名称</w:t>
            </w:r>
          </w:p>
        </w:tc>
        <w:tc>
          <w:tcPr>
            <w:tcW w:w="117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napToGrid w:val="0"/>
              </w:rPr>
            </w:pPr>
            <w:r>
              <w:rPr>
                <w:rFonts w:hint="eastAsia"/>
                <w:snapToGrid w:val="0"/>
                <w:lang w:val="en-US" w:eastAsia="zh-CN"/>
              </w:rPr>
              <w:t>项目总</w:t>
            </w:r>
            <w:r>
              <w:rPr>
                <w:rFonts w:hint="eastAsia"/>
                <w:snapToGrid w:val="0"/>
              </w:rPr>
              <w:t>预算</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技术要求</w:t>
            </w:r>
          </w:p>
        </w:tc>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计量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单位</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数量</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时间</w:t>
            </w:r>
          </w:p>
        </w:tc>
        <w:tc>
          <w:tcPr>
            <w:tcW w:w="87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交货地点</w:t>
            </w:r>
          </w:p>
        </w:tc>
        <w:tc>
          <w:tcPr>
            <w:tcW w:w="73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1</w:t>
            </w:r>
          </w:p>
        </w:tc>
        <w:tc>
          <w:tcPr>
            <w:tcW w:w="148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rPr>
              <w:t>电动骨组织手术设备</w:t>
            </w:r>
          </w:p>
        </w:tc>
        <w:tc>
          <w:tcPr>
            <w:tcW w:w="117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val="en-US" w:eastAsia="zh-CN"/>
              </w:rPr>
              <w:t>48万元</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rPr>
              <w:t>详见第五章-技术要求</w:t>
            </w:r>
          </w:p>
        </w:tc>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lang w:eastAsia="zh-CN"/>
              </w:rPr>
              <w:t>台</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 w:val="21"/>
                <w:szCs w:val="21"/>
                <w:lang w:val="en-US" w:eastAsia="zh-CN"/>
              </w:rPr>
            </w:pPr>
            <w:r>
              <w:rPr>
                <w:rFonts w:hint="eastAsia"/>
                <w:sz w:val="21"/>
                <w:szCs w:val="21"/>
                <w:lang w:val="en-US" w:eastAsia="zh-CN"/>
              </w:rPr>
              <w:t>1</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eastAsia="zh-CN"/>
              </w:rPr>
              <w:t>合同签订后</w:t>
            </w:r>
            <w:r>
              <w:rPr>
                <w:rFonts w:hint="eastAsia"/>
                <w:lang w:val="en-US" w:eastAsia="zh-CN"/>
              </w:rPr>
              <w:t>30天内</w:t>
            </w:r>
          </w:p>
        </w:tc>
        <w:tc>
          <w:tcPr>
            <w:tcW w:w="87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lang w:eastAsia="zh-CN"/>
              </w:rPr>
              <w:t>重庆市</w:t>
            </w:r>
          </w:p>
        </w:tc>
        <w:tc>
          <w:tcPr>
            <w:tcW w:w="73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黑体"/>
              </w:rPr>
            </w:pPr>
            <w:r>
              <w:rPr>
                <w:snapToGrid w:val="0"/>
              </w:rPr>
              <w:t>说明</w:t>
            </w:r>
          </w:p>
        </w:tc>
        <w:tc>
          <w:tcPr>
            <w:tcW w:w="9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cs="Times New Roman"/>
              </w:rPr>
            </w:pPr>
            <w:r>
              <w:t>1</w:t>
            </w:r>
            <w:r>
              <w:rPr>
                <w:rFonts w:hint="eastAsia" w:ascii="Times New Roman" w:hAnsi="Times New Roman" w:cs="Times New Roman"/>
              </w:rPr>
              <w:t>.投标供应商须对所投包内所有产品和数量进行唯一报价，否则视为无效投标。</w:t>
            </w:r>
          </w:p>
          <w:p>
            <w:pPr>
              <w:jc w:val="left"/>
              <w:rPr>
                <w:rFonts w:hint="eastAsia" w:ascii="Times New Roman" w:hAnsi="Times New Roman" w:cs="Times New Roman"/>
              </w:rPr>
            </w:pPr>
            <w:r>
              <w:rPr>
                <w:rFonts w:hint="eastAsia" w:ascii="Times New Roman" w:hAnsi="Times New Roman" w:cs="Times New Roman"/>
              </w:rPr>
              <w:t>2.投标报价应包括所有货物供应、运输、安装调试、技术培训、售后服务、备品备件和伴随服务等价格。</w:t>
            </w:r>
          </w:p>
          <w:p>
            <w:pPr>
              <w:jc w:val="left"/>
              <w:rPr>
                <w:rFonts w:hint="eastAsia" w:ascii="Times New Roman" w:hAnsi="Times New Roman" w:cs="Times New Roman"/>
              </w:rPr>
            </w:pPr>
            <w:r>
              <w:rPr>
                <w:rFonts w:hint="eastAsia" w:ascii="Times New Roman" w:hAnsi="Times New Roman" w:cs="Times New Roman"/>
              </w:rPr>
              <w:t>3.投标供应商必须保证所投产品为全新、未使用过的产品。</w:t>
            </w:r>
          </w:p>
          <w:p>
            <w:pPr>
              <w:jc w:val="left"/>
              <w:rPr>
                <w:rFonts w:hint="eastAsia" w:ascii="Times New Roman" w:hAnsi="Times New Roman" w:cs="Times New Roman"/>
              </w:rPr>
            </w:pPr>
            <w:r>
              <w:rPr>
                <w:rFonts w:hint="eastAsia" w:ascii="Times New Roman" w:hAnsi="Times New Roman" w:cs="Times New Roman"/>
              </w:rPr>
              <w:t>4.本项目确定1 家供应商中标。</w:t>
            </w:r>
          </w:p>
          <w:p>
            <w:pPr>
              <w:jc w:val="left"/>
              <w:rPr>
                <w:rFonts w:hint="default" w:eastAsia="宋体"/>
                <w:lang w:val="en-US" w:eastAsia="zh-CN"/>
              </w:rPr>
            </w:pPr>
            <w:r>
              <w:rPr>
                <w:rFonts w:hint="eastAsia" w:ascii="Times New Roman" w:hAnsi="Times New Roman" w:cs="Times New Roman"/>
                <w:lang w:val="en-US" w:eastAsia="zh-CN"/>
              </w:rPr>
              <w:t>5.本项目中标价格需经价格复核，最终中标价格以复核结果为准。</w:t>
            </w:r>
          </w:p>
        </w:tc>
      </w:tr>
    </w:tbl>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sz w:val="28"/>
          <w:szCs w:val="28"/>
          <w:lang w:eastAsia="zh-CN"/>
        </w:rPr>
        <w:t>四、</w:t>
      </w:r>
      <w:r>
        <w:rPr>
          <w:rFonts w:eastAsia="黑体"/>
          <w:sz w:val="28"/>
          <w:szCs w:val="28"/>
        </w:rPr>
        <w:t>投标供应商资格条件</w:t>
      </w:r>
    </w:p>
    <w:p>
      <w:pPr>
        <w:numPr>
          <w:ilvl w:val="0"/>
          <w:numId w:val="1"/>
        </w:numPr>
        <w:spacing w:line="560" w:lineRule="exact"/>
        <w:rPr>
          <w:rFonts w:hint="eastAsia" w:ascii="宋体" w:hAnsi="宋体"/>
          <w:sz w:val="28"/>
          <w:szCs w:val="28"/>
        </w:rPr>
      </w:pPr>
      <w:r>
        <w:rPr>
          <w:rFonts w:ascii="宋体" w:hAnsi="宋体"/>
          <w:sz w:val="28"/>
          <w:szCs w:val="28"/>
        </w:rPr>
        <w:t>符合《中华人民共和国政府采购法》第二十二条资格条件</w:t>
      </w:r>
      <w:r>
        <w:rPr>
          <w:rFonts w:hint="eastAsia" w:ascii="宋体" w:hAnsi="宋体"/>
          <w:sz w:val="28"/>
          <w:szCs w:val="28"/>
        </w:rPr>
        <w:t>：</w:t>
      </w:r>
    </w:p>
    <w:p>
      <w:pPr>
        <w:spacing w:line="560" w:lineRule="exact"/>
        <w:ind w:left="560"/>
        <w:rPr>
          <w:rFonts w:ascii="宋体" w:hAnsi="宋体"/>
          <w:sz w:val="28"/>
          <w:szCs w:val="28"/>
        </w:rPr>
      </w:pPr>
      <w:r>
        <w:rPr>
          <w:rFonts w:ascii="宋体" w:hAnsi="宋体"/>
          <w:sz w:val="28"/>
          <w:szCs w:val="28"/>
        </w:rPr>
        <w:t>1.具有独立承担民事责任的能力；</w:t>
      </w:r>
    </w:p>
    <w:p>
      <w:pPr>
        <w:spacing w:line="560" w:lineRule="exact"/>
        <w:ind w:left="560"/>
        <w:rPr>
          <w:rFonts w:ascii="宋体" w:hAnsi="宋体"/>
          <w:sz w:val="28"/>
          <w:szCs w:val="28"/>
        </w:rPr>
      </w:pPr>
      <w:r>
        <w:rPr>
          <w:rFonts w:ascii="宋体" w:hAnsi="宋体"/>
          <w:sz w:val="28"/>
          <w:szCs w:val="28"/>
        </w:rPr>
        <w:t>2.具有良好的商业信誉和健全的财务会计制度；</w:t>
      </w:r>
    </w:p>
    <w:p>
      <w:pPr>
        <w:spacing w:line="560" w:lineRule="exact"/>
        <w:ind w:left="560"/>
        <w:rPr>
          <w:rFonts w:ascii="宋体" w:hAnsi="宋体"/>
          <w:sz w:val="28"/>
          <w:szCs w:val="28"/>
        </w:rPr>
      </w:pPr>
      <w:r>
        <w:rPr>
          <w:rFonts w:ascii="宋体" w:hAnsi="宋体"/>
          <w:sz w:val="28"/>
          <w:szCs w:val="28"/>
        </w:rPr>
        <w:t>3.具有履行合同所必需的设备和专业技术能力；</w:t>
      </w:r>
    </w:p>
    <w:p>
      <w:pPr>
        <w:spacing w:line="560" w:lineRule="exact"/>
        <w:ind w:left="560"/>
        <w:rPr>
          <w:rFonts w:ascii="宋体" w:hAnsi="宋体"/>
          <w:sz w:val="28"/>
          <w:szCs w:val="28"/>
        </w:rPr>
      </w:pPr>
      <w:r>
        <w:rPr>
          <w:rFonts w:ascii="宋体" w:hAnsi="宋体"/>
          <w:sz w:val="28"/>
          <w:szCs w:val="28"/>
        </w:rPr>
        <w:t>4.有依法缴纳税收和社会保障资金的良好记录；</w:t>
      </w:r>
    </w:p>
    <w:p>
      <w:pPr>
        <w:spacing w:line="56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spacing w:line="560" w:lineRule="exact"/>
        <w:ind w:firstLine="560" w:firstLineChars="200"/>
        <w:rPr>
          <w:rFonts w:hint="eastAsia" w:ascii="宋体" w:hAnsi="宋体"/>
          <w:sz w:val="28"/>
          <w:szCs w:val="28"/>
        </w:rPr>
      </w:pPr>
      <w:r>
        <w:rPr>
          <w:rFonts w:ascii="宋体" w:hAnsi="宋体"/>
          <w:sz w:val="28"/>
          <w:szCs w:val="28"/>
        </w:rPr>
        <w:t>6.法律、行政法规规定的其他条件。</w:t>
      </w:r>
    </w:p>
    <w:p>
      <w:pPr>
        <w:snapToGrid w:val="0"/>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国有企业；事业单</w:t>
      </w:r>
      <w:r>
        <w:rPr>
          <w:rFonts w:hint="eastAsia" w:ascii="宋体" w:hAnsi="宋体" w:cs="Times New Roman"/>
          <w:sz w:val="28"/>
          <w:szCs w:val="28"/>
        </w:rPr>
        <w:t>位；军队单位；成立三年（发售招标文件截止时间）以上的非外资</w:t>
      </w:r>
      <w:r>
        <w:rPr>
          <w:rFonts w:hint="eastAsia" w:ascii="宋体" w:hAnsi="宋体" w:cs="Times New Roman"/>
          <w:sz w:val="28"/>
          <w:szCs w:val="28"/>
          <w:lang w:val="en-US" w:eastAsia="zh-CN"/>
        </w:rPr>
        <w:t>（含港澳台）独资企业或外资控股企业</w:t>
      </w:r>
      <w:r>
        <w:rPr>
          <w:rFonts w:hint="eastAsia"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）单位负责人为同一人或者存在直接控股、管理关系的不同供应商，不得同时参加同一包的采购活动。生产型企业</w:t>
      </w:r>
      <w:r>
        <w:rPr>
          <w:rFonts w:hint="eastAsia" w:ascii="宋体" w:hAnsi="宋体"/>
          <w:sz w:val="28"/>
          <w:szCs w:val="28"/>
        </w:rPr>
        <w:t>的</w:t>
      </w:r>
      <w:r>
        <w:rPr>
          <w:rFonts w:ascii="宋体" w:hAnsi="宋体"/>
          <w:sz w:val="28"/>
          <w:szCs w:val="28"/>
        </w:rPr>
        <w:t>生产场</w:t>
      </w:r>
      <w:r>
        <w:rPr>
          <w:rFonts w:hint="eastAsia" w:ascii="宋体" w:hAnsi="宋体"/>
          <w:sz w:val="28"/>
          <w:szCs w:val="28"/>
        </w:rPr>
        <w:t>经营地址或者注册登记地址</w:t>
      </w:r>
      <w:r>
        <w:rPr>
          <w:rFonts w:ascii="宋体" w:hAnsi="宋体"/>
          <w:sz w:val="28"/>
          <w:szCs w:val="28"/>
        </w:rPr>
        <w:t>为同一地址的，</w:t>
      </w:r>
      <w:r>
        <w:rPr>
          <w:rFonts w:hint="eastAsia" w:ascii="宋体" w:hAnsi="宋体" w:cs="宋体"/>
          <w:sz w:val="28"/>
          <w:szCs w:val="28"/>
          <w:lang w:bidi="ar"/>
        </w:rPr>
        <w:t>非国有销售型企业的股东和管理人员（法定代表人、董事、监事）之间存在近亲属、相互占股等关联的，也不得</w:t>
      </w:r>
      <w:r>
        <w:rPr>
          <w:rFonts w:ascii="宋体" w:hAnsi="宋体"/>
          <w:sz w:val="28"/>
          <w:szCs w:val="28"/>
        </w:rPr>
        <w:t>同时参加同一包的采购活动</w:t>
      </w:r>
      <w:r>
        <w:rPr>
          <w:rFonts w:hint="eastAsia" w:ascii="宋体" w:hAnsi="宋体"/>
          <w:sz w:val="28"/>
          <w:szCs w:val="28"/>
        </w:rPr>
        <w:t>。近亲属</w:t>
      </w:r>
      <w:r>
        <w:rPr>
          <w:rFonts w:ascii="宋体" w:hAnsi="宋体"/>
          <w:sz w:val="28"/>
          <w:szCs w:val="28"/>
        </w:rPr>
        <w:t>指</w:t>
      </w:r>
      <w:r>
        <w:rPr>
          <w:rFonts w:hint="eastAsia" w:ascii="宋体" w:hAnsi="宋体"/>
          <w:sz w:val="28"/>
          <w:szCs w:val="28"/>
        </w:rPr>
        <w:t>夫妻</w:t>
      </w:r>
      <w:r>
        <w:rPr>
          <w:rFonts w:ascii="宋体" w:hAnsi="宋体"/>
          <w:sz w:val="28"/>
          <w:szCs w:val="28"/>
        </w:rPr>
        <w:t>、直系血亲、三代以内旁系血亲或</w:t>
      </w:r>
      <w:r>
        <w:rPr>
          <w:rFonts w:hint="eastAsia" w:ascii="宋体" w:hAnsi="宋体"/>
          <w:sz w:val="28"/>
          <w:szCs w:val="28"/>
        </w:rPr>
        <w:t>近</w:t>
      </w:r>
      <w:r>
        <w:rPr>
          <w:rFonts w:ascii="宋体" w:hAnsi="宋体"/>
          <w:sz w:val="28"/>
          <w:szCs w:val="28"/>
        </w:rPr>
        <w:t>姻</w:t>
      </w:r>
      <w:r>
        <w:rPr>
          <w:rFonts w:hint="eastAsia" w:ascii="宋体" w:hAnsi="宋体"/>
          <w:sz w:val="28"/>
          <w:szCs w:val="28"/>
        </w:rPr>
        <w:t>亲</w:t>
      </w:r>
      <w:r>
        <w:rPr>
          <w:rFonts w:ascii="宋体" w:hAnsi="宋体"/>
          <w:sz w:val="28"/>
          <w:szCs w:val="28"/>
        </w:rPr>
        <w:t>关系。</w:t>
      </w:r>
      <w:r>
        <w:rPr>
          <w:rFonts w:hint="eastAsia" w:ascii="宋体" w:hAnsi="宋体"/>
          <w:sz w:val="28"/>
          <w:szCs w:val="28"/>
        </w:rPr>
        <w:t>采购机构同时参考“天眼查”、“企查查”第三方平台查询投标人之间有无关联性。</w:t>
      </w:r>
    </w:p>
    <w:p>
      <w:pPr>
        <w:tabs>
          <w:tab w:val="left" w:pos="0"/>
        </w:tabs>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）本项目不接受联合体投标。</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（六）本项目特定资质：</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五</w:t>
      </w:r>
      <w:r>
        <w:rPr>
          <w:rFonts w:ascii="Times New Roman" w:hAnsi="Times New Roman" w:eastAsia="黑体" w:cs="Times New Roman"/>
          <w:kern w:val="2"/>
          <w:sz w:val="28"/>
          <w:szCs w:val="28"/>
          <w:lang w:val="en-US" w:eastAsia="zh-CN" w:bidi="ar-SA"/>
        </w:rPr>
        <w:t>、</w:t>
      </w:r>
      <w:r>
        <w:rPr>
          <w:rFonts w:eastAsia="黑体"/>
          <w:sz w:val="28"/>
          <w:szCs w:val="28"/>
        </w:rPr>
        <w:t>招标文件</w:t>
      </w:r>
      <w:r>
        <w:rPr>
          <w:rFonts w:hint="eastAsia" w:eastAsia="黑体"/>
          <w:sz w:val="28"/>
          <w:szCs w:val="28"/>
        </w:rPr>
        <w:t>申领</w:t>
      </w:r>
      <w:r>
        <w:rPr>
          <w:rFonts w:eastAsia="黑体"/>
          <w:sz w:val="28"/>
          <w:szCs w:val="28"/>
        </w:rPr>
        <w:t>时间、地点、方式</w:t>
      </w:r>
    </w:p>
    <w:p>
      <w:pPr>
        <w:spacing w:line="560" w:lineRule="exact"/>
        <w:ind w:firstLine="560" w:firstLineChars="200"/>
        <w:rPr>
          <w:rFonts w:hint="eastAsia" w:ascii="宋体" w:hAnsi="宋体"/>
          <w:sz w:val="28"/>
          <w:szCs w:val="28"/>
        </w:rPr>
      </w:pPr>
      <w:r>
        <w:rPr>
          <w:rFonts w:ascii="宋体" w:hAnsi="宋体"/>
          <w:sz w:val="28"/>
          <w:szCs w:val="28"/>
        </w:rPr>
        <w:t>（一）</w:t>
      </w:r>
      <w:r>
        <w:rPr>
          <w:rFonts w:hint="eastAsia" w:ascii="宋体" w:hAnsi="宋体"/>
          <w:sz w:val="28"/>
          <w:szCs w:val="28"/>
        </w:rPr>
        <w:t>申领</w:t>
      </w:r>
      <w:r>
        <w:rPr>
          <w:rFonts w:ascii="宋体" w:hAnsi="宋体"/>
          <w:sz w:val="28"/>
          <w:szCs w:val="28"/>
        </w:rPr>
        <w:t>时间</w:t>
      </w:r>
      <w:r>
        <w:rPr>
          <w:rFonts w:hint="eastAsia" w:ascii="宋体" w:hAnsi="宋体"/>
          <w:sz w:val="28"/>
          <w:szCs w:val="28"/>
        </w:rPr>
        <w:t>：</w:t>
      </w:r>
      <w:r>
        <w:rPr>
          <w:rFonts w:hint="eastAsia" w:ascii="宋体" w:hAnsi="宋体"/>
          <w:sz w:val="28"/>
          <w:szCs w:val="28"/>
          <w:highlight w:val="yellow"/>
          <w:u w:val="single"/>
          <w:lang w:val="en-US" w:eastAsia="zh-CN"/>
        </w:rPr>
        <w:t>2024</w:t>
      </w:r>
      <w:r>
        <w:rPr>
          <w:rFonts w:ascii="宋体" w:hAnsi="宋体"/>
          <w:sz w:val="28"/>
          <w:szCs w:val="28"/>
          <w:highlight w:val="yellow"/>
        </w:rPr>
        <w:t>年</w:t>
      </w:r>
      <w:r>
        <w:rPr>
          <w:rFonts w:hint="eastAsia" w:ascii="宋体" w:hAnsi="宋体"/>
          <w:sz w:val="28"/>
          <w:szCs w:val="28"/>
          <w:highlight w:val="yellow"/>
          <w:u w:val="single"/>
          <w:lang w:val="en-US" w:eastAsia="zh-CN"/>
        </w:rPr>
        <w:t>4</w:t>
      </w:r>
      <w:r>
        <w:rPr>
          <w:rFonts w:ascii="宋体" w:hAnsi="宋体"/>
          <w:sz w:val="28"/>
          <w:szCs w:val="28"/>
          <w:highlight w:val="yellow"/>
        </w:rPr>
        <w:t>月</w:t>
      </w:r>
      <w:r>
        <w:rPr>
          <w:rFonts w:hint="eastAsia" w:ascii="宋体" w:hAnsi="宋体"/>
          <w:sz w:val="28"/>
          <w:szCs w:val="28"/>
          <w:highlight w:val="yellow"/>
          <w:u w:val="single"/>
          <w:lang w:val="en-US" w:eastAsia="zh-CN"/>
        </w:rPr>
        <w:t>9</w:t>
      </w:r>
      <w:r>
        <w:rPr>
          <w:rFonts w:ascii="宋体" w:hAnsi="宋体"/>
          <w:sz w:val="28"/>
          <w:szCs w:val="28"/>
          <w:highlight w:val="yellow"/>
        </w:rPr>
        <w:t>日至</w:t>
      </w:r>
      <w:r>
        <w:rPr>
          <w:rFonts w:hint="eastAsia" w:ascii="宋体" w:hAnsi="宋体"/>
          <w:sz w:val="28"/>
          <w:szCs w:val="28"/>
          <w:highlight w:val="yellow"/>
          <w:u w:val="single"/>
          <w:lang w:val="en-US" w:eastAsia="zh-CN"/>
        </w:rPr>
        <w:t>4</w:t>
      </w:r>
      <w:r>
        <w:rPr>
          <w:rFonts w:ascii="宋体" w:hAnsi="宋体"/>
          <w:sz w:val="28"/>
          <w:szCs w:val="28"/>
          <w:highlight w:val="yellow"/>
        </w:rPr>
        <w:t>月</w:t>
      </w:r>
      <w:r>
        <w:rPr>
          <w:rFonts w:hint="eastAsia" w:ascii="宋体" w:hAnsi="宋体"/>
          <w:sz w:val="28"/>
          <w:szCs w:val="28"/>
          <w:highlight w:val="yellow"/>
          <w:u w:val="single"/>
          <w:lang w:val="en-US" w:eastAsia="zh-CN"/>
        </w:rPr>
        <w:t>15</w:t>
      </w:r>
      <w:r>
        <w:rPr>
          <w:rFonts w:ascii="宋体" w:hAnsi="宋体"/>
          <w:sz w:val="28"/>
          <w:szCs w:val="28"/>
          <w:highlight w:val="yellow"/>
        </w:rPr>
        <w:t>日</w:t>
      </w:r>
      <w:r>
        <w:rPr>
          <w:rFonts w:hint="eastAsia" w:ascii="宋体" w:hAnsi="宋体"/>
          <w:sz w:val="28"/>
          <w:szCs w:val="28"/>
          <w:highlight w:val="yellow"/>
          <w:lang w:val="en-US" w:eastAsia="zh-CN"/>
        </w:rPr>
        <w:t>18:00</w:t>
      </w:r>
      <w:r>
        <w:rPr>
          <w:rFonts w:hint="eastAsia" w:ascii="宋体" w:hAnsi="宋体"/>
          <w:sz w:val="28"/>
          <w:szCs w:val="28"/>
          <w:highlight w:val="yellow"/>
          <w:u w:val="single"/>
          <w:lang w:val="en-US" w:eastAsia="zh-CN"/>
        </w:rPr>
        <w:t>止</w:t>
      </w:r>
      <w:r>
        <w:rPr>
          <w:rFonts w:hint="eastAsia" w:ascii="宋体" w:hAnsi="宋体"/>
          <w:sz w:val="28"/>
          <w:szCs w:val="28"/>
        </w:rPr>
        <w:t>。</w:t>
      </w:r>
    </w:p>
    <w:p>
      <w:pPr>
        <w:tabs>
          <w:tab w:val="left" w:pos="0"/>
        </w:tabs>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申领</w:t>
      </w:r>
      <w:r>
        <w:rPr>
          <w:rFonts w:ascii="宋体" w:hAnsi="宋体"/>
          <w:sz w:val="28"/>
          <w:szCs w:val="28"/>
        </w:rPr>
        <w:t>地点：</w:t>
      </w:r>
      <w:r>
        <w:rPr>
          <w:rFonts w:ascii="宋体" w:hAnsi="宋体"/>
          <w:sz w:val="28"/>
          <w:szCs w:val="28"/>
          <w:u w:val="single"/>
        </w:rPr>
        <w:t xml:space="preserve"> </w:t>
      </w:r>
      <w:r>
        <w:rPr>
          <w:rFonts w:hint="eastAsia" w:ascii="宋体" w:hAnsi="宋体"/>
          <w:sz w:val="28"/>
          <w:szCs w:val="28"/>
          <w:u w:val="single"/>
        </w:rPr>
        <w:t>线上申请</w:t>
      </w:r>
      <w:r>
        <w:rPr>
          <w:rFonts w:ascii="宋体" w:hAnsi="宋体"/>
          <w:sz w:val="28"/>
          <w:szCs w:val="28"/>
          <w:u w:val="single"/>
        </w:rPr>
        <w:t xml:space="preserve"> </w:t>
      </w:r>
      <w:r>
        <w:rPr>
          <w:rFonts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申领</w:t>
      </w:r>
      <w:r>
        <w:rPr>
          <w:rFonts w:ascii="宋体" w:hAnsi="宋体"/>
          <w:sz w:val="28"/>
          <w:szCs w:val="28"/>
        </w:rPr>
        <w:t>招标文件时需提供以下</w:t>
      </w:r>
      <w:r>
        <w:rPr>
          <w:rFonts w:hint="eastAsia" w:ascii="宋体" w:hAnsi="宋体"/>
          <w:sz w:val="28"/>
          <w:szCs w:val="28"/>
        </w:rPr>
        <w:t>资料：</w:t>
      </w:r>
    </w:p>
    <w:p>
      <w:pPr>
        <w:tabs>
          <w:tab w:val="left" w:pos="0"/>
        </w:tabs>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营业执照或事业单位法人证书复印件加盖公章(军队单位不需要提供)（附录1）</w:t>
      </w:r>
      <w:r>
        <w:rPr>
          <w:rFonts w:ascii="宋体" w:hAnsi="宋体"/>
          <w:sz w:val="28"/>
          <w:szCs w:val="28"/>
        </w:rPr>
        <w:t>；</w:t>
      </w:r>
    </w:p>
    <w:p>
      <w:pPr>
        <w:tabs>
          <w:tab w:val="left" w:pos="0"/>
        </w:tabs>
        <w:spacing w:line="560" w:lineRule="exact"/>
        <w:ind w:firstLine="560" w:firstLineChars="200"/>
        <w:rPr>
          <w:rFonts w:ascii="宋体" w:hAnsi="宋体"/>
          <w:sz w:val="28"/>
          <w:szCs w:val="28"/>
        </w:rPr>
      </w:pPr>
      <w:r>
        <w:rPr>
          <w:rFonts w:hint="eastAsia" w:ascii="宋体" w:hAnsi="宋体"/>
          <w:sz w:val="28"/>
          <w:szCs w:val="28"/>
        </w:rPr>
        <w:t>2.法定代表人资格证明书</w:t>
      </w:r>
      <w:r>
        <w:rPr>
          <w:rFonts w:hint="eastAsia" w:ascii="宋体" w:hAnsi="宋体"/>
          <w:sz w:val="28"/>
          <w:szCs w:val="28"/>
          <w:lang w:val="en-US" w:eastAsia="zh-CN"/>
        </w:rPr>
        <w:t>扫描件</w:t>
      </w:r>
      <w:r>
        <w:rPr>
          <w:rFonts w:hint="eastAsia" w:ascii="宋体" w:hAnsi="宋体"/>
          <w:sz w:val="28"/>
          <w:szCs w:val="28"/>
        </w:rPr>
        <w:t>（附录</w:t>
      </w:r>
      <w:r>
        <w:rPr>
          <w:rFonts w:hint="eastAsia" w:ascii="宋体" w:hAnsi="宋体"/>
          <w:sz w:val="28"/>
          <w:szCs w:val="28"/>
          <w:lang w:val="en-US" w:eastAsia="zh-CN"/>
        </w:rPr>
        <w:t>2</w:t>
      </w:r>
      <w:r>
        <w:rPr>
          <w:rFonts w:hint="eastAsia" w:ascii="宋体" w:hAnsi="宋体"/>
          <w:sz w:val="28"/>
          <w:szCs w:val="28"/>
        </w:rPr>
        <w:t>）；</w:t>
      </w:r>
    </w:p>
    <w:p>
      <w:pPr>
        <w:tabs>
          <w:tab w:val="left" w:pos="0"/>
        </w:tabs>
        <w:spacing w:line="560" w:lineRule="exact"/>
        <w:ind w:firstLine="560" w:firstLineChars="200"/>
        <w:rPr>
          <w:rFonts w:hint="eastAsia" w:ascii="宋体" w:hAnsi="宋体" w:eastAsia="宋体"/>
          <w:color w:val="FF0000"/>
          <w:sz w:val="28"/>
          <w:szCs w:val="28"/>
          <w:highlight w:val="yellow"/>
          <w:lang w:eastAsia="zh-CN"/>
        </w:rPr>
      </w:pPr>
      <w:r>
        <w:rPr>
          <w:rFonts w:hint="eastAsia" w:ascii="宋体" w:hAnsi="宋体"/>
          <w:sz w:val="28"/>
          <w:szCs w:val="28"/>
        </w:rPr>
        <w:t>3.</w:t>
      </w:r>
      <w:r>
        <w:rPr>
          <w:rFonts w:ascii="宋体" w:hAnsi="宋体"/>
          <w:b w:val="0"/>
          <w:bCs/>
          <w:color w:val="auto"/>
          <w:sz w:val="28"/>
          <w:szCs w:val="28"/>
        </w:rPr>
        <w:t>法定代表人授权书原件</w:t>
      </w:r>
      <w:r>
        <w:rPr>
          <w:rFonts w:hint="eastAsia" w:ascii="宋体" w:hAnsi="宋体"/>
          <w:b w:val="0"/>
          <w:bCs/>
          <w:color w:val="auto"/>
          <w:sz w:val="28"/>
          <w:szCs w:val="28"/>
          <w:lang w:eastAsia="zh-CN"/>
        </w:rPr>
        <w:t>（附录</w:t>
      </w:r>
      <w:r>
        <w:rPr>
          <w:rFonts w:hint="eastAsia" w:ascii="宋体" w:hAnsi="宋体"/>
          <w:b w:val="0"/>
          <w:bCs/>
          <w:color w:val="auto"/>
          <w:sz w:val="28"/>
          <w:szCs w:val="28"/>
          <w:lang w:val="en-US" w:eastAsia="zh-CN"/>
        </w:rPr>
        <w:t>3</w:t>
      </w:r>
      <w:r>
        <w:rPr>
          <w:rFonts w:hint="eastAsia" w:ascii="宋体" w:hAnsi="宋体"/>
          <w:b w:val="0"/>
          <w:bCs/>
          <w:color w:val="auto"/>
          <w:sz w:val="28"/>
          <w:szCs w:val="28"/>
          <w:lang w:eastAsia="zh-CN"/>
        </w:rPr>
        <w:t>）</w:t>
      </w:r>
      <w:r>
        <w:rPr>
          <w:rFonts w:ascii="宋体" w:hAnsi="宋体"/>
          <w:b w:val="0"/>
          <w:bCs/>
          <w:color w:val="auto"/>
          <w:sz w:val="28"/>
          <w:szCs w:val="28"/>
        </w:rPr>
        <w:t>，授权代表身份证和</w:t>
      </w:r>
      <w:r>
        <w:rPr>
          <w:rFonts w:hint="eastAsia" w:ascii="宋体" w:hAnsi="宋体"/>
          <w:b w:val="0"/>
          <w:bCs/>
          <w:color w:val="auto"/>
          <w:sz w:val="28"/>
          <w:szCs w:val="28"/>
        </w:rPr>
        <w:t>授权代表投标前4个月内（不含投标当月）连续3个月由投标供应商缴纳的社保证明材料。代缴社保证明材料不予认可</w:t>
      </w:r>
      <w:r>
        <w:rPr>
          <w:rFonts w:ascii="宋体" w:hAnsi="宋体"/>
          <w:b w:val="0"/>
          <w:bCs/>
          <w:color w:val="auto"/>
          <w:sz w:val="28"/>
          <w:szCs w:val="28"/>
        </w:rPr>
        <w:t>；</w:t>
      </w:r>
    </w:p>
    <w:p>
      <w:pPr>
        <w:spacing w:line="560" w:lineRule="exact"/>
        <w:ind w:firstLine="560" w:firstLineChars="200"/>
        <w:rPr>
          <w:rFonts w:ascii="宋体" w:hAnsi="宋体"/>
          <w:sz w:val="28"/>
          <w:szCs w:val="28"/>
        </w:rPr>
      </w:pPr>
      <w:r>
        <w:rPr>
          <w:rFonts w:hint="eastAsia" w:ascii="宋体" w:hAnsi="宋体"/>
          <w:sz w:val="28"/>
          <w:szCs w:val="28"/>
          <w:highlight w:val="none"/>
        </w:rPr>
        <w:t>4</w:t>
      </w:r>
      <w:r>
        <w:rPr>
          <w:rFonts w:ascii="宋体" w:hAnsi="宋体"/>
          <w:sz w:val="28"/>
          <w:szCs w:val="28"/>
          <w:highlight w:val="none"/>
        </w:rPr>
        <w:t>.非外资企业或外资控股企业的书面声明</w:t>
      </w:r>
      <w:r>
        <w:rPr>
          <w:rFonts w:hint="eastAsia" w:ascii="宋体" w:hAnsi="宋体"/>
          <w:sz w:val="28"/>
          <w:szCs w:val="28"/>
          <w:highlight w:val="none"/>
        </w:rPr>
        <w:t>（企业</w:t>
      </w:r>
      <w:r>
        <w:rPr>
          <w:rFonts w:hint="eastAsia" w:ascii="宋体" w:hAnsi="宋体"/>
          <w:sz w:val="28"/>
          <w:szCs w:val="28"/>
        </w:rPr>
        <w:t>提供，事业单位、军队单位不需要提供）（附录</w:t>
      </w: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w:t>
      </w:r>
    </w:p>
    <w:p>
      <w:pPr>
        <w:spacing w:line="560" w:lineRule="exact"/>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.投标供应商主要股东或出资人信息</w:t>
      </w:r>
      <w:r>
        <w:rPr>
          <w:rFonts w:hint="eastAsia" w:ascii="宋体" w:hAnsi="宋体"/>
          <w:sz w:val="28"/>
          <w:szCs w:val="28"/>
        </w:rPr>
        <w:t>（附录</w:t>
      </w:r>
      <w:r>
        <w:rPr>
          <w:rFonts w:hint="eastAsia" w:ascii="宋体" w:hAnsi="宋体"/>
          <w:sz w:val="28"/>
          <w:szCs w:val="28"/>
          <w:lang w:val="en-US" w:eastAsia="zh-CN"/>
        </w:rPr>
        <w:t>5</w:t>
      </w:r>
      <w:r>
        <w:rPr>
          <w:rFonts w:hint="eastAsia" w:ascii="宋体" w:hAnsi="宋体"/>
          <w:sz w:val="28"/>
          <w:szCs w:val="28"/>
        </w:rPr>
        <w:t>）；</w:t>
      </w:r>
    </w:p>
    <w:p>
      <w:pPr>
        <w:snapToGrid w:val="0"/>
        <w:spacing w:line="560" w:lineRule="exact"/>
        <w:ind w:firstLine="560" w:firstLineChars="200"/>
        <w:rPr>
          <w:rFonts w:ascii="宋体" w:hAnsi="宋体"/>
          <w:sz w:val="28"/>
          <w:szCs w:val="28"/>
        </w:rPr>
      </w:pPr>
      <w:r>
        <w:rPr>
          <w:rFonts w:hint="eastAsia" w:ascii="宋体" w:hAnsi="宋体"/>
          <w:sz w:val="28"/>
          <w:szCs w:val="28"/>
        </w:rPr>
        <w:t>6.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附录</w:t>
      </w:r>
      <w:r>
        <w:rPr>
          <w:rFonts w:hint="eastAsia" w:ascii="宋体" w:hAnsi="宋体"/>
          <w:sz w:val="28"/>
          <w:szCs w:val="28"/>
          <w:lang w:val="en-US" w:eastAsia="zh-CN"/>
        </w:rPr>
        <w:t>6</w:t>
      </w:r>
      <w:r>
        <w:rPr>
          <w:rFonts w:hint="eastAsia" w:ascii="宋体" w:hAnsi="宋体"/>
          <w:sz w:val="28"/>
          <w:szCs w:val="28"/>
        </w:rPr>
        <w:t>）；</w:t>
      </w:r>
    </w:p>
    <w:p>
      <w:pPr>
        <w:spacing w:line="560" w:lineRule="atLeast"/>
        <w:ind w:firstLine="560" w:firstLineChars="200"/>
        <w:rPr>
          <w:rFonts w:hint="eastAsia" w:ascii="宋体" w:hAnsi="宋体"/>
          <w:sz w:val="28"/>
          <w:szCs w:val="28"/>
        </w:rPr>
      </w:pPr>
      <w:r>
        <w:rPr>
          <w:rFonts w:hint="eastAsia" w:ascii="宋体" w:hAnsi="宋体"/>
          <w:sz w:val="28"/>
          <w:szCs w:val="28"/>
        </w:rPr>
        <w:t>7.本项目特定资质材料（附录7）。</w:t>
      </w:r>
    </w:p>
    <w:p>
      <w:pPr>
        <w:snapToGrid w:val="0"/>
        <w:spacing w:line="560" w:lineRule="exact"/>
        <w:ind w:firstLine="562" w:firstLineChars="200"/>
        <w:rPr>
          <w:rFonts w:hint="eastAsia" w:ascii="宋体" w:hAnsi="宋体" w:eastAsia="宋体" w:cs="Times New Roman"/>
          <w:b/>
          <w:bCs/>
          <w:sz w:val="28"/>
          <w:szCs w:val="28"/>
        </w:rPr>
      </w:pPr>
      <w:r>
        <w:rPr>
          <w:rFonts w:hint="eastAsia" w:ascii="宋体" w:hAnsi="宋体" w:eastAsia="宋体" w:cs="Times New Roman"/>
          <w:b/>
          <w:bCs/>
          <w:sz w:val="28"/>
          <w:szCs w:val="28"/>
        </w:rPr>
        <w:t>备注：以上条件仅限于供应商申领招标文件的资质条件，供应商最终是否通过资格性符合性审查以投标评审现场依据投标文件判定。</w:t>
      </w:r>
    </w:p>
    <w:p>
      <w:pPr>
        <w:tabs>
          <w:tab w:val="left" w:pos="0"/>
        </w:tabs>
        <w:spacing w:line="560" w:lineRule="atLeas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申领</w:t>
      </w:r>
      <w:r>
        <w:rPr>
          <w:rFonts w:ascii="宋体" w:hAnsi="宋体"/>
          <w:sz w:val="28"/>
          <w:szCs w:val="28"/>
        </w:rPr>
        <w:t>方式</w:t>
      </w:r>
    </w:p>
    <w:p>
      <w:pPr>
        <w:pStyle w:val="39"/>
        <w:spacing w:before="0" w:beforeAutospacing="0" w:after="0" w:afterAutospacing="0" w:line="560" w:lineRule="atLeast"/>
        <w:ind w:firstLine="556"/>
        <w:rPr>
          <w:rFonts w:hint="eastAsia" w:cs="Times New Roman"/>
          <w:sz w:val="28"/>
          <w:szCs w:val="28"/>
        </w:rPr>
      </w:pPr>
      <w:r>
        <w:rPr>
          <w:rFonts w:hint="eastAsia" w:cs="Times New Roman"/>
          <w:sz w:val="28"/>
          <w:szCs w:val="28"/>
        </w:rPr>
        <w:t>本项目采取网上发售方式。投标人自行在</w:t>
      </w:r>
      <w:r>
        <w:rPr>
          <w:rFonts w:ascii="Times New Roman" w:hAnsi="Times New Roman" w:cs="Times New Roman"/>
          <w:sz w:val="28"/>
          <w:szCs w:val="28"/>
          <w:lang w:val="zh-CN"/>
        </w:rPr>
        <w:t>医院官网</w:t>
      </w:r>
      <w:r>
        <w:rPr>
          <w:rFonts w:ascii="Times New Roman" w:hAnsi="Times New Roman" w:cs="Times New Roman"/>
          <w:sz w:val="28"/>
          <w:szCs w:val="28"/>
        </w:rPr>
        <w:t>（https://www.xqhospital.com.cn/）</w:t>
      </w:r>
      <w:r>
        <w:rPr>
          <w:rFonts w:hint="eastAsia" w:ascii="Times New Roman" w:hAnsi="Times New Roman" w:cs="Times New Roman"/>
          <w:sz w:val="28"/>
          <w:szCs w:val="28"/>
        </w:rPr>
        <w:t>下载，无论下载与否均视为投标人知晓全部招标信息。投标人</w:t>
      </w:r>
      <w:r>
        <w:rPr>
          <w:rFonts w:hint="eastAsia" w:cs="Times New Roman"/>
          <w:sz w:val="28"/>
          <w:szCs w:val="28"/>
        </w:rPr>
        <w:t>采取发送</w:t>
      </w:r>
      <w:r>
        <w:rPr>
          <w:rFonts w:cs="Times New Roman"/>
          <w:sz w:val="28"/>
          <w:szCs w:val="28"/>
        </w:rPr>
        <w:t>电子邮件</w:t>
      </w:r>
      <w:r>
        <w:rPr>
          <w:rFonts w:hint="eastAsia" w:cs="Times New Roman"/>
          <w:sz w:val="28"/>
          <w:szCs w:val="28"/>
        </w:rPr>
        <w:t>方式递交报名资料，邮件主题：项目名称</w:t>
      </w:r>
      <w:r>
        <w:rPr>
          <w:rFonts w:cs="Times New Roman"/>
          <w:sz w:val="28"/>
          <w:szCs w:val="28"/>
        </w:rPr>
        <w:t>+</w:t>
      </w:r>
      <w:r>
        <w:rPr>
          <w:rFonts w:hint="eastAsia" w:cs="Times New Roman"/>
          <w:sz w:val="28"/>
          <w:szCs w:val="28"/>
        </w:rPr>
        <w:t>项目编号</w:t>
      </w:r>
      <w:r>
        <w:rPr>
          <w:rFonts w:cs="Times New Roman"/>
          <w:sz w:val="28"/>
          <w:szCs w:val="28"/>
        </w:rPr>
        <w:t>+</w:t>
      </w:r>
      <w:r>
        <w:rPr>
          <w:rFonts w:hint="eastAsia" w:cs="Times New Roman"/>
          <w:sz w:val="28"/>
          <w:szCs w:val="28"/>
        </w:rPr>
        <w:t>公司名称+联系人+联系电话；邮件内容：列明公司名称、法定代表人或授权代表人</w:t>
      </w:r>
      <w:r>
        <w:rPr>
          <w:rFonts w:hint="eastAsia" w:cs="Times New Roman"/>
          <w:bCs/>
          <w:sz w:val="28"/>
          <w:szCs w:val="28"/>
        </w:rPr>
        <w:t>姓名</w:t>
      </w:r>
      <w:r>
        <w:rPr>
          <w:rFonts w:hint="eastAsia" w:cs="Times New Roman"/>
          <w:sz w:val="28"/>
          <w:szCs w:val="28"/>
        </w:rPr>
        <w:t>及</w:t>
      </w:r>
      <w:r>
        <w:rPr>
          <w:rFonts w:hint="eastAsia" w:cs="Times New Roman"/>
          <w:bCs/>
          <w:sz w:val="28"/>
          <w:szCs w:val="28"/>
        </w:rPr>
        <w:t>联系方式；</w:t>
      </w:r>
      <w:r>
        <w:rPr>
          <w:rFonts w:hint="eastAsia" w:cs="Times New Roman"/>
          <w:sz w:val="28"/>
          <w:szCs w:val="28"/>
        </w:rPr>
        <w:t>邮件附件：需采用</w:t>
      </w:r>
      <w:r>
        <w:rPr>
          <w:rFonts w:cs="Times New Roman"/>
          <w:sz w:val="28"/>
          <w:szCs w:val="28"/>
        </w:rPr>
        <w:t>A4</w:t>
      </w:r>
      <w:r>
        <w:rPr>
          <w:rFonts w:hint="eastAsia" w:cs="Times New Roman"/>
          <w:sz w:val="28"/>
          <w:szCs w:val="28"/>
        </w:rPr>
        <w:t>纸幅面，将报名材料加盖企业鲜章，按顺序制作成1个PDF格式文件，文件名称与主题一致，复印件扫描无效。报名</w:t>
      </w:r>
      <w:r>
        <w:rPr>
          <w:rFonts w:cs="Times New Roman"/>
          <w:sz w:val="28"/>
          <w:szCs w:val="28"/>
        </w:rPr>
        <w:t>材料</w:t>
      </w:r>
      <w:r>
        <w:rPr>
          <w:rFonts w:hint="eastAsia" w:cs="Times New Roman"/>
          <w:sz w:val="28"/>
          <w:szCs w:val="28"/>
        </w:rPr>
        <w:t>审核通过后，采购</w:t>
      </w:r>
      <w:r>
        <w:rPr>
          <w:rFonts w:cs="Times New Roman"/>
          <w:sz w:val="28"/>
          <w:szCs w:val="28"/>
        </w:rPr>
        <w:t>机构联系人</w:t>
      </w:r>
      <w:r>
        <w:rPr>
          <w:rFonts w:hint="eastAsia" w:cs="Times New Roman"/>
          <w:sz w:val="28"/>
          <w:szCs w:val="28"/>
        </w:rPr>
        <w:t>向供应商邮箱发送采购人投标保证金账户；审核未通过的，采购</w:t>
      </w:r>
      <w:r>
        <w:rPr>
          <w:rFonts w:cs="Times New Roman"/>
          <w:sz w:val="28"/>
          <w:szCs w:val="28"/>
        </w:rPr>
        <w:t>机构联系人</w:t>
      </w:r>
      <w:r>
        <w:rPr>
          <w:rFonts w:hint="eastAsia" w:cs="Times New Roman"/>
          <w:sz w:val="28"/>
          <w:szCs w:val="28"/>
        </w:rPr>
        <w:t>以</w:t>
      </w:r>
      <w:r>
        <w:rPr>
          <w:rFonts w:cs="Times New Roman"/>
          <w:sz w:val="28"/>
          <w:szCs w:val="28"/>
        </w:rPr>
        <w:t>邮件形式回复审核情况，供应商</w:t>
      </w:r>
      <w:r>
        <w:rPr>
          <w:rFonts w:hint="eastAsia" w:cs="Times New Roman"/>
          <w:sz w:val="28"/>
          <w:szCs w:val="28"/>
        </w:rPr>
        <w:t>可在招标文件申领时间内重新提交材料。采购机构</w:t>
      </w:r>
      <w:r>
        <w:rPr>
          <w:rFonts w:cs="Times New Roman"/>
          <w:sz w:val="28"/>
          <w:szCs w:val="28"/>
        </w:rPr>
        <w:t>邮箱：</w:t>
      </w:r>
      <w:r>
        <w:rPr>
          <w:rFonts w:hint="eastAsia" w:cs="Times New Roman"/>
          <w:sz w:val="28"/>
          <w:szCs w:val="28"/>
          <w:u w:val="single"/>
        </w:rPr>
        <w:t>xqyycgzx774929@163.com</w:t>
      </w:r>
      <w:r>
        <w:rPr>
          <w:rFonts w:hint="eastAsia" w:cs="Times New Roman"/>
          <w:sz w:val="28"/>
          <w:szCs w:val="28"/>
        </w:rPr>
        <w:t>。未按要求报名的供应商不得参与投标。</w:t>
      </w:r>
    </w:p>
    <w:p>
      <w:pPr>
        <w:spacing w:line="560" w:lineRule="atLeas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）招标文件售价：</w:t>
      </w:r>
      <w:r>
        <w:rPr>
          <w:rFonts w:hint="eastAsia" w:ascii="宋体" w:hAnsi="宋体"/>
          <w:sz w:val="28"/>
          <w:szCs w:val="28"/>
          <w:u w:val="single"/>
        </w:rPr>
        <w:t xml:space="preserve"> 本次不收取费用</w:t>
      </w:r>
      <w:r>
        <w:rPr>
          <w:rFonts w:ascii="宋体" w:hAnsi="宋体"/>
          <w:sz w:val="28"/>
          <w:szCs w:val="28"/>
        </w:rPr>
        <w:t>。</w:t>
      </w:r>
    </w:p>
    <w:p>
      <w:pPr>
        <w:numPr>
          <w:ilvl w:val="0"/>
          <w:numId w:val="0"/>
        </w:numPr>
        <w:tabs>
          <w:tab w:val="left" w:pos="0"/>
          <w:tab w:val="left" w:pos="1122"/>
        </w:tabs>
        <w:spacing w:line="560" w:lineRule="atLeas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六</w:t>
      </w:r>
      <w:r>
        <w:rPr>
          <w:rFonts w:ascii="Times New Roman" w:hAnsi="Times New Roman" w:eastAsia="黑体" w:cs="Times New Roman"/>
          <w:kern w:val="2"/>
          <w:sz w:val="28"/>
          <w:szCs w:val="28"/>
          <w:lang w:val="en-US" w:eastAsia="zh-CN" w:bidi="ar-SA"/>
        </w:rPr>
        <w:t>、</w:t>
      </w:r>
      <w:r>
        <w:rPr>
          <w:rFonts w:eastAsia="黑体"/>
          <w:sz w:val="28"/>
          <w:szCs w:val="28"/>
        </w:rPr>
        <w:t>投标开始和截止时间及地点、方式</w:t>
      </w:r>
    </w:p>
    <w:p>
      <w:pPr>
        <w:numPr>
          <w:ilvl w:val="0"/>
          <w:numId w:val="2"/>
        </w:numPr>
        <w:spacing w:line="560" w:lineRule="atLeast"/>
        <w:ind w:left="0" w:firstLine="560" w:firstLineChars="200"/>
        <w:rPr>
          <w:rFonts w:eastAsia="黑体"/>
          <w:sz w:val="28"/>
          <w:szCs w:val="28"/>
        </w:rPr>
      </w:pPr>
      <w:r>
        <w:rPr>
          <w:sz w:val="28"/>
          <w:szCs w:val="28"/>
        </w:rPr>
        <w:t>投标开始时间：</w:t>
      </w:r>
      <w:r>
        <w:rPr>
          <w:rFonts w:hint="eastAsia"/>
          <w:sz w:val="28"/>
          <w:szCs w:val="28"/>
          <w:highlight w:val="yellow"/>
          <w:u w:val="single"/>
          <w:lang w:val="en-US" w:eastAsia="zh-CN"/>
        </w:rPr>
        <w:t>2024</w:t>
      </w:r>
      <w:r>
        <w:rPr>
          <w:sz w:val="28"/>
          <w:szCs w:val="28"/>
          <w:highlight w:val="yellow"/>
        </w:rPr>
        <w:t>年</w:t>
      </w:r>
      <w:r>
        <w:rPr>
          <w:rFonts w:hint="eastAsia"/>
          <w:sz w:val="28"/>
          <w:szCs w:val="28"/>
          <w:highlight w:val="yellow"/>
          <w:u w:val="single"/>
          <w:lang w:val="en-US" w:eastAsia="zh-CN"/>
        </w:rPr>
        <w:t>4</w:t>
      </w:r>
      <w:r>
        <w:rPr>
          <w:sz w:val="28"/>
          <w:szCs w:val="28"/>
          <w:highlight w:val="yellow"/>
        </w:rPr>
        <w:t>月</w:t>
      </w:r>
      <w:r>
        <w:rPr>
          <w:rFonts w:hint="eastAsia"/>
          <w:sz w:val="28"/>
          <w:szCs w:val="28"/>
          <w:highlight w:val="yellow"/>
          <w:u w:val="single"/>
          <w:lang w:val="en-US" w:eastAsia="zh-CN"/>
        </w:rPr>
        <w:t>29</w:t>
      </w:r>
      <w:r>
        <w:rPr>
          <w:sz w:val="28"/>
          <w:szCs w:val="28"/>
          <w:highlight w:val="yellow"/>
        </w:rPr>
        <w:t>日</w:t>
      </w:r>
      <w:r>
        <w:rPr>
          <w:rFonts w:hint="eastAsia"/>
          <w:sz w:val="28"/>
          <w:szCs w:val="28"/>
          <w:highlight w:val="yellow"/>
          <w:u w:val="single"/>
          <w:lang w:val="en-US" w:eastAsia="zh-CN"/>
        </w:rPr>
        <w:t>9</w:t>
      </w:r>
      <w:r>
        <w:rPr>
          <w:sz w:val="28"/>
          <w:szCs w:val="28"/>
          <w:highlight w:val="yellow"/>
        </w:rPr>
        <w:t>时</w:t>
      </w:r>
      <w:r>
        <w:rPr>
          <w:rFonts w:hint="eastAsia"/>
          <w:sz w:val="28"/>
          <w:szCs w:val="28"/>
          <w:highlight w:val="yellow"/>
          <w:u w:val="single"/>
          <w:lang w:val="en-US" w:eastAsia="zh-CN"/>
        </w:rPr>
        <w:t>00</w:t>
      </w:r>
      <w:r>
        <w:rPr>
          <w:sz w:val="28"/>
          <w:szCs w:val="28"/>
          <w:highlight w:val="yellow"/>
        </w:rPr>
        <w:t>分</w:t>
      </w:r>
      <w:r>
        <w:rPr>
          <w:sz w:val="28"/>
          <w:szCs w:val="28"/>
        </w:rPr>
        <w:t>（北京时间）。</w:t>
      </w:r>
    </w:p>
    <w:p>
      <w:pPr>
        <w:numPr>
          <w:ilvl w:val="0"/>
          <w:numId w:val="2"/>
        </w:numPr>
        <w:spacing w:line="560" w:lineRule="exact"/>
        <w:ind w:left="0" w:firstLine="560" w:firstLineChars="200"/>
        <w:rPr>
          <w:sz w:val="28"/>
          <w:szCs w:val="28"/>
        </w:rPr>
      </w:pPr>
      <w:r>
        <w:rPr>
          <w:sz w:val="28"/>
          <w:szCs w:val="28"/>
        </w:rPr>
        <w:t>投标截止时间：</w:t>
      </w:r>
      <w:r>
        <w:rPr>
          <w:rFonts w:hint="eastAsia"/>
          <w:sz w:val="28"/>
          <w:szCs w:val="28"/>
          <w:highlight w:val="yellow"/>
          <w:u w:val="single"/>
          <w:lang w:val="en-US" w:eastAsia="zh-CN"/>
        </w:rPr>
        <w:t>2024</w:t>
      </w:r>
      <w:r>
        <w:rPr>
          <w:sz w:val="28"/>
          <w:szCs w:val="28"/>
          <w:highlight w:val="yellow"/>
        </w:rPr>
        <w:t>年</w:t>
      </w:r>
      <w:r>
        <w:rPr>
          <w:rFonts w:hint="eastAsia"/>
          <w:sz w:val="28"/>
          <w:szCs w:val="28"/>
          <w:highlight w:val="yellow"/>
          <w:u w:val="single"/>
          <w:lang w:val="en-US" w:eastAsia="zh-CN"/>
        </w:rPr>
        <w:t>4</w:t>
      </w:r>
      <w:r>
        <w:rPr>
          <w:sz w:val="28"/>
          <w:szCs w:val="28"/>
          <w:highlight w:val="yellow"/>
        </w:rPr>
        <w:t>月</w:t>
      </w:r>
      <w:r>
        <w:rPr>
          <w:rFonts w:hint="eastAsia"/>
          <w:sz w:val="28"/>
          <w:szCs w:val="28"/>
          <w:highlight w:val="yellow"/>
          <w:u w:val="single"/>
          <w:lang w:val="en-US" w:eastAsia="zh-CN"/>
        </w:rPr>
        <w:t>29</w:t>
      </w:r>
      <w:r>
        <w:rPr>
          <w:sz w:val="28"/>
          <w:szCs w:val="28"/>
          <w:highlight w:val="yellow"/>
        </w:rPr>
        <w:t>日</w:t>
      </w:r>
      <w:r>
        <w:rPr>
          <w:rFonts w:hint="eastAsia"/>
          <w:sz w:val="28"/>
          <w:szCs w:val="28"/>
          <w:highlight w:val="yellow"/>
          <w:u w:val="single"/>
          <w:lang w:val="en-US" w:eastAsia="zh-CN"/>
        </w:rPr>
        <w:t>9</w:t>
      </w:r>
      <w:r>
        <w:rPr>
          <w:sz w:val="28"/>
          <w:szCs w:val="28"/>
          <w:highlight w:val="yellow"/>
        </w:rPr>
        <w:t>时</w:t>
      </w:r>
      <w:r>
        <w:rPr>
          <w:rFonts w:hint="eastAsia"/>
          <w:sz w:val="28"/>
          <w:szCs w:val="28"/>
          <w:highlight w:val="yellow"/>
          <w:u w:val="single"/>
          <w:lang w:val="en-US" w:eastAsia="zh-CN"/>
        </w:rPr>
        <w:t>30</w:t>
      </w:r>
      <w:r>
        <w:rPr>
          <w:sz w:val="28"/>
          <w:szCs w:val="28"/>
          <w:highlight w:val="yellow"/>
        </w:rPr>
        <w:t>分</w:t>
      </w:r>
      <w:r>
        <w:rPr>
          <w:sz w:val="28"/>
          <w:szCs w:val="28"/>
        </w:rPr>
        <w:t>（北京时间）。</w:t>
      </w:r>
    </w:p>
    <w:p>
      <w:pPr>
        <w:numPr>
          <w:ilvl w:val="0"/>
          <w:numId w:val="2"/>
        </w:numPr>
        <w:spacing w:line="560" w:lineRule="exact"/>
        <w:ind w:left="0" w:firstLine="560" w:firstLineChars="200"/>
        <w:rPr>
          <w:sz w:val="28"/>
          <w:szCs w:val="28"/>
        </w:rPr>
      </w:pPr>
      <w:r>
        <w:rPr>
          <w:sz w:val="28"/>
          <w:szCs w:val="28"/>
        </w:rPr>
        <w:t>投标地点：</w:t>
      </w:r>
      <w:r>
        <w:rPr>
          <w:rFonts w:hint="eastAsia"/>
          <w:sz w:val="28"/>
          <w:szCs w:val="28"/>
          <w:u w:val="single"/>
        </w:rPr>
        <w:t>重庆市沙坪坝区新桥正街183号</w:t>
      </w:r>
      <w:r>
        <w:rPr>
          <w:sz w:val="28"/>
          <w:szCs w:val="28"/>
        </w:rPr>
        <w:t>。</w:t>
      </w:r>
    </w:p>
    <w:p>
      <w:pPr>
        <w:pStyle w:val="117"/>
        <w:widowControl w:val="0"/>
        <w:spacing w:line="560" w:lineRule="exact"/>
        <w:ind w:left="11" w:firstLine="560" w:firstLineChars="200"/>
        <w:jc w:val="both"/>
        <w:rPr>
          <w:rFonts w:hint="eastAsia" w:ascii="宋体" w:hAnsi="宋体" w:eastAsia="宋体" w:cs="Times New Roman"/>
          <w:sz w:val="28"/>
          <w:szCs w:val="28"/>
          <w:highlight w:val="none"/>
          <w:lang w:eastAsia="zh-CN"/>
        </w:rPr>
      </w:pPr>
      <w:r>
        <w:rPr>
          <w:sz w:val="28"/>
          <w:szCs w:val="28"/>
          <w:lang w:eastAsia="zh-CN"/>
        </w:rPr>
        <w:t>投标方式：</w:t>
      </w:r>
      <w:r>
        <w:rPr>
          <w:rFonts w:hint="eastAsia" w:ascii="宋体" w:hAnsi="宋体" w:eastAsia="宋体" w:cs="Times New Roman"/>
          <w:sz w:val="28"/>
          <w:szCs w:val="28"/>
          <w:highlight w:val="none"/>
          <w:lang w:eastAsia="zh-CN"/>
        </w:rPr>
        <w:t>由投标供应商法定代表人或授权代表现场递交投标文件，不接受邮寄等其他方式。</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default" w:eastAsia="黑体"/>
          <w:b w:val="0"/>
          <w:bCs/>
          <w:sz w:val="28"/>
          <w:szCs w:val="28"/>
          <w:highlight w:val="none"/>
          <w:lang w:val="en-US" w:eastAsia="zh-CN"/>
        </w:rPr>
      </w:pPr>
      <w:r>
        <w:rPr>
          <w:rFonts w:hint="eastAsia" w:ascii="Times New Roman" w:hAnsi="Times New Roman" w:eastAsia="黑体" w:cs="Times New Roman"/>
          <w:kern w:val="2"/>
          <w:sz w:val="28"/>
          <w:szCs w:val="28"/>
          <w:lang w:val="en-US" w:eastAsia="zh-CN" w:bidi="ar-SA"/>
        </w:rPr>
        <w:t>七、</w:t>
      </w:r>
      <w:r>
        <w:rPr>
          <w:rFonts w:hint="eastAsia" w:eastAsia="黑体"/>
          <w:b w:val="0"/>
          <w:bCs/>
          <w:sz w:val="28"/>
          <w:szCs w:val="28"/>
          <w:highlight w:val="none"/>
        </w:rPr>
        <w:t>标前答疑会</w:t>
      </w:r>
      <w:r>
        <w:rPr>
          <w:rFonts w:hint="eastAsia" w:eastAsia="黑体"/>
          <w:b w:val="0"/>
          <w:bCs/>
          <w:sz w:val="28"/>
          <w:szCs w:val="28"/>
          <w:highlight w:val="none"/>
          <w:lang w:eastAsia="zh-CN"/>
        </w:rPr>
        <w:t>、</w:t>
      </w:r>
      <w:r>
        <w:rPr>
          <w:rFonts w:hint="eastAsia" w:eastAsia="黑体"/>
          <w:b w:val="0"/>
          <w:bCs/>
          <w:sz w:val="28"/>
          <w:szCs w:val="28"/>
          <w:highlight w:val="none"/>
          <w:lang w:val="en-US" w:eastAsia="zh-CN"/>
        </w:rPr>
        <w:t>现场踏勘、样品评审</w:t>
      </w:r>
    </w:p>
    <w:p>
      <w:pPr>
        <w:pStyle w:val="117"/>
        <w:widowControl w:val="0"/>
        <w:spacing w:line="560" w:lineRule="exact"/>
        <w:ind w:left="11" w:firstLine="560" w:firstLineChars="200"/>
        <w:jc w:val="both"/>
        <w:rPr>
          <w:rFonts w:hint="eastAsia" w:ascii="宋体" w:hAnsi="宋体" w:eastAsia="宋体" w:cs="Times New Roman"/>
          <w:sz w:val="28"/>
          <w:szCs w:val="28"/>
          <w:highlight w:val="none"/>
          <w:lang w:val="zh-CN" w:eastAsia="zh-CN"/>
        </w:rPr>
      </w:pPr>
      <w:r>
        <w:rPr>
          <w:rFonts w:hint="eastAsia" w:ascii="宋体" w:hAnsi="宋体" w:eastAsia="宋体" w:cs="Times New Roman"/>
          <w:sz w:val="28"/>
          <w:szCs w:val="28"/>
          <w:highlight w:val="none"/>
          <w:lang w:val="en-US" w:eastAsia="zh-CN"/>
        </w:rPr>
        <w:t>本项目不涉及。</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eastAsia" w:eastAsia="黑体"/>
          <w:b w:val="0"/>
          <w:bCs/>
          <w:sz w:val="28"/>
          <w:szCs w:val="28"/>
          <w:highlight w:val="none"/>
        </w:rPr>
      </w:pPr>
      <w:r>
        <w:rPr>
          <w:rFonts w:hint="eastAsia" w:eastAsia="黑体"/>
          <w:b w:val="0"/>
          <w:bCs/>
          <w:sz w:val="28"/>
          <w:szCs w:val="28"/>
          <w:highlight w:val="none"/>
          <w:lang w:val="en-US" w:eastAsia="zh-CN"/>
        </w:rPr>
        <w:t>八、</w:t>
      </w:r>
      <w:r>
        <w:rPr>
          <w:rFonts w:hint="eastAsia" w:eastAsia="黑体"/>
          <w:b w:val="0"/>
          <w:bCs/>
          <w:sz w:val="28"/>
          <w:szCs w:val="28"/>
          <w:highlight w:val="none"/>
        </w:rPr>
        <w:t>开标时间、地点</w:t>
      </w:r>
    </w:p>
    <w:p>
      <w:pPr>
        <w:numPr>
          <w:ilvl w:val="0"/>
          <w:numId w:val="3"/>
        </w:numPr>
        <w:spacing w:line="560" w:lineRule="exact"/>
        <w:ind w:left="0" w:firstLine="560" w:firstLineChars="200"/>
        <w:rPr>
          <w:sz w:val="28"/>
          <w:szCs w:val="28"/>
        </w:rPr>
      </w:pPr>
      <w:r>
        <w:rPr>
          <w:sz w:val="28"/>
          <w:szCs w:val="28"/>
        </w:rPr>
        <w:t>开标时间：</w:t>
      </w:r>
      <w:r>
        <w:rPr>
          <w:rFonts w:hint="eastAsia"/>
          <w:sz w:val="28"/>
          <w:szCs w:val="28"/>
          <w:highlight w:val="yellow"/>
          <w:u w:val="single"/>
          <w:lang w:val="en-US" w:eastAsia="zh-CN"/>
        </w:rPr>
        <w:t>2024</w:t>
      </w:r>
      <w:r>
        <w:rPr>
          <w:sz w:val="28"/>
          <w:szCs w:val="28"/>
          <w:highlight w:val="yellow"/>
        </w:rPr>
        <w:t>年</w:t>
      </w:r>
      <w:r>
        <w:rPr>
          <w:rFonts w:hint="eastAsia"/>
          <w:sz w:val="28"/>
          <w:szCs w:val="28"/>
          <w:highlight w:val="yellow"/>
          <w:u w:val="single"/>
          <w:lang w:val="en-US" w:eastAsia="zh-CN"/>
        </w:rPr>
        <w:t>4</w:t>
      </w:r>
      <w:r>
        <w:rPr>
          <w:sz w:val="28"/>
          <w:szCs w:val="28"/>
          <w:highlight w:val="yellow"/>
        </w:rPr>
        <w:t>月</w:t>
      </w:r>
      <w:r>
        <w:rPr>
          <w:rFonts w:hint="eastAsia"/>
          <w:sz w:val="28"/>
          <w:szCs w:val="28"/>
          <w:highlight w:val="yellow"/>
          <w:u w:val="single"/>
          <w:lang w:val="en-US" w:eastAsia="zh-CN"/>
        </w:rPr>
        <w:t>29</w:t>
      </w:r>
      <w:r>
        <w:rPr>
          <w:sz w:val="28"/>
          <w:szCs w:val="28"/>
          <w:highlight w:val="yellow"/>
        </w:rPr>
        <w:t>日</w:t>
      </w:r>
      <w:r>
        <w:rPr>
          <w:rFonts w:hint="eastAsia"/>
          <w:sz w:val="28"/>
          <w:szCs w:val="28"/>
          <w:highlight w:val="yellow"/>
          <w:u w:val="single"/>
          <w:lang w:val="en-US" w:eastAsia="zh-CN"/>
        </w:rPr>
        <w:t>9</w:t>
      </w:r>
      <w:r>
        <w:rPr>
          <w:sz w:val="28"/>
          <w:szCs w:val="28"/>
          <w:highlight w:val="yellow"/>
        </w:rPr>
        <w:t>时</w:t>
      </w:r>
      <w:r>
        <w:rPr>
          <w:rFonts w:hint="eastAsia"/>
          <w:sz w:val="28"/>
          <w:szCs w:val="28"/>
          <w:highlight w:val="yellow"/>
          <w:u w:val="single"/>
          <w:lang w:val="en-US" w:eastAsia="zh-CN"/>
        </w:rPr>
        <w:t>30</w:t>
      </w:r>
      <w:r>
        <w:rPr>
          <w:sz w:val="28"/>
          <w:szCs w:val="28"/>
          <w:highlight w:val="yellow"/>
        </w:rPr>
        <w:t>分</w:t>
      </w:r>
    </w:p>
    <w:p>
      <w:pPr>
        <w:numPr>
          <w:ilvl w:val="0"/>
          <w:numId w:val="3"/>
        </w:numPr>
        <w:spacing w:line="560" w:lineRule="exact"/>
        <w:ind w:left="0" w:firstLine="560" w:firstLineChars="200"/>
        <w:rPr>
          <w:sz w:val="28"/>
          <w:szCs w:val="28"/>
          <w:highlight w:val="none"/>
        </w:rPr>
      </w:pPr>
      <w:r>
        <w:rPr>
          <w:sz w:val="28"/>
          <w:szCs w:val="28"/>
        </w:rPr>
        <w:t>开标地点：</w:t>
      </w:r>
      <w:r>
        <w:rPr>
          <w:rFonts w:hint="eastAsia"/>
          <w:sz w:val="28"/>
          <w:szCs w:val="28"/>
          <w:u w:val="single"/>
        </w:rPr>
        <w:t>重庆市沙坪坝</w:t>
      </w:r>
      <w:r>
        <w:rPr>
          <w:rFonts w:hint="eastAsia"/>
          <w:sz w:val="28"/>
          <w:szCs w:val="28"/>
          <w:highlight w:val="none"/>
          <w:u w:val="single"/>
        </w:rPr>
        <w:t>区新桥正街183号。</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eastAsia" w:eastAsia="黑体"/>
          <w:b w:val="0"/>
          <w:bCs/>
          <w:sz w:val="28"/>
          <w:szCs w:val="28"/>
          <w:highlight w:val="none"/>
          <w:lang w:val="en-US" w:eastAsia="zh-CN"/>
        </w:rPr>
      </w:pPr>
      <w:r>
        <w:rPr>
          <w:rFonts w:hint="eastAsia" w:eastAsia="黑体"/>
          <w:b w:val="0"/>
          <w:bCs/>
          <w:sz w:val="28"/>
          <w:szCs w:val="28"/>
          <w:highlight w:val="none"/>
          <w:lang w:val="en-US" w:eastAsia="zh-CN"/>
        </w:rPr>
        <w:t>九、公告网址</w:t>
      </w:r>
    </w:p>
    <w:p>
      <w:pPr>
        <w:keepNext w:val="0"/>
        <w:keepLines w:val="0"/>
        <w:pageBreakBefore w:val="0"/>
        <w:widowControl w:val="0"/>
        <w:numPr>
          <w:ilvl w:val="0"/>
          <w:numId w:val="0"/>
        </w:numPr>
        <w:tabs>
          <w:tab w:val="left" w:pos="0"/>
          <w:tab w:val="left" w:pos="1122"/>
        </w:tabs>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val="0"/>
          <w:bCs/>
          <w:snapToGrid w:val="0"/>
          <w:kern w:val="0"/>
          <w:sz w:val="28"/>
          <w:szCs w:val="28"/>
          <w:highlight w:val="none"/>
          <w:lang w:val="zh-CN" w:eastAsia="zh-CN" w:bidi="ar-SA"/>
        </w:rPr>
      </w:pPr>
      <w:r>
        <w:rPr>
          <w:rFonts w:hint="eastAsia" w:ascii="宋体" w:hAnsi="宋体" w:eastAsia="宋体" w:cs="宋体"/>
          <w:b w:val="0"/>
          <w:bCs/>
          <w:snapToGrid w:val="0"/>
          <w:kern w:val="0"/>
          <w:sz w:val="28"/>
          <w:szCs w:val="28"/>
          <w:highlight w:val="none"/>
          <w:lang w:val="zh-CN" w:eastAsia="zh-CN" w:bidi="ar-SA"/>
        </w:rPr>
        <w:t>本采购项目相关信息在“军队采购网（https://www.plap.</w:t>
      </w:r>
      <w:r>
        <w:rPr>
          <w:rFonts w:hint="eastAsia" w:ascii="宋体" w:hAnsi="宋体" w:eastAsia="宋体" w:cs="宋体"/>
          <w:b w:val="0"/>
          <w:bCs/>
          <w:snapToGrid w:val="0"/>
          <w:kern w:val="0"/>
          <w:sz w:val="28"/>
          <w:szCs w:val="28"/>
          <w:highlight w:val="none"/>
          <w:lang w:val="en-US" w:eastAsia="zh-CN" w:bidi="ar-SA"/>
        </w:rPr>
        <w:t>mil.</w:t>
      </w:r>
      <w:r>
        <w:rPr>
          <w:rFonts w:hint="eastAsia" w:ascii="宋体" w:hAnsi="宋体" w:eastAsia="宋体" w:cs="宋体"/>
          <w:b w:val="0"/>
          <w:bCs/>
          <w:snapToGrid w:val="0"/>
          <w:kern w:val="0"/>
          <w:sz w:val="28"/>
          <w:szCs w:val="28"/>
          <w:highlight w:val="none"/>
          <w:lang w:val="zh-CN" w:eastAsia="zh-CN" w:bidi="ar-SA"/>
        </w:rPr>
        <w:t>cn/）”、“中国政府采购网（http://www.ccgp.gov.cn/）”、“医院官网（https://www.xqhospital.com.cn/）”上发布。</w:t>
      </w:r>
    </w:p>
    <w:p>
      <w:pPr>
        <w:tabs>
          <w:tab w:val="left" w:pos="0"/>
          <w:tab w:val="left" w:pos="1122"/>
        </w:tabs>
        <w:spacing w:line="560" w:lineRule="exact"/>
        <w:ind w:firstLine="560" w:firstLineChars="200"/>
        <w:jc w:val="left"/>
        <w:outlineLvl w:val="3"/>
        <w:rPr>
          <w:rFonts w:eastAsia="黑体"/>
          <w:sz w:val="28"/>
          <w:szCs w:val="28"/>
        </w:rPr>
      </w:pPr>
      <w:r>
        <w:rPr>
          <w:rFonts w:hint="eastAsia" w:eastAsia="黑体"/>
          <w:sz w:val="28"/>
          <w:szCs w:val="28"/>
          <w:lang w:val="en-US" w:eastAsia="zh-CN"/>
        </w:rPr>
        <w:t>十</w:t>
      </w:r>
      <w:r>
        <w:rPr>
          <w:rFonts w:hint="eastAsia" w:eastAsia="黑体"/>
          <w:sz w:val="28"/>
          <w:szCs w:val="28"/>
        </w:rPr>
        <w:t>、</w:t>
      </w:r>
      <w:r>
        <w:rPr>
          <w:rFonts w:eastAsia="黑体"/>
          <w:sz w:val="28"/>
          <w:szCs w:val="28"/>
        </w:rPr>
        <w:t>采购机构</w:t>
      </w:r>
      <w:r>
        <w:rPr>
          <w:rFonts w:hint="eastAsia" w:eastAsia="黑体"/>
          <w:sz w:val="28"/>
          <w:szCs w:val="28"/>
        </w:rPr>
        <w:t>联系方式</w:t>
      </w:r>
    </w:p>
    <w:p>
      <w:pPr>
        <w:spacing w:line="560" w:lineRule="exact"/>
        <w:ind w:firstLine="560"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460" w:firstLineChars="100"/>
        <w:rPr>
          <w:sz w:val="28"/>
          <w:szCs w:val="28"/>
        </w:rPr>
      </w:pPr>
      <w:r>
        <w:rPr>
          <w:rFonts w:hint="eastAsia"/>
          <w:spacing w:val="90"/>
          <w:kern w:val="0"/>
          <w:sz w:val="28"/>
          <w:szCs w:val="28"/>
          <w:fitText w:val="1200" w:id="301891193"/>
        </w:rPr>
        <w:t>联系</w:t>
      </w:r>
      <w:r>
        <w:rPr>
          <w:rFonts w:hint="eastAsia"/>
          <w:spacing w:val="0"/>
          <w:kern w:val="0"/>
          <w:sz w:val="28"/>
          <w:szCs w:val="28"/>
          <w:fitText w:val="1200" w:id="301891193"/>
        </w:rPr>
        <w:t>人</w:t>
      </w:r>
      <w:r>
        <w:rPr>
          <w:rFonts w:hint="eastAsia"/>
          <w:sz w:val="28"/>
          <w:szCs w:val="28"/>
        </w:rPr>
        <w:t>：</w:t>
      </w:r>
      <w:r>
        <w:rPr>
          <w:rFonts w:hint="eastAsia"/>
          <w:sz w:val="28"/>
          <w:szCs w:val="28"/>
          <w:u w:val="single"/>
          <w:lang w:eastAsia="zh-CN"/>
        </w:rPr>
        <w:t>丁</w:t>
      </w:r>
      <w:r>
        <w:rPr>
          <w:rFonts w:hint="eastAsia"/>
          <w:sz w:val="28"/>
          <w:szCs w:val="28"/>
          <w:u w:val="single"/>
        </w:rPr>
        <w:t>助理（项目咨询）</w:t>
      </w:r>
      <w:r>
        <w:rPr>
          <w:sz w:val="28"/>
          <w:szCs w:val="28"/>
          <w:u w:val="single"/>
        </w:rPr>
        <w:t xml:space="preserve"> </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28</w:t>
      </w:r>
    </w:p>
    <w:p>
      <w:pPr>
        <w:spacing w:line="560" w:lineRule="exact"/>
        <w:ind w:firstLine="560" w:firstLineChars="200"/>
        <w:rPr>
          <w:sz w:val="28"/>
          <w:szCs w:val="28"/>
          <w:u w:val="single"/>
        </w:rPr>
      </w:pPr>
      <w:r>
        <w:rPr>
          <w:sz w:val="28"/>
          <w:szCs w:val="28"/>
        </w:rPr>
        <w:t>地    址：</w:t>
      </w:r>
      <w:r>
        <w:rPr>
          <w:rFonts w:hint="eastAsia"/>
          <w:sz w:val="28"/>
          <w:szCs w:val="28"/>
          <w:u w:val="single"/>
        </w:rPr>
        <w:t>重庆市沙坪坝区新桥正街183号物资采购中心</w:t>
      </w:r>
    </w:p>
    <w:p>
      <w:pPr>
        <w:tabs>
          <w:tab w:val="left" w:pos="0"/>
          <w:tab w:val="left" w:pos="1122"/>
        </w:tabs>
        <w:spacing w:line="560" w:lineRule="exact"/>
        <w:ind w:left="567"/>
        <w:outlineLvl w:val="3"/>
        <w:rPr>
          <w:rFonts w:eastAsia="黑体"/>
          <w:sz w:val="28"/>
          <w:szCs w:val="28"/>
        </w:rPr>
      </w:pPr>
      <w:r>
        <w:rPr>
          <w:rFonts w:hint="eastAsia" w:eastAsia="黑体"/>
          <w:sz w:val="28"/>
          <w:szCs w:val="28"/>
        </w:rPr>
        <w:t>十</w:t>
      </w:r>
      <w:r>
        <w:rPr>
          <w:rFonts w:hint="eastAsia" w:eastAsia="黑体"/>
          <w:sz w:val="28"/>
          <w:szCs w:val="28"/>
          <w:lang w:val="en-US" w:eastAsia="zh-CN"/>
        </w:rPr>
        <w:t>一</w:t>
      </w:r>
      <w:r>
        <w:rPr>
          <w:rFonts w:hint="eastAsia" w:eastAsia="黑体"/>
          <w:sz w:val="28"/>
          <w:szCs w:val="28"/>
        </w:rPr>
        <w:t>、监督部门</w:t>
      </w:r>
      <w:r>
        <w:rPr>
          <w:rFonts w:eastAsia="黑体"/>
          <w:sz w:val="28"/>
          <w:szCs w:val="28"/>
        </w:rPr>
        <w:t>联系方式</w:t>
      </w:r>
    </w:p>
    <w:p>
      <w:pPr>
        <w:spacing w:line="560" w:lineRule="exact"/>
        <w:ind w:firstLine="560" w:firstLineChars="200"/>
        <w:rPr>
          <w:sz w:val="28"/>
          <w:szCs w:val="28"/>
          <w:u w:val="single"/>
        </w:rPr>
      </w:pPr>
      <w:r>
        <w:rPr>
          <w:rFonts w:hint="eastAsia"/>
          <w:sz w:val="28"/>
          <w:szCs w:val="28"/>
        </w:rPr>
        <w:t>项目监督</w:t>
      </w:r>
      <w:r>
        <w:rPr>
          <w:sz w:val="28"/>
          <w:szCs w:val="28"/>
        </w:rPr>
        <w:t>人：</w:t>
      </w:r>
      <w:r>
        <w:rPr>
          <w:sz w:val="28"/>
          <w:szCs w:val="28"/>
          <w:u w:val="single"/>
        </w:rPr>
        <w:t xml:space="preserve"> </w:t>
      </w:r>
      <w:r>
        <w:rPr>
          <w:rFonts w:hint="eastAsia"/>
          <w:sz w:val="28"/>
          <w:szCs w:val="28"/>
          <w:u w:val="single"/>
          <w:lang w:eastAsia="zh-CN"/>
        </w:rPr>
        <w:t>叶</w:t>
      </w:r>
      <w:r>
        <w:rPr>
          <w:rFonts w:hint="eastAsia"/>
          <w:sz w:val="28"/>
          <w:szCs w:val="28"/>
          <w:u w:val="single"/>
        </w:rPr>
        <w:t xml:space="preserve">助理    </w:t>
      </w:r>
    </w:p>
    <w:p>
      <w:pPr>
        <w:spacing w:line="560" w:lineRule="exact"/>
        <w:ind w:firstLine="560" w:firstLineChars="200"/>
        <w:rPr>
          <w:sz w:val="28"/>
          <w:szCs w:val="28"/>
          <w:u w:val="single"/>
        </w:rPr>
      </w:pPr>
      <w:r>
        <w:rPr>
          <w:rFonts w:hint="eastAsia"/>
          <w:sz w:val="28"/>
          <w:szCs w:val="28"/>
        </w:rPr>
        <w:t>办公电话</w:t>
      </w:r>
      <w:r>
        <w:rPr>
          <w:sz w:val="28"/>
          <w:szCs w:val="28"/>
        </w:rPr>
        <w:t>：</w:t>
      </w:r>
      <w:r>
        <w:rPr>
          <w:sz w:val="28"/>
          <w:szCs w:val="28"/>
          <w:u w:val="single"/>
        </w:rPr>
        <w:t xml:space="preserve"> </w:t>
      </w:r>
      <w:r>
        <w:rPr>
          <w:rFonts w:hint="eastAsia"/>
          <w:sz w:val="28"/>
          <w:szCs w:val="28"/>
          <w:u w:val="single"/>
        </w:rPr>
        <w:t>023-687</w:t>
      </w:r>
      <w:r>
        <w:rPr>
          <w:rFonts w:hint="eastAsia"/>
          <w:sz w:val="28"/>
          <w:szCs w:val="28"/>
          <w:u w:val="single"/>
          <w:lang w:val="en-US" w:eastAsia="zh-CN"/>
        </w:rPr>
        <w:t>55377</w:t>
      </w:r>
      <w:r>
        <w:rPr>
          <w:sz w:val="28"/>
          <w:szCs w:val="28"/>
          <w:u w:val="single"/>
        </w:rPr>
        <w:t xml:space="preserve">   </w:t>
      </w:r>
    </w:p>
    <w:p>
      <w:pPr>
        <w:spacing w:line="560" w:lineRule="exact"/>
        <w:ind w:firstLine="560" w:firstLineChars="200"/>
        <w:rPr>
          <w:sz w:val="28"/>
          <w:szCs w:val="28"/>
        </w:rPr>
      </w:pPr>
      <w:r>
        <w:rPr>
          <w:rFonts w:hint="eastAsia"/>
          <w:sz w:val="28"/>
          <w:szCs w:val="28"/>
        </w:rPr>
        <w:t xml:space="preserve">                       </w:t>
      </w:r>
    </w:p>
    <w:p>
      <w:pPr>
        <w:spacing w:line="560" w:lineRule="exact"/>
        <w:ind w:firstLine="560" w:firstLineChars="200"/>
        <w:jc w:val="center"/>
        <w:rPr>
          <w:rFonts w:hint="eastAsia"/>
          <w:sz w:val="28"/>
          <w:szCs w:val="28"/>
        </w:rPr>
      </w:pPr>
      <w:r>
        <w:rPr>
          <w:rFonts w:hint="eastAsia"/>
          <w:sz w:val="28"/>
          <w:szCs w:val="28"/>
        </w:rPr>
        <w:t xml:space="preserve">                              </w:t>
      </w:r>
      <w:r>
        <w:rPr>
          <w:sz w:val="28"/>
          <w:szCs w:val="28"/>
        </w:rPr>
        <w:t>采购机构：</w:t>
      </w:r>
      <w:r>
        <w:rPr>
          <w:rFonts w:hint="eastAsia"/>
          <w:sz w:val="28"/>
          <w:szCs w:val="28"/>
          <w:u w:val="single"/>
        </w:rPr>
        <w:t>物资采购中心</w:t>
      </w:r>
    </w:p>
    <w:p>
      <w:pPr>
        <w:spacing w:after="120" w:afterLines="50" w:line="560" w:lineRule="exact"/>
        <w:ind w:firstLine="5740" w:firstLineChars="2050"/>
        <w:jc w:val="left"/>
        <w:rPr>
          <w:sz w:val="28"/>
          <w:szCs w:val="28"/>
        </w:rPr>
      </w:pPr>
      <w:r>
        <w:rPr>
          <w:rFonts w:hint="eastAsia"/>
          <w:sz w:val="28"/>
          <w:szCs w:val="28"/>
          <w:u w:val="single"/>
          <w:lang w:val="en-US" w:eastAsia="zh-CN"/>
        </w:rPr>
        <w:t>2024</w:t>
      </w:r>
      <w:r>
        <w:rPr>
          <w:sz w:val="28"/>
          <w:szCs w:val="28"/>
        </w:rPr>
        <w:t>年</w:t>
      </w:r>
      <w:r>
        <w:rPr>
          <w:rFonts w:hint="eastAsia"/>
          <w:sz w:val="28"/>
          <w:szCs w:val="28"/>
          <w:u w:val="single"/>
          <w:lang w:val="en-US" w:eastAsia="zh-CN"/>
        </w:rPr>
        <w:t>4</w:t>
      </w:r>
      <w:bookmarkStart w:id="672" w:name="_GoBack"/>
      <w:bookmarkEnd w:id="672"/>
      <w:r>
        <w:rPr>
          <w:sz w:val="28"/>
          <w:szCs w:val="28"/>
        </w:rPr>
        <w:t>月</w:t>
      </w:r>
    </w:p>
    <w:p>
      <w:pPr>
        <w:pStyle w:val="16"/>
        <w:rPr>
          <w:sz w:val="28"/>
          <w:szCs w:val="28"/>
        </w:rPr>
      </w:pPr>
    </w:p>
    <w:p>
      <w:pPr>
        <w:pStyle w:val="17"/>
        <w:rPr>
          <w:sz w:val="28"/>
          <w:szCs w:val="28"/>
        </w:rPr>
      </w:pPr>
    </w:p>
    <w:p>
      <w:pPr>
        <w:rPr>
          <w:sz w:val="28"/>
          <w:szCs w:val="28"/>
        </w:rPr>
      </w:pPr>
    </w:p>
    <w:p>
      <w:pPr>
        <w:pStyle w:val="16"/>
        <w:rPr>
          <w:sz w:val="28"/>
          <w:szCs w:val="28"/>
        </w:rPr>
      </w:pPr>
    </w:p>
    <w:p>
      <w:pPr>
        <w:pStyle w:val="17"/>
        <w:rPr>
          <w:sz w:val="28"/>
          <w:szCs w:val="28"/>
        </w:rPr>
      </w:pPr>
    </w:p>
    <w:p>
      <w:pPr>
        <w:rPr>
          <w:rFonts w:hint="eastAsia" w:eastAsia="方正小标宋简体"/>
          <w:bCs/>
          <w:sz w:val="44"/>
          <w:szCs w:val="44"/>
        </w:rPr>
      </w:pPr>
      <w:bookmarkStart w:id="503" w:name="_Toc6773"/>
      <w:bookmarkStart w:id="504" w:name="_Toc21637"/>
      <w:bookmarkStart w:id="505" w:name="_Toc423009247"/>
      <w:bookmarkStart w:id="506" w:name="_Toc27415"/>
      <w:r>
        <w:rPr>
          <w:rFonts w:hint="eastAsia" w:eastAsia="方正小标宋简体"/>
          <w:bCs/>
          <w:sz w:val="44"/>
          <w:szCs w:val="44"/>
        </w:rPr>
        <w:br w:type="page"/>
      </w:r>
    </w:p>
    <w:p>
      <w:pPr>
        <w:jc w:val="center"/>
        <w:outlineLvl w:val="9"/>
        <w:rPr>
          <w:rFonts w:eastAsia="方正小标宋简体"/>
          <w:bCs/>
          <w:sz w:val="44"/>
          <w:szCs w:val="44"/>
        </w:rPr>
      </w:pPr>
      <w:r>
        <w:rPr>
          <w:rFonts w:hint="eastAsia" w:eastAsia="方正小标宋简体"/>
          <w:bCs/>
          <w:sz w:val="44"/>
          <w:szCs w:val="44"/>
        </w:rPr>
        <w:t>采购</w:t>
      </w:r>
      <w:r>
        <w:rPr>
          <w:rFonts w:eastAsia="方正小标宋简体"/>
          <w:bCs/>
          <w:sz w:val="44"/>
          <w:szCs w:val="44"/>
        </w:rPr>
        <w:t>文件领取登记表</w:t>
      </w:r>
      <w:bookmarkEnd w:id="503"/>
      <w:bookmarkEnd w:id="504"/>
    </w:p>
    <w:p>
      <w:pPr>
        <w:spacing w:line="600" w:lineRule="exact"/>
        <w:rPr>
          <w:rFonts w:eastAsia="黑体"/>
          <w:sz w:val="30"/>
          <w:szCs w:val="30"/>
          <w:lang w:bidi="en-US"/>
        </w:rPr>
      </w:pPr>
      <w:r>
        <w:rPr>
          <w:rFonts w:eastAsia="黑体"/>
          <w:sz w:val="30"/>
          <w:szCs w:val="30"/>
        </w:rPr>
        <w:t>项目名称：</w:t>
      </w:r>
      <w:r>
        <w:rPr>
          <w:rFonts w:hint="eastAsia" w:eastAsia="黑体"/>
          <w:sz w:val="32"/>
          <w:szCs w:val="32"/>
        </w:rPr>
        <w:t xml:space="preserve">   </w:t>
      </w:r>
      <w:r>
        <w:rPr>
          <w:rFonts w:hint="eastAsia" w:ascii="方正小标宋简体" w:hAnsi="宋体" w:eastAsia="方正小标宋简体" w:cs="宋体"/>
          <w:sz w:val="32"/>
          <w:szCs w:val="32"/>
        </w:rPr>
        <w:t xml:space="preserve"> </w:t>
      </w:r>
    </w:p>
    <w:p>
      <w:pPr>
        <w:spacing w:line="600" w:lineRule="exact"/>
        <w:ind w:left="1470" w:hanging="1470" w:hangingChars="490"/>
        <w:rPr>
          <w:sz w:val="32"/>
          <w:szCs w:val="32"/>
        </w:rPr>
      </w:pPr>
      <w:r>
        <w:rPr>
          <w:rFonts w:eastAsia="黑体"/>
          <w:sz w:val="30"/>
          <w:szCs w:val="30"/>
        </w:rPr>
        <w:t>项目编号</w:t>
      </w:r>
      <w:r>
        <w:rPr>
          <w:rFonts w:hint="eastAsia" w:eastAsia="黑体"/>
          <w:sz w:val="30"/>
          <w:szCs w:val="30"/>
        </w:rPr>
        <w:t xml:space="preserve">：                 </w:t>
      </w:r>
      <w:r>
        <w:rPr>
          <w:rFonts w:hint="eastAsia" w:eastAsia="方正小标宋简体"/>
          <w:sz w:val="32"/>
          <w:szCs w:val="32"/>
        </w:rPr>
        <w:t xml:space="preserve"> </w:t>
      </w:r>
      <w:r>
        <w:rPr>
          <w:rFonts w:eastAsia="黑体"/>
        </w:rPr>
        <w:t>领取时间</w:t>
      </w:r>
      <w:r>
        <w:rPr>
          <w:rFonts w:hint="eastAsia" w:eastAsia="黑体"/>
        </w:rPr>
        <w:t xml:space="preserve">：   </w:t>
      </w:r>
      <w:r>
        <w:t>年</w:t>
      </w:r>
      <w:r>
        <w:rPr>
          <w:rFonts w:hint="eastAsia"/>
        </w:rPr>
        <w:t xml:space="preserve">  </w:t>
      </w:r>
      <w:r>
        <w:t>月</w:t>
      </w:r>
      <w:r>
        <w:rPr>
          <w:rFonts w:eastAsia="楷体_GB2312"/>
        </w:rPr>
        <w:t xml:space="preserve">  </w:t>
      </w:r>
      <w:r>
        <w:t>日</w:t>
      </w:r>
    </w:p>
    <w:tbl>
      <w:tblPr>
        <w:tblStyle w:val="44"/>
        <w:tblW w:w="9179" w:type="dxa"/>
        <w:jc w:val="center"/>
        <w:tblLayout w:type="fixed"/>
        <w:tblCellMar>
          <w:top w:w="0" w:type="dxa"/>
          <w:left w:w="108" w:type="dxa"/>
          <w:bottom w:w="0" w:type="dxa"/>
          <w:right w:w="108" w:type="dxa"/>
        </w:tblCellMar>
      </w:tblPr>
      <w:tblGrid>
        <w:gridCol w:w="2884"/>
        <w:gridCol w:w="6295"/>
      </w:tblGrid>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sz w:val="28"/>
                <w:szCs w:val="32"/>
              </w:rPr>
            </w:pPr>
            <w:r>
              <w:rPr>
                <w:rFonts w:hint="eastAsia" w:eastAsia="黑体"/>
                <w:sz w:val="28"/>
                <w:szCs w:val="32"/>
              </w:rPr>
              <w:t>供应商</w:t>
            </w:r>
            <w:r>
              <w:rPr>
                <w:rFonts w:eastAsia="黑体"/>
                <w:sz w:val="28"/>
                <w:szCs w:val="32"/>
              </w:rPr>
              <w:t>全称</w:t>
            </w:r>
            <w:r>
              <w:rPr>
                <w:rFonts w:hint="eastAsia" w:eastAsia="黑体"/>
                <w:sz w:val="28"/>
                <w:szCs w:val="32"/>
              </w:rPr>
              <w:t>（盖章）</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b/>
                <w:bCs/>
                <w:sz w:val="32"/>
                <w:szCs w:val="32"/>
              </w:rPr>
            </w:pPr>
          </w:p>
        </w:tc>
      </w:tr>
      <w:tr>
        <w:tblPrEx>
          <w:tblCellMar>
            <w:top w:w="0" w:type="dxa"/>
            <w:left w:w="108" w:type="dxa"/>
            <w:bottom w:w="0" w:type="dxa"/>
            <w:right w:w="108" w:type="dxa"/>
          </w:tblCellMar>
        </w:tblPrEx>
        <w:trPr>
          <w:trHeight w:val="577"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统一社会信用代码</w:t>
            </w:r>
          </w:p>
        </w:tc>
        <w:tc>
          <w:tcPr>
            <w:tcW w:w="6295" w:type="dxa"/>
            <w:tcBorders>
              <w:top w:val="single" w:color="auto" w:sz="4" w:space="0"/>
              <w:left w:val="nil"/>
              <w:bottom w:val="single" w:color="auto" w:sz="4" w:space="0"/>
              <w:right w:val="single" w:color="auto" w:sz="4" w:space="0"/>
            </w:tcBorders>
            <w:noWrap w:val="0"/>
            <w:vAlign w:val="center"/>
          </w:tcPr>
          <w:p>
            <w:pPr>
              <w:widowControl/>
              <w:ind w:firstLine="1320" w:firstLineChars="600"/>
              <w:rPr>
                <w:rFonts w:eastAsia="楷体"/>
                <w:bCs/>
                <w:sz w:val="32"/>
                <w:szCs w:val="32"/>
              </w:rPr>
            </w:pPr>
            <w:r>
              <w:rPr>
                <w:rFonts w:hint="eastAsia" w:eastAsia="楷体"/>
                <w:bCs/>
                <w:color w:val="7F7F7F"/>
                <w:sz w:val="22"/>
                <w:szCs w:val="32"/>
              </w:rPr>
              <w:t>（事业单位此项可不填写）</w:t>
            </w:r>
          </w:p>
        </w:tc>
      </w:tr>
      <w:tr>
        <w:tblPrEx>
          <w:tblCellMar>
            <w:top w:w="0" w:type="dxa"/>
            <w:left w:w="108" w:type="dxa"/>
            <w:bottom w:w="0" w:type="dxa"/>
            <w:right w:w="108" w:type="dxa"/>
          </w:tblCellMar>
        </w:tblPrEx>
        <w:trPr>
          <w:trHeight w:val="498" w:hRule="exact"/>
          <w:jc w:val="center"/>
        </w:trPr>
        <w:tc>
          <w:tcPr>
            <w:tcW w:w="2884" w:type="dxa"/>
            <w:vMerge w:val="restart"/>
            <w:tcBorders>
              <w:top w:val="nil"/>
              <w:left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采购</w:t>
            </w:r>
            <w:r>
              <w:rPr>
                <w:rFonts w:eastAsia="黑体"/>
                <w:sz w:val="28"/>
                <w:szCs w:val="32"/>
              </w:rPr>
              <w:t>文件领取人</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 xml:space="preserve">姓名：               </w:t>
            </w:r>
            <w:r>
              <w:rPr>
                <w:rFonts w:eastAsia="楷体"/>
                <w:bCs/>
                <w:sz w:val="32"/>
                <w:szCs w:val="32"/>
              </w:rPr>
              <w:t>电话：</w:t>
            </w:r>
          </w:p>
        </w:tc>
      </w:tr>
      <w:tr>
        <w:tblPrEx>
          <w:tblCellMar>
            <w:top w:w="0" w:type="dxa"/>
            <w:left w:w="108" w:type="dxa"/>
            <w:bottom w:w="0" w:type="dxa"/>
            <w:right w:w="108" w:type="dxa"/>
          </w:tblCellMar>
        </w:tblPrEx>
        <w:trPr>
          <w:trHeight w:val="553" w:hRule="exact"/>
          <w:jc w:val="center"/>
        </w:trPr>
        <w:tc>
          <w:tcPr>
            <w:tcW w:w="2884"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黑体"/>
                <w:sz w:val="28"/>
                <w:szCs w:val="32"/>
              </w:rPr>
            </w:pP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身份证号：</w:t>
            </w:r>
          </w:p>
        </w:tc>
      </w:tr>
      <w:tr>
        <w:tblPrEx>
          <w:tblCellMar>
            <w:top w:w="0" w:type="dxa"/>
            <w:left w:w="108" w:type="dxa"/>
            <w:bottom w:w="0" w:type="dxa"/>
            <w:right w:w="108" w:type="dxa"/>
          </w:tblCellMar>
        </w:tblPrEx>
        <w:trPr>
          <w:trHeight w:val="548" w:hRule="exact"/>
          <w:jc w:val="center"/>
        </w:trPr>
        <w:tc>
          <w:tcPr>
            <w:tcW w:w="2884" w:type="dxa"/>
            <w:vMerge w:val="restart"/>
            <w:tcBorders>
              <w:top w:val="nil"/>
              <w:left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法定代表人</w:t>
            </w:r>
          </w:p>
          <w:p>
            <w:pPr>
              <w:widowControl/>
              <w:spacing w:line="420" w:lineRule="exact"/>
              <w:jc w:val="center"/>
              <w:rPr>
                <w:rFonts w:eastAsia="黑体"/>
                <w:sz w:val="28"/>
                <w:szCs w:val="32"/>
              </w:rPr>
            </w:pPr>
            <w:r>
              <w:rPr>
                <w:rFonts w:hint="eastAsia" w:eastAsia="黑体"/>
                <w:sz w:val="28"/>
                <w:szCs w:val="32"/>
              </w:rPr>
              <w:t>或</w:t>
            </w:r>
            <w:r>
              <w:rPr>
                <w:rFonts w:eastAsia="黑体"/>
                <w:sz w:val="28"/>
                <w:szCs w:val="32"/>
              </w:rPr>
              <w:t>授权代表</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姓名：               职务：</w:t>
            </w:r>
          </w:p>
        </w:tc>
      </w:tr>
      <w:tr>
        <w:tblPrEx>
          <w:tblCellMar>
            <w:top w:w="0" w:type="dxa"/>
            <w:left w:w="108" w:type="dxa"/>
            <w:bottom w:w="0" w:type="dxa"/>
            <w:right w:w="108" w:type="dxa"/>
          </w:tblCellMar>
        </w:tblPrEx>
        <w:trPr>
          <w:trHeight w:val="571" w:hRule="exact"/>
          <w:jc w:val="center"/>
        </w:trPr>
        <w:tc>
          <w:tcPr>
            <w:tcW w:w="2884" w:type="dxa"/>
            <w:vMerge w:val="continue"/>
            <w:tcBorders>
              <w:left w:val="single" w:color="auto" w:sz="4" w:space="0"/>
              <w:right w:val="single" w:color="auto" w:sz="4" w:space="0"/>
            </w:tcBorders>
            <w:noWrap w:val="0"/>
            <w:vAlign w:val="center"/>
          </w:tcPr>
          <w:p>
            <w:pPr>
              <w:widowControl/>
              <w:jc w:val="center"/>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sz w:val="32"/>
                <w:szCs w:val="32"/>
              </w:rPr>
            </w:pPr>
            <w:r>
              <w:rPr>
                <w:rFonts w:eastAsia="楷体"/>
                <w:bCs/>
                <w:sz w:val="32"/>
                <w:szCs w:val="32"/>
              </w:rPr>
              <w:t>电话：               传真：</w:t>
            </w:r>
          </w:p>
        </w:tc>
      </w:tr>
      <w:tr>
        <w:tblPrEx>
          <w:tblCellMar>
            <w:top w:w="0" w:type="dxa"/>
            <w:left w:w="108" w:type="dxa"/>
            <w:bottom w:w="0" w:type="dxa"/>
            <w:right w:w="108" w:type="dxa"/>
          </w:tblCellMar>
        </w:tblPrEx>
        <w:trPr>
          <w:trHeight w:val="459" w:hRule="exact"/>
          <w:jc w:val="center"/>
        </w:trPr>
        <w:tc>
          <w:tcPr>
            <w:tcW w:w="2884" w:type="dxa"/>
            <w:vMerge w:val="continue"/>
            <w:tcBorders>
              <w:left w:val="single" w:color="auto" w:sz="4" w:space="0"/>
              <w:right w:val="single" w:color="auto" w:sz="4" w:space="0"/>
            </w:tcBorders>
            <w:noWrap w:val="0"/>
            <w:vAlign w:val="center"/>
          </w:tcPr>
          <w:p>
            <w:pPr>
              <w:widowControl/>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bCs/>
                <w:sz w:val="32"/>
                <w:szCs w:val="32"/>
              </w:rPr>
            </w:pPr>
            <w:r>
              <w:rPr>
                <w:rFonts w:eastAsia="楷体"/>
                <w:sz w:val="32"/>
                <w:szCs w:val="32"/>
              </w:rPr>
              <w:t>身份证号：</w:t>
            </w: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开户名称</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开户银行</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银行账号</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96"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开户行所在</w:t>
            </w:r>
          </w:p>
          <w:p>
            <w:pPr>
              <w:widowControl/>
              <w:spacing w:line="420" w:lineRule="exact"/>
              <w:jc w:val="center"/>
              <w:rPr>
                <w:rFonts w:eastAsia="黑体"/>
                <w:sz w:val="28"/>
                <w:szCs w:val="32"/>
              </w:rPr>
            </w:pPr>
            <w:r>
              <w:rPr>
                <w:rFonts w:eastAsia="黑体"/>
                <w:sz w:val="28"/>
                <w:szCs w:val="32"/>
              </w:rPr>
              <w:t>省市区县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55"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hint="eastAsia" w:eastAsia="黑体"/>
                <w:sz w:val="28"/>
                <w:szCs w:val="32"/>
              </w:rPr>
              <w:t>企业地址</w:t>
            </w:r>
          </w:p>
          <w:p>
            <w:pPr>
              <w:widowControl/>
              <w:spacing w:line="420" w:lineRule="exact"/>
              <w:jc w:val="center"/>
              <w:rPr>
                <w:rFonts w:eastAsia="黑体"/>
                <w:sz w:val="28"/>
                <w:szCs w:val="32"/>
              </w:rPr>
            </w:pPr>
            <w:r>
              <w:rPr>
                <w:rFonts w:hint="eastAsia" w:eastAsia="黑体"/>
                <w:sz w:val="28"/>
                <w:szCs w:val="32"/>
              </w:rPr>
              <w:t>（明确到区县）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邮政编码</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电子邮箱</w:t>
            </w:r>
            <w:r>
              <w:rPr>
                <w:rFonts w:hint="eastAsia" w:eastAsia="黑体"/>
                <w:sz w:val="28"/>
                <w:szCs w:val="32"/>
              </w:rPr>
              <w:t>/</w:t>
            </w:r>
            <w:r>
              <w:rPr>
                <w:rFonts w:hint="eastAsia" w:eastAsia="黑体"/>
                <w:b/>
                <w:sz w:val="28"/>
                <w:szCs w:val="32"/>
              </w:rPr>
              <w:t>传真</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r>
              <w:rPr>
                <w:rFonts w:eastAsia="楷体"/>
                <w:sz w:val="32"/>
                <w:szCs w:val="32"/>
              </w:rPr>
              <w:t>邮箱：</w:t>
            </w:r>
            <w:r>
              <w:rPr>
                <w:rFonts w:hint="eastAsia" w:eastAsia="楷体"/>
                <w:sz w:val="32"/>
                <w:szCs w:val="32"/>
              </w:rPr>
              <w:t xml:space="preserve">           </w:t>
            </w:r>
            <w:r>
              <w:rPr>
                <w:rFonts w:hint="eastAsia" w:eastAsia="楷体"/>
                <w:b/>
                <w:sz w:val="32"/>
                <w:szCs w:val="32"/>
              </w:rPr>
              <w:t>传真：</w:t>
            </w:r>
          </w:p>
        </w:tc>
      </w:tr>
      <w:tr>
        <w:tblPrEx>
          <w:tblCellMar>
            <w:top w:w="0" w:type="dxa"/>
            <w:left w:w="108" w:type="dxa"/>
            <w:bottom w:w="0" w:type="dxa"/>
            <w:right w:w="108" w:type="dxa"/>
          </w:tblCellMar>
        </w:tblPrEx>
        <w:trPr>
          <w:trHeight w:val="2198"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32"/>
                <w:szCs w:val="32"/>
              </w:rPr>
            </w:pPr>
            <w:r>
              <w:rPr>
                <w:rFonts w:eastAsia="黑体"/>
                <w:sz w:val="32"/>
                <w:szCs w:val="32"/>
              </w:rPr>
              <w:t>备    注</w:t>
            </w:r>
          </w:p>
        </w:tc>
        <w:tc>
          <w:tcPr>
            <w:tcW w:w="62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312"/>
              </w:tabs>
              <w:kinsoku/>
              <w:wordWrap/>
              <w:overflowPunct/>
              <w:topLinePunct w:val="0"/>
              <w:autoSpaceDE/>
              <w:autoSpaceDN/>
              <w:bidi w:val="0"/>
              <w:adjustRightInd/>
              <w:snapToGrid/>
              <w:spacing w:line="400" w:lineRule="exact"/>
              <w:ind w:left="0" w:leftChars="0"/>
              <w:textAlignment w:val="auto"/>
            </w:pPr>
            <w:r>
              <w:rPr>
                <w:rFonts w:hint="eastAsia"/>
              </w:rPr>
              <w:t>1.</w:t>
            </w:r>
            <w:r>
              <w:t>所提供的银行相关信息要与投标保证金汇款时的银行信息一致，且为投标人银行账户信息。</w:t>
            </w:r>
          </w:p>
          <w:p>
            <w:pPr>
              <w:pStyle w:val="43"/>
              <w:keepNext w:val="0"/>
              <w:keepLines w:val="0"/>
              <w:pageBreakBefore w:val="0"/>
              <w:kinsoku/>
              <w:wordWrap/>
              <w:overflowPunct/>
              <w:topLinePunct w:val="0"/>
              <w:autoSpaceDE/>
              <w:autoSpaceDN/>
              <w:bidi w:val="0"/>
              <w:adjustRightInd/>
              <w:snapToGrid/>
              <w:spacing w:after="0" w:line="400" w:lineRule="exact"/>
              <w:ind w:left="0" w:leftChars="0" w:firstLine="0" w:firstLineChars="0"/>
              <w:textAlignment w:val="auto"/>
            </w:pPr>
            <w:r>
              <w:rPr>
                <w:rFonts w:hint="eastAsia"/>
              </w:rPr>
              <w:t>2.按照申领采购</w:t>
            </w:r>
            <w:r>
              <w:t>文件时需提供</w:t>
            </w:r>
            <w:r>
              <w:rPr>
                <w:rFonts w:hint="eastAsia"/>
              </w:rPr>
              <w:t>资料的要求顺序装订。</w:t>
            </w:r>
          </w:p>
        </w:tc>
      </w:tr>
      <w:bookmarkEnd w:id="505"/>
    </w:tbl>
    <w:p>
      <w:pPr>
        <w:rPr>
          <w:rFonts w:hint="eastAsia" w:ascii="方正小标宋简体" w:hAnsi="宋体" w:eastAsia="方正小标宋简体"/>
          <w:sz w:val="44"/>
          <w:szCs w:val="44"/>
        </w:rPr>
      </w:pPr>
      <w:bookmarkStart w:id="507" w:name="_Toc32632"/>
      <w:bookmarkStart w:id="508" w:name="_Toc26105"/>
      <w:r>
        <w:rPr>
          <w:rFonts w:hint="eastAsia" w:ascii="方正小标宋简体" w:hAnsi="宋体" w:eastAsia="方正小标宋简体"/>
          <w:sz w:val="44"/>
          <w:szCs w:val="44"/>
        </w:rPr>
        <w:br w:type="page"/>
      </w:r>
    </w:p>
    <w:p>
      <w:pPr>
        <w:jc w:val="left"/>
        <w:outlineLvl w:val="3"/>
        <w:rPr>
          <w:rFonts w:hint="eastAsia" w:eastAsia="方正小标宋简体"/>
          <w:bCs/>
          <w:sz w:val="44"/>
          <w:szCs w:val="44"/>
        </w:rPr>
      </w:pPr>
      <w:r>
        <w:rPr>
          <w:rFonts w:hint="eastAsia" w:eastAsia="方正小标宋简体"/>
          <w:bCs/>
          <w:sz w:val="44"/>
          <w:szCs w:val="44"/>
        </w:rPr>
        <w:t>附录1：</w:t>
      </w:r>
      <w:bookmarkEnd w:id="507"/>
      <w:bookmarkEnd w:id="508"/>
    </w:p>
    <w:p>
      <w:pPr>
        <w:pStyle w:val="16"/>
        <w:rPr>
          <w:rFonts w:hint="eastAsia"/>
        </w:rPr>
      </w:pPr>
    </w:p>
    <w:p>
      <w:pPr>
        <w:rPr>
          <w:rFonts w:hint="eastAsia" w:ascii="宋体" w:hAnsi="宋体" w:eastAsia="宋体" w:cs="Times New Roman"/>
          <w:b w:val="0"/>
          <w:bCs/>
          <w:kern w:val="0"/>
          <w:sz w:val="28"/>
          <w:szCs w:val="28"/>
          <w:highlight w:val="none"/>
          <w:lang w:val="zh-CN" w:eastAsia="zh-CN" w:bidi="ar-SA"/>
        </w:rPr>
      </w:pPr>
      <w:bookmarkStart w:id="509" w:name="_Toc11694"/>
      <w:bookmarkStart w:id="510" w:name="_Toc10433"/>
      <w:r>
        <w:rPr>
          <w:rFonts w:hint="eastAsia" w:ascii="宋体" w:hAnsi="宋体" w:eastAsia="宋体" w:cs="Times New Roman"/>
          <w:b w:val="0"/>
          <w:bCs/>
          <w:kern w:val="0"/>
          <w:sz w:val="28"/>
          <w:szCs w:val="28"/>
          <w:highlight w:val="none"/>
          <w:lang w:val="zh-CN" w:eastAsia="zh-CN" w:bidi="ar-SA"/>
        </w:rPr>
        <w:t>营业执照或事业单位法人证书复印件加盖公章(军队单位不需要提供)。</w:t>
      </w:r>
      <w:bookmarkEnd w:id="509"/>
      <w:bookmarkEnd w:id="510"/>
    </w:p>
    <w:p>
      <w:pPr>
        <w:rPr>
          <w:rFonts w:hint="eastAsia" w:ascii="宋体" w:hAnsi="宋体" w:eastAsia="宋体" w:cs="Times New Roman"/>
          <w:b w:val="0"/>
          <w:bCs/>
          <w:kern w:val="0"/>
          <w:sz w:val="28"/>
          <w:szCs w:val="28"/>
          <w:highlight w:val="none"/>
          <w:lang w:val="zh-CN" w:eastAsia="zh-CN" w:bidi="ar-SA"/>
        </w:rPr>
      </w:pPr>
      <w:r>
        <w:rPr>
          <w:rFonts w:hint="eastAsia" w:ascii="宋体" w:hAnsi="宋体" w:eastAsia="宋体" w:cs="Times New Roman"/>
          <w:b w:val="0"/>
          <w:bCs/>
          <w:kern w:val="0"/>
          <w:sz w:val="28"/>
          <w:szCs w:val="28"/>
          <w:highlight w:val="none"/>
          <w:lang w:val="en-US" w:eastAsia="zh-CN" w:bidi="ar-SA"/>
        </w:rPr>
        <w:t>注：由</w:t>
      </w:r>
      <w:r>
        <w:rPr>
          <w:rFonts w:hint="eastAsia" w:ascii="宋体" w:hAnsi="宋体" w:eastAsia="宋体" w:cs="Times New Roman"/>
          <w:b w:val="0"/>
          <w:bCs/>
          <w:kern w:val="0"/>
          <w:sz w:val="28"/>
          <w:szCs w:val="28"/>
          <w:highlight w:val="none"/>
          <w:lang w:val="zh-CN" w:eastAsia="zh-CN" w:bidi="ar-SA"/>
        </w:rPr>
        <w:t>投标人（供应商）自行提供。</w:t>
      </w:r>
    </w:p>
    <w:p>
      <w:pPr>
        <w:rPr>
          <w:rFonts w:hint="eastAsia"/>
        </w:rPr>
      </w:pPr>
    </w:p>
    <w:p>
      <w:pPr>
        <w:outlineLvl w:val="3"/>
      </w:pPr>
      <w:r>
        <w:rPr>
          <w:rFonts w:hint="eastAsia"/>
        </w:rPr>
        <w:br w:type="page"/>
      </w:r>
      <w:bookmarkStart w:id="511" w:name="_Toc19505"/>
      <w:bookmarkStart w:id="512" w:name="_Toc20284"/>
      <w:r>
        <w:rPr>
          <w:rFonts w:hint="eastAsia" w:ascii="Times New Roman" w:hAnsi="Times New Roman" w:eastAsia="方正小标宋简体" w:cs="Times New Roman"/>
          <w:b w:val="0"/>
          <w:bCs/>
          <w:kern w:val="2"/>
          <w:sz w:val="44"/>
          <w:szCs w:val="44"/>
          <w:lang w:val="en-US" w:eastAsia="zh-CN" w:bidi="ar-SA"/>
        </w:rPr>
        <w:t>附录2：</w:t>
      </w:r>
      <w:bookmarkEnd w:id="506"/>
      <w:bookmarkEnd w:id="511"/>
      <w:bookmarkEnd w:id="512"/>
    </w:p>
    <w:p>
      <w:pPr>
        <w:jc w:val="center"/>
        <w:outlineLvl w:val="9"/>
        <w:rPr>
          <w:rFonts w:eastAsia="方正小标宋简体"/>
          <w:bCs/>
          <w:sz w:val="44"/>
        </w:rPr>
      </w:pPr>
      <w:bookmarkStart w:id="513" w:name="_Toc23092"/>
      <w:r>
        <w:rPr>
          <w:rFonts w:eastAsia="方正小标宋简体"/>
          <w:bCs/>
          <w:sz w:val="44"/>
        </w:rPr>
        <w:t>法定代表人资格证明书</w:t>
      </w:r>
      <w:bookmarkEnd w:id="513"/>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sz w:val="28"/>
          <w:szCs w:val="28"/>
          <w:u w:val="single"/>
        </w:rPr>
        <w:t>（法定代表人姓名）</w:t>
      </w:r>
      <w:r>
        <w:rPr>
          <w:sz w:val="28"/>
          <w:szCs w:val="28"/>
        </w:rPr>
        <w:t>系</w:t>
      </w:r>
      <w:r>
        <w:rPr>
          <w:sz w:val="28"/>
          <w:szCs w:val="28"/>
          <w:u w:val="single"/>
        </w:rPr>
        <w:t>（投标供应商全称）</w:t>
      </w:r>
      <w:r>
        <w:rPr>
          <w:sz w:val="28"/>
          <w:szCs w:val="28"/>
        </w:rPr>
        <w:t>的法定代表人。</w:t>
      </w:r>
    </w:p>
    <w:p>
      <w:pPr>
        <w:ind w:firstLine="560" w:firstLineChars="200"/>
        <w:rPr>
          <w:sz w:val="28"/>
          <w:szCs w:val="28"/>
        </w:rPr>
      </w:pPr>
    </w:p>
    <w:p>
      <w:pPr>
        <w:ind w:firstLine="560" w:firstLineChars="200"/>
        <w:rPr>
          <w:sz w:val="28"/>
          <w:szCs w:val="28"/>
        </w:rPr>
      </w:pPr>
      <w:r>
        <w:rPr>
          <w:sz w:val="28"/>
          <w:szCs w:val="28"/>
        </w:rPr>
        <w:t>特此证明</w:t>
      </w:r>
    </w:p>
    <w:p>
      <w:pPr>
        <w:rPr>
          <w:sz w:val="28"/>
          <w:szCs w:val="28"/>
        </w:rPr>
      </w:pPr>
      <w:r>
        <mc:AlternateContent>
          <mc:Choice Requires="wps">
            <w:drawing>
              <wp:anchor distT="0" distB="0" distL="114300" distR="114300" simplePos="0" relativeHeight="251665408" behindDoc="0" locked="0" layoutInCell="1" allowOverlap="1">
                <wp:simplePos x="0" y="0"/>
                <wp:positionH relativeFrom="column">
                  <wp:posOffset>349885</wp:posOffset>
                </wp:positionH>
                <wp:positionV relativeFrom="paragraph">
                  <wp:posOffset>71755</wp:posOffset>
                </wp:positionV>
                <wp:extent cx="2240915" cy="1125855"/>
                <wp:effectExtent l="4445" t="4445" r="21590" b="12700"/>
                <wp:wrapNone/>
                <wp:docPr id="8" name="文本框 8"/>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7.55pt;margin-top:5.65pt;height:88.65pt;width:176.45pt;z-index:25166540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9StB1AAAAAkB&#10;AAAPAAAAAAAAAAEAIAAAACIAAABkcnMvZG93bnJldi54bWxQSwECFAAUAAAACACHTuJAmyfesx8C&#10;AABfBAAADgAAAAAAAAABACAAAAAjAQAAZHJzL2Uyb0RvYy54bWxQSwUGAAAAAAYABgBZAQAAtAUA&#10;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63500</wp:posOffset>
                </wp:positionV>
                <wp:extent cx="2240915" cy="1125855"/>
                <wp:effectExtent l="4445" t="4445" r="21590" b="12700"/>
                <wp:wrapNone/>
                <wp:docPr id="9" name="文本框 9"/>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8pt;margin-top:5pt;height:88.65pt;width:176.45pt;z-index:251666432;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sjWAAAA&#10;CgEAAA8AAAAAAAAAAQAgAAAAIgAAAGRycy9kb3ducmV2LnhtbFBLAQIUABQAAAAIAIdO4kDu9VCP&#10;HwIAAF8EAAAOAAAAAAAAAAEAIAAAACU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rPr>
      </w:pPr>
    </w:p>
    <w:p>
      <w:pPr>
        <w:jc w:val="center"/>
        <w:rPr>
          <w:sz w:val="28"/>
          <w:szCs w:val="28"/>
        </w:rPr>
      </w:pPr>
      <w:r>
        <w:rPr>
          <w:sz w:val="28"/>
          <w:szCs w:val="28"/>
        </w:rPr>
        <w:t xml:space="preserve">                   投标供应商全称：（盖章）</w:t>
      </w:r>
    </w:p>
    <w:p>
      <w:pPr>
        <w:jc w:val="left"/>
        <w:rPr>
          <w:sz w:val="28"/>
          <w:szCs w:val="28"/>
        </w:rPr>
      </w:pPr>
    </w:p>
    <w:p>
      <w:pPr>
        <w:jc w:val="center"/>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before="24" w:after="24"/>
        <w:outlineLvl w:val="3"/>
        <w:rPr>
          <w:rFonts w:hint="eastAsia" w:eastAsia="方正小标宋简体"/>
          <w:b w:val="0"/>
          <w:bCs/>
          <w:sz w:val="44"/>
          <w:szCs w:val="44"/>
        </w:rPr>
      </w:pPr>
      <w:bookmarkStart w:id="514" w:name="_Toc3020"/>
      <w:r>
        <w:rPr>
          <w:rFonts w:hint="eastAsia"/>
        </w:rPr>
        <w:br w:type="page"/>
      </w:r>
      <w:bookmarkStart w:id="515" w:name="_Toc27385"/>
      <w:bookmarkStart w:id="516" w:name="_Toc19925"/>
      <w:r>
        <w:rPr>
          <w:rFonts w:hint="eastAsia" w:ascii="Times New Roman" w:hAnsi="Times New Roman" w:eastAsia="方正小标宋简体" w:cs="Times New Roman"/>
          <w:b w:val="0"/>
          <w:bCs/>
          <w:kern w:val="2"/>
          <w:sz w:val="44"/>
          <w:szCs w:val="44"/>
          <w:lang w:val="en-US" w:eastAsia="zh-CN" w:bidi="ar-SA"/>
        </w:rPr>
        <w:t>附录3：</w:t>
      </w:r>
      <w:bookmarkEnd w:id="515"/>
      <w:bookmarkEnd w:id="516"/>
    </w:p>
    <w:p>
      <w:pPr>
        <w:spacing w:before="24" w:after="24"/>
        <w:ind w:firstLine="602"/>
        <w:jc w:val="center"/>
        <w:outlineLvl w:val="9"/>
        <w:rPr>
          <w:rFonts w:hint="eastAsia" w:ascii="Times New Roman" w:hAnsi="Times New Roman" w:eastAsia="方正小标宋简体" w:cs="Times New Roman"/>
          <w:b w:val="0"/>
          <w:bCs/>
          <w:kern w:val="2"/>
          <w:sz w:val="44"/>
          <w:szCs w:val="24"/>
          <w:lang w:val="en-US" w:eastAsia="zh-CN" w:bidi="ar-SA"/>
        </w:rPr>
      </w:pPr>
      <w:bookmarkStart w:id="517" w:name="_Toc19980"/>
      <w:bookmarkStart w:id="518" w:name="_Toc19206"/>
      <w:r>
        <w:rPr>
          <w:rFonts w:hint="eastAsia" w:ascii="Times New Roman" w:hAnsi="Times New Roman" w:eastAsia="方正小标宋简体" w:cs="Times New Roman"/>
          <w:b w:val="0"/>
          <w:bCs/>
          <w:kern w:val="2"/>
          <w:sz w:val="44"/>
          <w:szCs w:val="24"/>
          <w:lang w:val="en-US" w:eastAsia="zh-CN" w:bidi="ar-SA"/>
        </w:rPr>
        <w:t>法定代表人授权书</w:t>
      </w:r>
      <w:bookmarkEnd w:id="514"/>
      <w:bookmarkEnd w:id="517"/>
      <w:bookmarkEnd w:id="518"/>
    </w:p>
    <w:p>
      <w:pPr>
        <w:spacing w:before="24" w:after="24"/>
        <w:ind w:firstLine="602"/>
        <w:jc w:val="center"/>
        <w:outlineLvl w:val="9"/>
      </w:pPr>
      <w:bookmarkStart w:id="519" w:name="_Toc18985"/>
      <w:bookmarkStart w:id="520" w:name="_Toc5761"/>
      <w:r>
        <w:rPr>
          <w:rFonts w:hint="eastAsia" w:ascii="Times New Roman" w:hAnsi="Times New Roman" w:eastAsia="方正小标宋简体" w:cs="Times New Roman"/>
          <w:b/>
          <w:bCs/>
          <w:sz w:val="28"/>
          <w:szCs w:val="28"/>
        </w:rPr>
        <w:t>（授权人投标时同时提供法定代表人资格证明书）</w:t>
      </w:r>
      <w:bookmarkEnd w:id="519"/>
      <w:bookmarkEnd w:id="520"/>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96" w:firstLineChars="213"/>
        <w:rPr>
          <w:sz w:val="28"/>
          <w:szCs w:val="28"/>
        </w:rPr>
      </w:pPr>
      <w:r>
        <w:rPr>
          <w:sz w:val="28"/>
          <w:szCs w:val="28"/>
          <w:u w:val="single"/>
        </w:rPr>
        <w:t>（投标供应商全称）</w:t>
      </w:r>
      <w:r>
        <w:rPr>
          <w:sz w:val="28"/>
          <w:szCs w:val="28"/>
        </w:rPr>
        <w:t>法定代表人</w:t>
      </w:r>
      <w:r>
        <w:rPr>
          <w:sz w:val="28"/>
          <w:szCs w:val="28"/>
          <w:u w:val="single"/>
        </w:rPr>
        <w:t>（姓名、职务）</w:t>
      </w:r>
      <w:r>
        <w:rPr>
          <w:sz w:val="28"/>
          <w:szCs w:val="28"/>
        </w:rPr>
        <w:t>授权</w:t>
      </w:r>
      <w:r>
        <w:rPr>
          <w:sz w:val="28"/>
          <w:szCs w:val="28"/>
          <w:u w:val="single"/>
        </w:rPr>
        <w:t>（授权代表姓名、职务）</w:t>
      </w:r>
      <w:r>
        <w:rPr>
          <w:sz w:val="28"/>
          <w:szCs w:val="28"/>
        </w:rPr>
        <w:t>为全权代表，参加</w:t>
      </w:r>
      <w:r>
        <w:rPr>
          <w:rFonts w:hint="eastAsia"/>
          <w:sz w:val="28"/>
          <w:szCs w:val="28"/>
        </w:rPr>
        <w:t>贵单位</w:t>
      </w:r>
      <w:r>
        <w:rPr>
          <w:sz w:val="28"/>
          <w:szCs w:val="28"/>
        </w:rPr>
        <w:t>组织的项目编号为</w:t>
      </w:r>
      <w:r>
        <w:rPr>
          <w:sz w:val="28"/>
          <w:szCs w:val="28"/>
          <w:u w:val="single"/>
        </w:rPr>
        <w:t>（项目编号）</w:t>
      </w:r>
      <w:r>
        <w:rPr>
          <w:sz w:val="28"/>
          <w:szCs w:val="28"/>
        </w:rPr>
        <w:t>的</w:t>
      </w:r>
      <w:r>
        <w:rPr>
          <w:sz w:val="28"/>
          <w:szCs w:val="28"/>
          <w:u w:val="single"/>
        </w:rPr>
        <w:t>（项目名称）</w:t>
      </w:r>
      <w:r>
        <w:rPr>
          <w:sz w:val="28"/>
          <w:szCs w:val="28"/>
        </w:rPr>
        <w:t>采购活动，全权处理采购活动中的一切事宜。</w:t>
      </w:r>
    </w:p>
    <w:p>
      <w:pPr>
        <w:spacing w:line="560" w:lineRule="exact"/>
        <w:ind w:firstLine="600"/>
        <w:rPr>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rPr>
          <w:sz w:val="28"/>
          <w:szCs w:val="28"/>
        </w:rPr>
      </w:pPr>
      <w:r>
        <w:rPr>
          <w:sz w:val="28"/>
          <w:szCs w:val="28"/>
        </w:rPr>
        <w:t>附：</w:t>
      </w:r>
    </w:p>
    <w:p>
      <w:pPr>
        <w:spacing w:line="560" w:lineRule="exact"/>
        <w:ind w:firstLine="573"/>
        <w:rPr>
          <w:sz w:val="28"/>
          <w:szCs w:val="28"/>
        </w:rPr>
      </w:pPr>
      <w:r>
        <w:rPr>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sz w:val="28"/>
          <w:szCs w:val="28"/>
        </w:rPr>
        <w:t>职    务：</w:t>
      </w:r>
      <w:r>
        <w:rPr>
          <w:sz w:val="28"/>
          <w:szCs w:val="28"/>
          <w:u w:val="single"/>
        </w:rPr>
        <w:t xml:space="preserve">             </w:t>
      </w:r>
      <w:r>
        <w:rPr>
          <w:sz w:val="28"/>
          <w:szCs w:val="28"/>
        </w:rPr>
        <w:t xml:space="preserve">         </w:t>
      </w:r>
      <w:r>
        <w:rPr>
          <w:rFonts w:hint="eastAsia"/>
          <w:sz w:val="28"/>
          <w:szCs w:val="28"/>
        </w:rPr>
        <w:t>移动电话</w:t>
      </w:r>
      <w:r>
        <w:rPr>
          <w:sz w:val="28"/>
          <w:szCs w:val="28"/>
        </w:rPr>
        <w:t>：</w:t>
      </w:r>
      <w:r>
        <w:rPr>
          <w:sz w:val="28"/>
          <w:szCs w:val="28"/>
          <w:u w:val="single"/>
        </w:rPr>
        <w:t xml:space="preserve">           </w:t>
      </w:r>
    </w:p>
    <w:p>
      <w:pPr>
        <w:spacing w:line="560" w:lineRule="exact"/>
        <w:ind w:firstLine="573"/>
        <w:rPr>
          <w:sz w:val="28"/>
          <w:szCs w:val="28"/>
        </w:rPr>
      </w:pPr>
      <w:r>
        <w:rPr>
          <w:sz w:val="28"/>
          <w:szCs w:val="28"/>
        </w:rPr>
        <w:t>传    真：</w:t>
      </w:r>
      <w:r>
        <w:rPr>
          <w:sz w:val="28"/>
          <w:szCs w:val="28"/>
          <w:u w:val="single"/>
        </w:rPr>
        <w:t xml:space="preserve">             </w:t>
      </w:r>
      <w:r>
        <w:rPr>
          <w:sz w:val="28"/>
          <w:szCs w:val="28"/>
        </w:rPr>
        <w:t xml:space="preserve">         邮    编：</w:t>
      </w:r>
      <w:r>
        <w:rPr>
          <w:sz w:val="28"/>
          <w:szCs w:val="28"/>
          <w:u w:val="single"/>
        </w:rPr>
        <w:t xml:space="preserve">           </w:t>
      </w:r>
    </w:p>
    <w:p>
      <w:pPr>
        <w:spacing w:line="560" w:lineRule="exact"/>
        <w:ind w:firstLine="573"/>
        <w:rPr>
          <w:sz w:val="28"/>
          <w:szCs w:val="28"/>
        </w:rPr>
      </w:pPr>
      <w:r>
        <w:rPr>
          <w:sz w:val="28"/>
          <w:szCs w:val="28"/>
        </w:rPr>
        <w:t>通讯地址：</w:t>
      </w:r>
      <w:r>
        <w:rPr>
          <w:sz w:val="28"/>
          <w:szCs w:val="28"/>
          <w:u w:val="single"/>
        </w:rPr>
        <w:t xml:space="preserve">             </w:t>
      </w:r>
    </w:p>
    <w:p>
      <w:pPr>
        <w:spacing w:line="560" w:lineRule="exact"/>
        <w:ind w:firstLine="573"/>
      </w:pPr>
      <w:r>
        <mc:AlternateContent>
          <mc:Choice Requires="wps">
            <w:drawing>
              <wp:anchor distT="0" distB="0" distL="114300" distR="114300" simplePos="0" relativeHeight="251668480" behindDoc="0" locked="0" layoutInCell="1" allowOverlap="1">
                <wp:simplePos x="0" y="0"/>
                <wp:positionH relativeFrom="column">
                  <wp:posOffset>2875915</wp:posOffset>
                </wp:positionH>
                <wp:positionV relativeFrom="paragraph">
                  <wp:posOffset>119380</wp:posOffset>
                </wp:positionV>
                <wp:extent cx="2240915" cy="1125855"/>
                <wp:effectExtent l="4445" t="4445" r="21590" b="12700"/>
                <wp:wrapNone/>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68480;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mMdy3VAAAA&#10;CgEAAA8AAAAAAAAAAQAgAAAAIgAAAGRycy9kb3ducmV2LnhtbFBLAQIUABQAAAAIAIdO4kAwfgdW&#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388620</wp:posOffset>
                </wp:positionH>
                <wp:positionV relativeFrom="paragraph">
                  <wp:posOffset>117475</wp:posOffset>
                </wp:positionV>
                <wp:extent cx="2240915" cy="1125855"/>
                <wp:effectExtent l="4445" t="4445" r="21590" b="12700"/>
                <wp:wrapNone/>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67456;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athhbVAAAA&#10;CQEAAA8AAAAAAAAAAQAgAAAAIgAAAGRycy9kb3ducmV2LnhtbFBLAQIUABQAAAAIAIdO4kBLDxdJ&#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p>
    <w:p>
      <w:pPr>
        <w:spacing w:line="560" w:lineRule="exact"/>
        <w:ind w:firstLine="573"/>
      </w:pPr>
    </w:p>
    <w:p>
      <w:pPr>
        <w:spacing w:line="560" w:lineRule="exact"/>
        <w:ind w:firstLine="573"/>
      </w:pPr>
    </w:p>
    <w:p>
      <w:pPr>
        <w:ind w:firstLine="420" w:firstLineChars="150"/>
        <w:rPr>
          <w:rFonts w:hint="eastAsia"/>
          <w:sz w:val="28"/>
          <w:szCs w:val="28"/>
        </w:rPr>
      </w:pPr>
    </w:p>
    <w:p>
      <w:pPr>
        <w:ind w:firstLine="560" w:firstLineChars="200"/>
        <w:rPr>
          <w:sz w:val="28"/>
          <w:szCs w:val="28"/>
        </w:rPr>
      </w:pPr>
      <w:r>
        <w:rPr>
          <w:rFonts w:hint="eastAsia"/>
          <w:sz w:val="28"/>
          <w:szCs w:val="28"/>
        </w:rPr>
        <w:t>身份证关键信息应清晰可辩，否则投标无效。</w:t>
      </w:r>
    </w:p>
    <w:p>
      <w:pPr>
        <w:rPr>
          <w:rFonts w:hint="eastAsia"/>
        </w:rPr>
      </w:pPr>
      <w:bookmarkStart w:id="521" w:name="_Toc11210"/>
      <w:bookmarkStart w:id="522" w:name="_Toc40975544"/>
      <w:r>
        <w:rPr>
          <w:rFonts w:hint="eastAsia"/>
        </w:rPr>
        <w:br w:type="page"/>
      </w:r>
    </w:p>
    <w:p>
      <w:pPr>
        <w:spacing w:line="600" w:lineRule="exact"/>
        <w:rPr>
          <w:rFonts w:hint="eastAsia"/>
          <w:sz w:val="28"/>
          <w:szCs w:val="28"/>
        </w:rPr>
      </w:pPr>
      <w:r>
        <w:rPr>
          <w:rFonts w:hint="eastAsia"/>
          <w:sz w:val="28"/>
          <w:szCs w:val="28"/>
        </w:rPr>
        <w:t>附①：在职员工证明</w:t>
      </w:r>
      <w:bookmarkEnd w:id="521"/>
      <w:bookmarkEnd w:id="522"/>
    </w:p>
    <w:p>
      <w:pPr>
        <w:jc w:val="center"/>
        <w:outlineLvl w:val="9"/>
        <w:rPr>
          <w:rFonts w:hint="eastAsia" w:eastAsia="方正小标宋简体"/>
          <w:bCs/>
          <w:sz w:val="44"/>
          <w:szCs w:val="44"/>
        </w:rPr>
      </w:pPr>
      <w:bookmarkStart w:id="523" w:name="_Toc24630"/>
      <w:r>
        <w:rPr>
          <w:rFonts w:hint="eastAsia" w:eastAsia="方正小标宋简体"/>
          <w:bCs/>
          <w:sz w:val="44"/>
          <w:szCs w:val="44"/>
        </w:rPr>
        <w:t>在职员工证明（仅供参考）</w:t>
      </w:r>
      <w:bookmarkEnd w:id="523"/>
    </w:p>
    <w:p>
      <w:pPr>
        <w:spacing w:line="600" w:lineRule="exact"/>
        <w:rPr>
          <w:rFonts w:hint="eastAsia"/>
          <w:sz w:val="28"/>
          <w:szCs w:val="28"/>
          <w:u w:val="single"/>
        </w:rPr>
      </w:pPr>
      <w:r>
        <w:rPr>
          <w:rFonts w:hint="eastAsia"/>
          <w:sz w:val="28"/>
          <w:szCs w:val="28"/>
        </w:rPr>
        <w:t>兹证明</w:t>
      </w:r>
      <w:r>
        <w:rPr>
          <w:rFonts w:hint="eastAsia"/>
          <w:sz w:val="28"/>
          <w:szCs w:val="28"/>
          <w:u w:val="single"/>
        </w:rPr>
        <w:t xml:space="preserve"> :</w:t>
      </w:r>
    </w:p>
    <w:p>
      <w:pPr>
        <w:spacing w:line="600" w:lineRule="exact"/>
        <w:rPr>
          <w:sz w:val="28"/>
          <w:szCs w:val="28"/>
        </w:rPr>
      </w:pPr>
      <w:r>
        <w:rPr>
          <w:rFonts w:hint="eastAsia"/>
          <w:sz w:val="28"/>
          <w:szCs w:val="28"/>
        </w:rPr>
        <w:t>（姓名）为本单位在职员工，已连续在我单位工作</w:t>
      </w:r>
      <w:r>
        <w:rPr>
          <w:rFonts w:hint="eastAsia"/>
          <w:sz w:val="28"/>
          <w:szCs w:val="28"/>
          <w:u w:val="single"/>
        </w:rPr>
        <w:t xml:space="preserve">        </w:t>
      </w:r>
      <w:r>
        <w:rPr>
          <w:rFonts w:hint="eastAsia"/>
          <w:sz w:val="28"/>
          <w:szCs w:val="28"/>
        </w:rPr>
        <w:t>年，身份证号：</w:t>
      </w:r>
      <w:r>
        <w:rPr>
          <w:rFonts w:hint="eastAsia"/>
          <w:sz w:val="28"/>
          <w:szCs w:val="28"/>
          <w:u w:val="single"/>
        </w:rPr>
        <w:t xml:space="preserve">                         </w:t>
      </w:r>
      <w:r>
        <w:rPr>
          <w:rFonts w:hint="eastAsia"/>
          <w:sz w:val="28"/>
          <w:szCs w:val="28"/>
        </w:rPr>
        <w:t>，目前其在我单位任</w:t>
      </w:r>
      <w:r>
        <w:rPr>
          <w:rFonts w:hint="eastAsia"/>
          <w:sz w:val="28"/>
          <w:szCs w:val="28"/>
          <w:u w:val="single"/>
        </w:rPr>
        <w:t xml:space="preserve">         </w:t>
      </w:r>
      <w:r>
        <w:rPr>
          <w:rFonts w:hint="eastAsia"/>
          <w:sz w:val="28"/>
          <w:szCs w:val="28"/>
        </w:rPr>
        <w:t>职位。 </w:t>
      </w:r>
    </w:p>
    <w:p>
      <w:pPr>
        <w:spacing w:line="600" w:lineRule="exact"/>
        <w:rPr>
          <w:sz w:val="28"/>
          <w:szCs w:val="28"/>
        </w:rPr>
      </w:pPr>
      <w:r>
        <w:rPr>
          <w:rFonts w:hint="eastAsia"/>
          <w:sz w:val="28"/>
          <w:szCs w:val="28"/>
        </w:rPr>
        <w:t>本单位谨此承诺上述证明是正确的、真实的，如因上述证明与事实不符，本单位将承担相应的法律责任。 </w:t>
      </w:r>
    </w:p>
    <w:p>
      <w:pPr>
        <w:spacing w:line="600" w:lineRule="exact"/>
        <w:rPr>
          <w:rFonts w:hint="eastAsia"/>
          <w:sz w:val="28"/>
          <w:szCs w:val="28"/>
          <w:lang w:val="zh-CN"/>
        </w:rPr>
      </w:pPr>
    </w:p>
    <w:p>
      <w:pPr>
        <w:spacing w:line="600" w:lineRule="exact"/>
        <w:ind w:firstLine="3920" w:firstLineChars="1400"/>
        <w:rPr>
          <w:sz w:val="28"/>
          <w:szCs w:val="28"/>
          <w:lang w:val="zh-CN"/>
        </w:rPr>
      </w:pPr>
      <w:r>
        <w:rPr>
          <w:rFonts w:hint="eastAsia"/>
          <w:sz w:val="28"/>
          <w:szCs w:val="28"/>
          <w:lang w:val="zh-CN"/>
        </w:rPr>
        <w:t>投标人（供应商）全称：</w:t>
      </w:r>
      <w:r>
        <w:rPr>
          <w:rFonts w:hint="eastAsia"/>
          <w:sz w:val="28"/>
          <w:szCs w:val="28"/>
          <w:u w:val="single"/>
        </w:rPr>
        <w:t xml:space="preserve">        </w:t>
      </w:r>
      <w:r>
        <w:rPr>
          <w:rFonts w:hint="eastAsia"/>
          <w:sz w:val="28"/>
          <w:szCs w:val="28"/>
          <w:lang w:val="zh-CN"/>
        </w:rPr>
        <w:t>（盖章）</w:t>
      </w:r>
    </w:p>
    <w:p>
      <w:pPr>
        <w:spacing w:line="600" w:lineRule="exact"/>
        <w:ind w:firstLine="5014" w:firstLineChars="1791"/>
        <w:rPr>
          <w:rFonts w:hint="eastAsia"/>
          <w:sz w:val="28"/>
          <w:szCs w:val="28"/>
          <w:lang w:val="zh-CN"/>
        </w:rPr>
      </w:pPr>
      <w:r>
        <w:rPr>
          <w:rFonts w:hint="eastAsia"/>
          <w:sz w:val="28"/>
          <w:szCs w:val="28"/>
          <w:lang w:val="zh-CN"/>
        </w:rPr>
        <w:t>日期：</w:t>
      </w:r>
      <w:r>
        <w:rPr>
          <w:rFonts w:hint="eastAsia"/>
          <w:sz w:val="28"/>
          <w:szCs w:val="28"/>
          <w:u w:val="single"/>
        </w:rPr>
        <w:t xml:space="preserve">     </w:t>
      </w:r>
      <w:r>
        <w:rPr>
          <w:rFonts w:hint="eastAsia"/>
          <w:sz w:val="28"/>
          <w:szCs w:val="28"/>
          <w:lang w:val="zh-CN"/>
        </w:rPr>
        <w:t>年</w:t>
      </w:r>
      <w:r>
        <w:rPr>
          <w:rFonts w:hint="eastAsia"/>
          <w:sz w:val="28"/>
          <w:szCs w:val="28"/>
          <w:u w:val="single"/>
          <w:lang w:val="zh-CN"/>
        </w:rPr>
        <w:t xml:space="preserve">  </w:t>
      </w:r>
      <w:r>
        <w:rPr>
          <w:rFonts w:hint="eastAsia"/>
          <w:sz w:val="28"/>
          <w:szCs w:val="28"/>
          <w:u w:val="single"/>
        </w:rPr>
        <w:t xml:space="preserve"> </w:t>
      </w:r>
      <w:r>
        <w:rPr>
          <w:rFonts w:hint="eastAsia"/>
          <w:sz w:val="28"/>
          <w:szCs w:val="28"/>
          <w:lang w:val="zh-CN"/>
        </w:rPr>
        <w:t>月</w:t>
      </w:r>
      <w:r>
        <w:rPr>
          <w:rFonts w:hint="eastAsia"/>
          <w:sz w:val="28"/>
          <w:szCs w:val="28"/>
          <w:u w:val="single"/>
          <w:lang w:val="zh-CN"/>
        </w:rPr>
        <w:t xml:space="preserve"> </w:t>
      </w:r>
      <w:r>
        <w:rPr>
          <w:rFonts w:hint="eastAsia"/>
          <w:sz w:val="28"/>
          <w:szCs w:val="28"/>
          <w:u w:val="single"/>
        </w:rPr>
        <w:t xml:space="preserve"> </w:t>
      </w:r>
      <w:r>
        <w:rPr>
          <w:rFonts w:hint="eastAsia"/>
          <w:sz w:val="28"/>
          <w:szCs w:val="28"/>
          <w:u w:val="single"/>
          <w:lang w:val="zh-CN"/>
        </w:rPr>
        <w:t xml:space="preserve"> </w:t>
      </w:r>
      <w:r>
        <w:rPr>
          <w:rFonts w:hint="eastAsia"/>
          <w:sz w:val="28"/>
          <w:szCs w:val="28"/>
          <w:lang w:val="zh-CN"/>
        </w:rPr>
        <w:t>日</w:t>
      </w:r>
    </w:p>
    <w:p>
      <w:pPr>
        <w:rPr>
          <w:rFonts w:hint="eastAsia"/>
          <w:lang w:val="zh-CN"/>
        </w:rPr>
      </w:pPr>
    </w:p>
    <w:p>
      <w:pPr>
        <w:rPr>
          <w:rFonts w:hint="eastAsia"/>
        </w:rPr>
      </w:pPr>
      <w:r>
        <w:rPr>
          <w:rFonts w:hint="eastAsia"/>
        </w:rPr>
        <w:br w:type="page"/>
      </w:r>
    </w:p>
    <w:p>
      <w:pPr>
        <w:spacing w:line="600" w:lineRule="exact"/>
        <w:rPr>
          <w:rFonts w:hint="default"/>
          <w:sz w:val="28"/>
          <w:szCs w:val="28"/>
          <w:lang w:val="en-US" w:eastAsia="zh-CN"/>
        </w:rPr>
      </w:pPr>
      <w:bookmarkStart w:id="524" w:name="_Toc5045"/>
      <w:r>
        <w:rPr>
          <w:rFonts w:hint="eastAsia"/>
          <w:sz w:val="28"/>
          <w:szCs w:val="28"/>
        </w:rPr>
        <w:t>附②：被授权人</w:t>
      </w:r>
      <w:bookmarkEnd w:id="524"/>
      <w:r>
        <w:rPr>
          <w:rFonts w:hint="eastAsia"/>
          <w:sz w:val="28"/>
          <w:szCs w:val="28"/>
          <w:lang w:val="en-US" w:eastAsia="zh-CN"/>
        </w:rPr>
        <w:t>提供投标前4个月内（不含投标当月）连续3个月由投标供应商缴纳的社保证明材料。代缴社保证明材料不予认可。</w:t>
      </w:r>
    </w:p>
    <w:p>
      <w:pPr>
        <w:spacing w:line="600" w:lineRule="exact"/>
        <w:rPr>
          <w:rFonts w:hint="eastAsia" w:ascii="宋体" w:hAnsi="宋体" w:cs="宋体"/>
          <w:lang w:val="zh-CN"/>
        </w:rPr>
      </w:pPr>
      <w:r>
        <w:rPr>
          <w:rFonts w:hint="eastAsia" w:ascii="宋体" w:hAnsi="宋体" w:cs="宋体"/>
        </w:rPr>
        <w:t>注：由</w:t>
      </w:r>
      <w:r>
        <w:rPr>
          <w:rFonts w:hint="eastAsia" w:ascii="宋体" w:hAnsi="宋体" w:cs="宋体"/>
          <w:lang w:val="zh-CN"/>
        </w:rPr>
        <w:t>投标人（供应商）自行提供。</w:t>
      </w:r>
    </w:p>
    <w:p>
      <w:pPr>
        <w:rPr>
          <w:rFonts w:hint="eastAsia" w:eastAsia="方正小标宋简体"/>
          <w:bCs/>
          <w:sz w:val="44"/>
          <w:szCs w:val="44"/>
        </w:rPr>
      </w:pPr>
      <w:bookmarkStart w:id="525" w:name="_Toc6215"/>
      <w:bookmarkStart w:id="526" w:name="_Toc12514"/>
      <w:r>
        <w:rPr>
          <w:rFonts w:hint="eastAsia" w:eastAsia="方正小标宋简体"/>
          <w:bCs/>
          <w:sz w:val="44"/>
          <w:szCs w:val="44"/>
        </w:rPr>
        <w:br w:type="page"/>
      </w:r>
    </w:p>
    <w:p>
      <w:pPr>
        <w:outlineLvl w:val="3"/>
        <w:rPr>
          <w:rFonts w:hint="eastAsia" w:eastAsia="方正小标宋简体"/>
          <w:bCs/>
          <w:sz w:val="44"/>
          <w:szCs w:val="44"/>
        </w:rPr>
      </w:pPr>
      <w:r>
        <w:rPr>
          <w:rFonts w:hint="eastAsia" w:eastAsia="方正小标宋简体"/>
          <w:bCs/>
          <w:sz w:val="44"/>
          <w:szCs w:val="44"/>
        </w:rPr>
        <w:t>附录4：</w:t>
      </w:r>
      <w:bookmarkEnd w:id="525"/>
      <w:bookmarkEnd w:id="526"/>
    </w:p>
    <w:p>
      <w:pPr>
        <w:outlineLvl w:val="9"/>
        <w:rPr>
          <w:rFonts w:hint="eastAsia" w:eastAsia="方正小标宋简体"/>
          <w:bCs/>
          <w:sz w:val="44"/>
          <w:szCs w:val="44"/>
        </w:rPr>
      </w:pPr>
      <w:bookmarkStart w:id="527" w:name="_Toc29836"/>
      <w:bookmarkStart w:id="528" w:name="_Toc12533"/>
      <w:r>
        <w:rPr>
          <w:rFonts w:hint="eastAsia" w:eastAsia="方正小标宋简体"/>
          <w:bCs/>
          <w:sz w:val="44"/>
          <w:szCs w:val="44"/>
        </w:rPr>
        <w:t>非外资</w:t>
      </w:r>
      <w:r>
        <w:rPr>
          <w:rFonts w:hint="eastAsia" w:eastAsia="方正小标宋简体"/>
          <w:bCs/>
          <w:sz w:val="44"/>
          <w:szCs w:val="44"/>
          <w:lang w:eastAsia="zh-CN"/>
        </w:rPr>
        <w:t>（</w:t>
      </w:r>
      <w:r>
        <w:rPr>
          <w:rFonts w:hint="eastAsia" w:eastAsia="方正小标宋简体"/>
          <w:bCs/>
          <w:sz w:val="44"/>
          <w:szCs w:val="44"/>
          <w:lang w:val="en-US" w:eastAsia="zh-CN"/>
        </w:rPr>
        <w:t>含港澳台</w:t>
      </w:r>
      <w:r>
        <w:rPr>
          <w:rFonts w:hint="eastAsia" w:eastAsia="方正小标宋简体"/>
          <w:bCs/>
          <w:sz w:val="44"/>
          <w:szCs w:val="44"/>
          <w:lang w:eastAsia="zh-CN"/>
        </w:rPr>
        <w:t>）</w:t>
      </w:r>
      <w:r>
        <w:rPr>
          <w:rFonts w:hint="eastAsia" w:eastAsia="方正小标宋简体"/>
          <w:bCs/>
          <w:sz w:val="44"/>
          <w:szCs w:val="44"/>
        </w:rPr>
        <w:t>独资或外资控股企业的书面声明</w:t>
      </w:r>
      <w:bookmarkEnd w:id="527"/>
      <w:bookmarkEnd w:id="528"/>
    </w:p>
    <w:p>
      <w:pPr>
        <w:autoSpaceDE w:val="0"/>
        <w:autoSpaceDN w:val="0"/>
        <w:adjustRightInd w:val="0"/>
        <w:rPr>
          <w:rFonts w:ascii="宋体" w:hAnsi="宋体"/>
        </w:rPr>
      </w:pPr>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60" w:firstLineChars="200"/>
        <w:rPr>
          <w:sz w:val="28"/>
          <w:szCs w:val="28"/>
        </w:rPr>
      </w:pPr>
      <w:r>
        <w:rPr>
          <w:rFonts w:hint="eastAsia"/>
          <w:sz w:val="28"/>
          <w:szCs w:val="28"/>
        </w:rPr>
        <w:t>我方参加贵单位组织的（</w:t>
      </w:r>
      <w:r>
        <w:rPr>
          <w:rFonts w:hint="eastAsia"/>
          <w:sz w:val="28"/>
          <w:szCs w:val="28"/>
          <w:u w:val="single"/>
        </w:rPr>
        <w:t>项目编号、项目名称</w:t>
      </w:r>
      <w:r>
        <w:rPr>
          <w:rFonts w:hint="eastAsia"/>
          <w:sz w:val="28"/>
          <w:szCs w:val="28"/>
        </w:rPr>
        <w:t>）采购活动，在此郑重声明：我公司为非外资</w:t>
      </w:r>
      <w:r>
        <w:rPr>
          <w:rFonts w:hint="eastAsia"/>
          <w:sz w:val="28"/>
          <w:szCs w:val="28"/>
          <w:lang w:eastAsia="zh-CN"/>
        </w:rPr>
        <w:t>（</w:t>
      </w:r>
      <w:r>
        <w:rPr>
          <w:rFonts w:hint="eastAsia"/>
          <w:sz w:val="28"/>
          <w:szCs w:val="28"/>
          <w:lang w:val="en-US" w:eastAsia="zh-CN"/>
        </w:rPr>
        <w:t>含港澳台</w:t>
      </w:r>
      <w:r>
        <w:rPr>
          <w:rFonts w:hint="eastAsia"/>
          <w:sz w:val="28"/>
          <w:szCs w:val="28"/>
          <w:lang w:eastAsia="zh-CN"/>
        </w:rPr>
        <w:t>）</w:t>
      </w:r>
      <w:r>
        <w:rPr>
          <w:rFonts w:hint="eastAsia"/>
          <w:sz w:val="28"/>
          <w:szCs w:val="28"/>
        </w:rPr>
        <w:t>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rPr>
        <w:t>投标供应商全称：（盖章）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outlineLvl w:val="3"/>
        <w:rPr>
          <w:rFonts w:hint="eastAsia" w:eastAsia="方正小标宋简体"/>
          <w:bCs/>
          <w:sz w:val="44"/>
          <w:szCs w:val="44"/>
        </w:rPr>
      </w:pPr>
      <w:r>
        <w:rPr>
          <w:rFonts w:eastAsia="方正小标宋简体"/>
          <w:bCs/>
          <w:sz w:val="44"/>
          <w:szCs w:val="44"/>
        </w:rPr>
        <w:br w:type="page"/>
      </w:r>
      <w:bookmarkStart w:id="529" w:name="_Toc5844"/>
      <w:bookmarkStart w:id="530" w:name="_Toc16026"/>
      <w:r>
        <w:rPr>
          <w:rFonts w:hint="eastAsia" w:eastAsia="方正小标宋简体"/>
          <w:bCs/>
          <w:sz w:val="44"/>
          <w:szCs w:val="44"/>
        </w:rPr>
        <w:t>附录5：</w:t>
      </w:r>
      <w:bookmarkEnd w:id="529"/>
      <w:bookmarkEnd w:id="530"/>
    </w:p>
    <w:p>
      <w:pPr>
        <w:jc w:val="center"/>
        <w:outlineLvl w:val="9"/>
        <w:rPr>
          <w:rFonts w:eastAsia="方正小标宋简体"/>
          <w:bCs/>
          <w:sz w:val="44"/>
          <w:szCs w:val="44"/>
        </w:rPr>
      </w:pPr>
      <w:bookmarkStart w:id="531" w:name="_Toc30573"/>
      <w:bookmarkStart w:id="532" w:name="_Toc14737"/>
      <w:r>
        <w:rPr>
          <w:rFonts w:eastAsia="方正小标宋简体"/>
          <w:bCs/>
          <w:sz w:val="44"/>
          <w:szCs w:val="44"/>
        </w:rPr>
        <w:t>主要股东或出资人信息</w:t>
      </w:r>
      <w:bookmarkEnd w:id="531"/>
      <w:bookmarkEnd w:id="532"/>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rPr>
          <w:rFonts w:hint="eastAsia"/>
        </w:rPr>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p>
    <w:p>
      <w:pPr>
        <w:jc w:val="center"/>
        <w:rPr>
          <w:sz w:val="28"/>
          <w:szCs w:val="28"/>
          <w:lang w:val="zh-CN"/>
        </w:rPr>
      </w:pPr>
      <w:r>
        <w:rPr>
          <w:sz w:val="28"/>
          <w:szCs w:val="28"/>
          <w:lang w:val="zh-CN"/>
        </w:rPr>
        <w:t xml:space="preserve">              法定代表人（或授权代表）：（签字）</w:t>
      </w:r>
    </w:p>
    <w:p>
      <w:pPr>
        <w:rPr>
          <w:sz w:val="28"/>
          <w:szCs w:val="28"/>
          <w:lang w:val="zh-CN"/>
        </w:rPr>
      </w:pP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outlineLvl w:val="3"/>
        <w:rPr>
          <w:rFonts w:hint="eastAsia" w:ascii="方正小标宋简体" w:hAnsi="宋体" w:eastAsia="方正小标宋简体"/>
          <w:sz w:val="44"/>
          <w:szCs w:val="44"/>
        </w:rPr>
      </w:pPr>
      <w:r>
        <w:br w:type="page"/>
      </w:r>
      <w:bookmarkStart w:id="533" w:name="_Toc7208"/>
      <w:bookmarkStart w:id="534" w:name="_Toc13426"/>
      <w:r>
        <w:rPr>
          <w:rFonts w:hint="eastAsia" w:ascii="方正小标宋简体" w:hAnsi="宋体" w:eastAsia="方正小标宋简体"/>
          <w:sz w:val="44"/>
          <w:szCs w:val="44"/>
        </w:rPr>
        <w:t>附录6：</w:t>
      </w:r>
      <w:bookmarkEnd w:id="533"/>
      <w:bookmarkEnd w:id="534"/>
    </w:p>
    <w:p>
      <w:pPr>
        <w:spacing w:line="560" w:lineRule="exact"/>
        <w:jc w:val="center"/>
        <w:outlineLvl w:val="9"/>
        <w:rPr>
          <w:rFonts w:ascii="方正小标宋简体" w:hAnsi="宋体" w:eastAsia="方正小标宋简体"/>
          <w:sz w:val="44"/>
          <w:szCs w:val="44"/>
        </w:rPr>
      </w:pPr>
      <w:bookmarkStart w:id="535" w:name="_Toc31834"/>
      <w:bookmarkStart w:id="536" w:name="_Toc19812"/>
      <w:r>
        <w:rPr>
          <w:rFonts w:hint="eastAsia" w:ascii="方正小标宋简体" w:hAnsi="宋体" w:eastAsia="方正小标宋简体"/>
          <w:sz w:val="44"/>
          <w:szCs w:val="44"/>
        </w:rPr>
        <w:t>未被列入违法失信名单承诺书</w:t>
      </w:r>
      <w:bookmarkEnd w:id="535"/>
      <w:bookmarkEnd w:id="536"/>
    </w:p>
    <w:p>
      <w:pPr>
        <w:spacing w:line="240" w:lineRule="exact"/>
        <w:rPr>
          <w:rFonts w:ascii="宋体" w:hAnsi="宋体"/>
          <w:sz w:val="32"/>
          <w:szCs w:val="32"/>
        </w:rPr>
      </w:pPr>
    </w:p>
    <w:p>
      <w:pPr>
        <w:spacing w:line="520" w:lineRule="exact"/>
        <w:rPr>
          <w:rFonts w:eastAsia="楷体"/>
          <w:snapToGrid w:val="0"/>
          <w:sz w:val="28"/>
          <w:szCs w:val="28"/>
        </w:rPr>
      </w:pPr>
      <w:r>
        <w:rPr>
          <w:rFonts w:ascii="楷体_GB2312" w:hAnsi="宋体" w:eastAsia="楷体_GB2312"/>
          <w:sz w:val="28"/>
          <w:szCs w:val="28"/>
          <w:u w:val="single"/>
        </w:rPr>
        <w:t>（采购机构名称）</w:t>
      </w:r>
      <w:r>
        <w:rPr>
          <w:rFonts w:eastAsia="MS Gothic"/>
          <w:snapToGrid w:val="0"/>
          <w:sz w:val="28"/>
          <w:szCs w:val="28"/>
        </w:rPr>
        <w:t>：</w:t>
      </w:r>
    </w:p>
    <w:p>
      <w:pPr>
        <w:autoSpaceDE w:val="0"/>
        <w:autoSpaceDN w:val="0"/>
        <w:adjustRightInd w:val="0"/>
        <w:spacing w:line="360" w:lineRule="auto"/>
        <w:ind w:firstLine="560" w:firstLineChars="200"/>
        <w:rPr>
          <w:sz w:val="28"/>
          <w:szCs w:val="28"/>
          <w:lang w:val="zh-CN"/>
        </w:rPr>
      </w:pPr>
      <w:r>
        <w:rPr>
          <w:sz w:val="28"/>
          <w:szCs w:val="28"/>
          <w:lang w:val="zh-CN"/>
        </w:rPr>
        <w:t>我方</w:t>
      </w:r>
      <w:r>
        <w:rPr>
          <w:rFonts w:hint="eastAsia"/>
          <w:sz w:val="28"/>
          <w:szCs w:val="28"/>
          <w:lang w:val="zh-CN"/>
        </w:rPr>
        <w:t>参加贵单位组织的编号为</w:t>
      </w:r>
      <w:r>
        <w:rPr>
          <w:sz w:val="28"/>
          <w:szCs w:val="28"/>
          <w:lang w:val="zh-CN"/>
        </w:rPr>
        <w:t xml:space="preserve"> </w:t>
      </w:r>
      <w:r>
        <w:rPr>
          <w:sz w:val="28"/>
          <w:szCs w:val="28"/>
          <w:u w:val="single"/>
          <w:lang w:val="zh-CN"/>
        </w:rPr>
        <w:t xml:space="preserve">           </w:t>
      </w:r>
      <w:r>
        <w:rPr>
          <w:rFonts w:hint="eastAsia"/>
          <w:sz w:val="28"/>
          <w:szCs w:val="28"/>
          <w:u w:val="single"/>
          <w:lang w:val="zh-CN"/>
        </w:rPr>
        <w:t>、</w:t>
      </w:r>
      <w:r>
        <w:rPr>
          <w:sz w:val="28"/>
          <w:szCs w:val="28"/>
          <w:u w:val="single"/>
          <w:lang w:val="zh-CN"/>
        </w:rPr>
        <w:t xml:space="preserve">            </w:t>
      </w:r>
      <w:r>
        <w:rPr>
          <w:rFonts w:hint="eastAsia"/>
          <w:sz w:val="28"/>
          <w:szCs w:val="28"/>
          <w:lang w:val="zh-CN"/>
        </w:rPr>
        <w:t>项目采购活动，</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w:t>
      </w:r>
    </w:p>
    <w:p>
      <w:pPr>
        <w:autoSpaceDE w:val="0"/>
        <w:autoSpaceDN w:val="0"/>
        <w:adjustRightInd w:val="0"/>
        <w:spacing w:line="360" w:lineRule="auto"/>
        <w:rPr>
          <w:sz w:val="28"/>
          <w:szCs w:val="28"/>
          <w:lang w:val="zh-CN"/>
        </w:rPr>
      </w:pP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rFonts w:hint="eastAsia"/>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 xml:space="preserve"> </w:t>
      </w:r>
      <w:r>
        <w:rPr>
          <w:sz w:val="28"/>
          <w:szCs w:val="28"/>
          <w:lang w:val="zh-CN"/>
        </w:rPr>
        <w:t xml:space="preserve"> </w:t>
      </w:r>
      <w:r>
        <w:rPr>
          <w:rFonts w:hint="eastAsia"/>
          <w:sz w:val="28"/>
          <w:szCs w:val="28"/>
          <w:lang w:val="zh-CN"/>
        </w:rPr>
        <w:t>投标供应商全称：（盖章）</w:t>
      </w:r>
    </w:p>
    <w:p>
      <w:pPr>
        <w:spacing w:line="360" w:lineRule="auto"/>
        <w:ind w:firstLine="3640" w:firstLineChars="1300"/>
        <w:rPr>
          <w:sz w:val="28"/>
          <w:szCs w:val="28"/>
          <w:lang w:val="zh-CN"/>
        </w:rPr>
      </w:pPr>
      <w:r>
        <w:rPr>
          <w:rFonts w:hint="eastAsia"/>
          <w:sz w:val="28"/>
          <w:szCs w:val="28"/>
          <w:lang w:val="zh-CN"/>
        </w:rPr>
        <w:t>法定代表人（或授权代表）：（签字）</w:t>
      </w:r>
      <w:r>
        <w:rPr>
          <w:sz w:val="28"/>
          <w:szCs w:val="28"/>
          <w:lang w:val="zh-CN"/>
        </w:rPr>
        <w:t xml:space="preserve">   </w:t>
      </w:r>
    </w:p>
    <w:p>
      <w:pPr>
        <w:autoSpaceDE w:val="0"/>
        <w:autoSpaceDN w:val="0"/>
        <w:adjustRightInd w:val="0"/>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hAnsi="宋体" w:eastAsia="方正小标宋简体"/>
          <w:sz w:val="44"/>
          <w:szCs w:val="44"/>
        </w:rPr>
      </w:pPr>
      <w:bookmarkStart w:id="537" w:name="_Toc3392"/>
      <w:bookmarkStart w:id="538" w:name="_Toc31889"/>
      <w:r>
        <w:rPr>
          <w:rFonts w:hint="eastAsia" w:ascii="方正小标宋简体" w:hAnsi="宋体" w:eastAsia="方正小标宋简体"/>
          <w:sz w:val="44"/>
          <w:szCs w:val="44"/>
        </w:rPr>
        <w:br w:type="page"/>
      </w:r>
    </w:p>
    <w:p>
      <w:pPr>
        <w:tabs>
          <w:tab w:val="left" w:pos="0"/>
        </w:tabs>
        <w:spacing w:line="560" w:lineRule="exact"/>
        <w:outlineLvl w:val="3"/>
        <w:rPr>
          <w:rFonts w:hint="eastAsia" w:ascii="方正小标宋简体" w:hAnsi="宋体" w:eastAsia="方正小标宋简体"/>
          <w:sz w:val="44"/>
          <w:szCs w:val="44"/>
        </w:rPr>
      </w:pPr>
      <w:r>
        <w:rPr>
          <w:rFonts w:hint="eastAsia" w:ascii="方正小标宋简体" w:hAnsi="宋体" w:eastAsia="方正小标宋简体"/>
          <w:sz w:val="44"/>
          <w:szCs w:val="44"/>
        </w:rPr>
        <w:t>附录7：</w:t>
      </w:r>
      <w:bookmarkEnd w:id="537"/>
      <w:bookmarkEnd w:id="538"/>
    </w:p>
    <w:p>
      <w:pPr>
        <w:tabs>
          <w:tab w:val="left" w:pos="0"/>
        </w:tabs>
        <w:spacing w:line="560" w:lineRule="exact"/>
        <w:jc w:val="center"/>
        <w:outlineLvl w:val="9"/>
        <w:rPr>
          <w:rFonts w:hint="eastAsia" w:ascii="宋体" w:hAnsi="宋体"/>
          <w:sz w:val="28"/>
          <w:szCs w:val="28"/>
        </w:rPr>
      </w:pPr>
      <w:bookmarkStart w:id="539" w:name="_Toc32129"/>
      <w:bookmarkStart w:id="540" w:name="_Toc12150"/>
      <w:r>
        <w:rPr>
          <w:rFonts w:hint="eastAsia" w:ascii="方正小标宋简体" w:hAnsi="宋体" w:eastAsia="方正小标宋简体"/>
          <w:sz w:val="44"/>
          <w:szCs w:val="44"/>
        </w:rPr>
        <w:t>本项目特定资质</w:t>
      </w:r>
      <w:bookmarkEnd w:id="539"/>
      <w:bookmarkEnd w:id="540"/>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pStyle w:val="16"/>
        <w:sectPr>
          <w:pgSz w:w="11906" w:h="16838"/>
          <w:pgMar w:top="1418" w:right="1134" w:bottom="1418" w:left="1418" w:header="851" w:footer="851" w:gutter="0"/>
          <w:pgNumType w:fmt="numberInDash"/>
          <w:cols w:space="720" w:num="1"/>
          <w:docGrid w:linePitch="388" w:charSpace="-1260"/>
        </w:sectPr>
      </w:pPr>
    </w:p>
    <w:p>
      <w:pPr>
        <w:widowControl/>
        <w:jc w:val="center"/>
        <w:outlineLvl w:val="1"/>
        <w:rPr>
          <w:rFonts w:hint="eastAsia" w:ascii="Arial" w:hAnsi="Arial" w:eastAsia="方正小标宋简体" w:cs="Times New Roman"/>
          <w:b w:val="0"/>
          <w:bCs/>
          <w:kern w:val="2"/>
          <w:sz w:val="44"/>
          <w:szCs w:val="44"/>
          <w:lang w:val="zh-CN" w:eastAsia="zh-CN" w:bidi="ar-SA"/>
        </w:rPr>
      </w:pPr>
      <w:bookmarkStart w:id="541" w:name="_Toc112317781"/>
      <w:bookmarkStart w:id="542" w:name="_Toc31321"/>
      <w:bookmarkStart w:id="543" w:name="_Toc25210"/>
      <w:bookmarkStart w:id="544" w:name="_Toc3292"/>
      <w:bookmarkStart w:id="545" w:name="_Toc5855"/>
      <w:bookmarkStart w:id="546" w:name="_Toc28012"/>
      <w:bookmarkStart w:id="547" w:name="_Toc8647"/>
      <w:bookmarkStart w:id="548" w:name="_Toc22161"/>
      <w:r>
        <w:rPr>
          <w:rFonts w:hint="eastAsia" w:ascii="Arial" w:hAnsi="Arial" w:eastAsia="方正小标宋简体" w:cs="Times New Roman"/>
          <w:b w:val="0"/>
          <w:bCs/>
          <w:kern w:val="2"/>
          <w:sz w:val="44"/>
          <w:szCs w:val="44"/>
          <w:lang w:val="zh-CN" w:eastAsia="zh-CN" w:bidi="ar-SA"/>
        </w:rPr>
        <w:t>第五章</w:t>
      </w:r>
      <w:r>
        <w:rPr>
          <w:rFonts w:hint="eastAsia" w:ascii="Arial" w:hAnsi="Arial" w:eastAsia="方正小标宋简体" w:cs="Times New Roman"/>
          <w:b w:val="0"/>
          <w:bCs/>
          <w:kern w:val="2"/>
          <w:sz w:val="44"/>
          <w:szCs w:val="44"/>
          <w:lang w:val="en-US" w:eastAsia="zh-CN" w:bidi="ar-SA"/>
        </w:rPr>
        <w:t xml:space="preserve"> </w:t>
      </w:r>
      <w:r>
        <w:rPr>
          <w:rFonts w:hint="eastAsia" w:ascii="Arial" w:hAnsi="Arial" w:eastAsia="方正小标宋简体" w:cs="Times New Roman"/>
          <w:b w:val="0"/>
          <w:bCs/>
          <w:kern w:val="2"/>
          <w:sz w:val="44"/>
          <w:szCs w:val="44"/>
          <w:lang w:val="zh-CN" w:eastAsia="zh-CN" w:bidi="ar-SA"/>
        </w:rPr>
        <w:t>采购项目技术和商务要求</w:t>
      </w:r>
      <w:bookmarkEnd w:id="541"/>
      <w:bookmarkEnd w:id="542"/>
      <w:bookmarkEnd w:id="543"/>
      <w:bookmarkEnd w:id="544"/>
      <w:bookmarkEnd w:id="545"/>
      <w:bookmarkEnd w:id="546"/>
      <w:bookmarkEnd w:id="547"/>
      <w:bookmarkEnd w:id="548"/>
    </w:p>
    <w:p>
      <w:pPr>
        <w:pStyle w:val="5"/>
        <w:keepNext/>
        <w:keepLines/>
        <w:spacing w:before="157" w:beforeLines="50" w:after="157" w:afterLines="50" w:line="560" w:lineRule="exact"/>
        <w:rPr>
          <w:rFonts w:hint="eastAsia" w:ascii="黑体" w:hAnsi="黑体" w:eastAsia="黑体" w:cs="黑体"/>
          <w:b w:val="0"/>
          <w:sz w:val="28"/>
          <w:szCs w:val="28"/>
          <w:lang w:val="en-US" w:eastAsia="zh-CN"/>
        </w:rPr>
      </w:pPr>
      <w:bookmarkStart w:id="549" w:name="_Toc9273"/>
      <w:bookmarkStart w:id="550" w:name="_Toc13416"/>
      <w:bookmarkStart w:id="551" w:name="_Toc11028"/>
      <w:bookmarkStart w:id="552" w:name="_Toc2333"/>
      <w:r>
        <w:rPr>
          <w:rFonts w:hint="eastAsia" w:ascii="黑体" w:hAnsi="黑体" w:eastAsia="黑体" w:cs="黑体"/>
          <w:b w:val="0"/>
          <w:sz w:val="28"/>
          <w:szCs w:val="28"/>
          <w:lang w:val="en-US" w:eastAsia="zh-CN"/>
        </w:rPr>
        <w:t>一、货物一览表</w:t>
      </w:r>
      <w:bookmarkEnd w:id="549"/>
      <w:bookmarkEnd w:id="550"/>
      <w:bookmarkEnd w:id="551"/>
      <w:bookmarkEnd w:id="552"/>
    </w:p>
    <w:tbl>
      <w:tblPr>
        <w:tblStyle w:val="44"/>
        <w:tblW w:w="0" w:type="auto"/>
        <w:jc w:val="center"/>
        <w:tblLayout w:type="fixed"/>
        <w:tblCellMar>
          <w:top w:w="0" w:type="dxa"/>
          <w:left w:w="108" w:type="dxa"/>
          <w:bottom w:w="0" w:type="dxa"/>
          <w:right w:w="108" w:type="dxa"/>
        </w:tblCellMar>
      </w:tblPr>
      <w:tblGrid>
        <w:gridCol w:w="813"/>
        <w:gridCol w:w="2619"/>
        <w:gridCol w:w="1110"/>
        <w:gridCol w:w="1110"/>
        <w:gridCol w:w="2409"/>
        <w:gridCol w:w="1300"/>
      </w:tblGrid>
      <w:tr>
        <w:tblPrEx>
          <w:tblCellMar>
            <w:top w:w="0" w:type="dxa"/>
            <w:left w:w="108" w:type="dxa"/>
            <w:bottom w:w="0" w:type="dxa"/>
            <w:right w:w="108" w:type="dxa"/>
          </w:tblCellMar>
        </w:tblPrEx>
        <w:trPr>
          <w:trHeight w:val="540"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553" w:name="_Toc285612596"/>
            <w:bookmarkStart w:id="554" w:name="_Toc7059"/>
            <w:bookmarkStart w:id="555" w:name="_Toc3692"/>
            <w:bookmarkStart w:id="556" w:name="_Toc21754"/>
            <w:bookmarkStart w:id="557" w:name="_Toc22402"/>
            <w:bookmarkStart w:id="558" w:name="_Toc9667"/>
            <w:r>
              <w:t>包号</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计量单位</w:t>
            </w:r>
          </w:p>
        </w:tc>
        <w:tc>
          <w:tcPr>
            <w:tcW w:w="11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数量</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交货时间</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备注</w:t>
            </w:r>
          </w:p>
        </w:tc>
      </w:tr>
      <w:tr>
        <w:tblPrEx>
          <w:tblCellMar>
            <w:top w:w="0" w:type="dxa"/>
            <w:left w:w="108" w:type="dxa"/>
            <w:bottom w:w="0" w:type="dxa"/>
            <w:right w:w="108" w:type="dxa"/>
          </w:tblCellMar>
        </w:tblPrEx>
        <w:trPr>
          <w:trHeight w:val="67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val="en-US" w:eastAsia="zh-CN"/>
              </w:rPr>
            </w:pPr>
            <w:r>
              <w:rPr>
                <w:rFonts w:hint="eastAsia"/>
                <w:lang w:val="en-US" w:eastAsia="zh-CN"/>
              </w:rPr>
              <w:t>1</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lang w:eastAsia="zh-CN"/>
              </w:rPr>
            </w:pPr>
            <w:r>
              <w:rPr>
                <w:rFonts w:hint="eastAsia"/>
              </w:rPr>
              <w:t>电动骨组织手术设备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eastAsia="zh-CN"/>
              </w:rPr>
            </w:pPr>
            <w:r>
              <w:rPr>
                <w:rFonts w:hint="eastAsia"/>
                <w:lang w:eastAsia="zh-CN"/>
              </w:rPr>
              <w:t>台</w:t>
            </w:r>
          </w:p>
        </w:tc>
        <w:tc>
          <w:tcPr>
            <w:tcW w:w="111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1</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ascii="宋体" w:hAnsi="宋体" w:eastAsia="宋体" w:cs="宋体"/>
                <w:sz w:val="21"/>
                <w:szCs w:val="21"/>
                <w:lang w:val="zh-CN" w:eastAsia="zh-CN"/>
              </w:rPr>
              <w:t>合同签订后30天内</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w:t>
            </w:r>
          </w:p>
        </w:tc>
      </w:tr>
      <w:tr>
        <w:tblPrEx>
          <w:tblCellMar>
            <w:top w:w="0" w:type="dxa"/>
            <w:left w:w="108" w:type="dxa"/>
            <w:bottom w:w="0" w:type="dxa"/>
            <w:right w:w="108" w:type="dxa"/>
          </w:tblCellMar>
        </w:tblPrEx>
        <w:trPr>
          <w:trHeight w:val="2203" w:hRule="atLeast"/>
          <w:jc w:val="center"/>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ind w:left="0" w:leftChars="0" w:firstLine="422" w:firstLineChars="200"/>
            </w:pPr>
            <w:r>
              <w:rPr>
                <w:rFonts w:hint="eastAsia"/>
                <w:b/>
                <w:bCs/>
              </w:rPr>
              <w:t>注：</w:t>
            </w:r>
            <w:r>
              <w:t>1</w:t>
            </w:r>
            <w:r>
              <w:rPr>
                <w:rFonts w:hint="eastAsia"/>
              </w:rPr>
              <w:t>.</w:t>
            </w:r>
            <w:r>
              <w:t>带“★”符号项目为必须满足指标，若出现一项负偏离，则视为废标</w:t>
            </w:r>
            <w:r>
              <w:rPr>
                <w:rFonts w:hint="eastAsia"/>
              </w:rPr>
              <w:t>，</w:t>
            </w:r>
            <w:r>
              <w:t>带“▲”符号项目为重要指标</w:t>
            </w:r>
            <w:r>
              <w:rPr>
                <w:rFonts w:hint="eastAsia"/>
              </w:rPr>
              <w:t>，</w:t>
            </w:r>
            <w:r>
              <w:t>其他项目为一般指标</w:t>
            </w:r>
          </w:p>
          <w:p>
            <w:pPr>
              <w:ind w:left="0" w:leftChars="0" w:firstLine="840" w:firstLineChars="400"/>
              <w:rPr>
                <w:rFonts w:hint="default" w:ascii="Times New Roman" w:hAnsi="Times New Roman" w:eastAsia="宋体" w:cs="Times New Roman"/>
                <w:lang w:val="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注星号（“★”）的关键参数要求提供</w:t>
            </w:r>
            <w:r>
              <w:rPr>
                <w:rFonts w:ascii="Times New Roman" w:hAnsi="Times New Roman" w:eastAsia="宋体" w:cs="Times New Roman"/>
                <w:lang w:val="zh-CN"/>
              </w:rPr>
              <w:t>产品规格表</w:t>
            </w:r>
            <w:r>
              <w:rPr>
                <w:rFonts w:hint="default" w:ascii="Times New Roman" w:hAnsi="Times New Roman" w:eastAsia="宋体" w:cs="Times New Roman"/>
                <w:lang w:val="zh-CN"/>
              </w:rPr>
              <w:t>、产品宣传彩页、技术白皮书、制造商官方网站发布的产品信息、说明书等</w:t>
            </w:r>
            <w:r>
              <w:rPr>
                <w:rFonts w:ascii="Times New Roman" w:hAnsi="Times New Roman" w:eastAsia="宋体" w:cs="Times New Roman"/>
                <w:lang w:val="zh-CN"/>
              </w:rPr>
              <w:t>或检测机构出具的检测报告等</w:t>
            </w:r>
            <w:r>
              <w:rPr>
                <w:rFonts w:hint="default" w:ascii="Times New Roman" w:hAnsi="Times New Roman" w:eastAsia="宋体" w:cs="Times New Roman"/>
              </w:rPr>
              <w:t>技术资料支持（定制产品除外）。</w:t>
            </w:r>
            <w:r>
              <w:rPr>
                <w:rFonts w:hint="default" w:ascii="Times New Roman" w:hAnsi="Times New Roman" w:eastAsia="宋体" w:cs="Times New Roman"/>
                <w:b w:val="0"/>
                <w:bCs w:val="0"/>
                <w:lang w:val="zh-CN"/>
              </w:rPr>
              <w:t>（以上资料</w:t>
            </w:r>
            <w:r>
              <w:rPr>
                <w:rFonts w:hint="default" w:ascii="Times New Roman" w:hAnsi="Times New Roman" w:eastAsia="宋体" w:cs="Times New Roman"/>
                <w:lang w:val="zh-CN"/>
              </w:rPr>
              <w:t>只要能证明“★”关键参数要求既可，不需全部提供。）</w:t>
            </w:r>
          </w:p>
          <w:p>
            <w:pPr>
              <w:ind w:left="0" w:leftChars="0" w:firstLine="840" w:firstLineChars="400"/>
              <w:rPr>
                <w:rFonts w:hint="eastAsia"/>
                <w:b/>
                <w:bCs/>
                <w:lang w:val="zh-CN"/>
              </w:rPr>
            </w:pPr>
            <w:r>
              <w:rPr>
                <w:rFonts w:hint="eastAsia" w:ascii="Times New Roman" w:hAnsi="Times New Roman" w:eastAsia="宋体" w:cs="Times New Roman"/>
                <w:lang w:val="en-US" w:eastAsia="zh-CN"/>
              </w:rPr>
              <w:t>3.</w:t>
            </w:r>
            <w:r>
              <w:rPr>
                <w:rFonts w:hint="default" w:ascii="Times New Roman" w:hAnsi="Times New Roman" w:eastAsia="宋体" w:cs="Times New Roman"/>
                <w:lang w:val="zh-CN" w:eastAsia="zh-CN"/>
              </w:rPr>
              <w:t>对于采购需求中难以验证、难以评判的指标由制造商出具承诺函即可；对于需要定制、涉及安装调试等客观内容无法提供技术证明资料的部分由投标人出具完全响应的承诺即可（承诺形式包含出具承诺函或技术参数响应偏离表响应无偏离）。</w:t>
            </w:r>
          </w:p>
        </w:tc>
      </w:tr>
    </w:tbl>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59" w:name="_Toc26112"/>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553"/>
      <w:r>
        <w:rPr>
          <w:rFonts w:hint="eastAsia" w:ascii="黑体" w:hAnsi="黑体" w:eastAsia="黑体" w:cs="黑体"/>
          <w:b w:val="0"/>
          <w:bCs/>
          <w:sz w:val="28"/>
          <w:szCs w:val="28"/>
        </w:rPr>
        <w:t>技术要求</w:t>
      </w:r>
      <w:bookmarkEnd w:id="554"/>
      <w:bookmarkEnd w:id="555"/>
      <w:bookmarkEnd w:id="556"/>
      <w:bookmarkEnd w:id="557"/>
      <w:bookmarkEnd w:id="558"/>
      <w:bookmarkEnd w:id="559"/>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700"/>
        <w:gridCol w:w="4482"/>
        <w:gridCol w:w="211"/>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lang w:val="zh-CN" w:eastAsia="zh-CN"/>
              </w:rPr>
            </w:pPr>
            <w:r>
              <w:rPr>
                <w:rFonts w:hint="eastAsia" w:ascii="宋体" w:hAnsi="宋体" w:eastAsia="宋体" w:cs="宋体"/>
                <w:sz w:val="21"/>
                <w:szCs w:val="21"/>
                <w:lang w:val="zh-CN" w:eastAsia="zh-CN"/>
              </w:rPr>
              <w:t>用于骨科脊柱内镜椎间孔镜、双通道手术、显微镜手术及开放手术对骨组织的磨削处理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jc w:val="left"/>
              <w:rPr>
                <w:rFonts w:hint="eastAsia" w:ascii="宋体" w:hAnsi="宋体" w:cs="华文中宋"/>
                <w:b w:val="0"/>
                <w:bCs w:val="0"/>
                <w:szCs w:val="21"/>
                <w:lang w:val="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jc w:val="left"/>
              <w:rPr>
                <w:rFonts w:hint="eastAsia" w:ascii="宋体" w:hAnsi="宋体" w:cs="华文中宋"/>
                <w:b w:val="0"/>
                <w:bCs w:val="0"/>
                <w:szCs w:val="21"/>
                <w:lang w:val="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5"/>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796" w:type="dxa"/>
            <w:noWrap w:val="0"/>
            <w:vAlign w:val="center"/>
          </w:tcPr>
          <w:p>
            <w:pPr>
              <w:jc w:val="center"/>
              <w:rPr>
                <w:rFonts w:ascii="仿宋_GB2312" w:eastAsia="仿宋_GB2312" w:cs="仿宋_GB2312"/>
                <w:szCs w:val="21"/>
              </w:rPr>
            </w:pPr>
            <w:r>
              <w:rPr>
                <w:rFonts w:hint="eastAsia" w:ascii="宋体" w:hAnsi="宋体" w:cs="华文中宋"/>
                <w:b/>
                <w:bCs/>
                <w:szCs w:val="21"/>
                <w:lang w:eastAsia="zh-CN"/>
              </w:rPr>
              <w:t>主要配置或模块名称</w:t>
            </w:r>
          </w:p>
        </w:tc>
        <w:tc>
          <w:tcPr>
            <w:tcW w:w="5182" w:type="dxa"/>
            <w:gridSpan w:val="2"/>
            <w:noWrap w:val="0"/>
            <w:vAlign w:val="center"/>
          </w:tcPr>
          <w:p>
            <w:pPr>
              <w:jc w:val="center"/>
              <w:rPr>
                <w:rFonts w:hint="eastAsia" w:ascii="宋体" w:hAnsi="宋体" w:cs="宋体"/>
                <w:kern w:val="0"/>
                <w:sz w:val="21"/>
                <w:szCs w:val="21"/>
                <w:lang w:val="zh-CN" w:bidi="zh-CN"/>
              </w:rPr>
            </w:pPr>
            <w:r>
              <w:rPr>
                <w:rFonts w:hint="eastAsia" w:ascii="宋体" w:hAnsi="宋体" w:cs="华文中宋"/>
                <w:b/>
                <w:bCs/>
                <w:szCs w:val="21"/>
              </w:rPr>
              <w:t>具体性能与参数要求</w:t>
            </w:r>
          </w:p>
        </w:tc>
        <w:tc>
          <w:tcPr>
            <w:tcW w:w="2405" w:type="dxa"/>
            <w:gridSpan w:val="2"/>
            <w:noWrap w:val="0"/>
            <w:vAlign w:val="center"/>
          </w:tcPr>
          <w:p>
            <w:pPr>
              <w:jc w:val="center"/>
              <w:rPr>
                <w:rFonts w:hint="eastAsia" w:ascii="宋体" w:hAnsi="宋体" w:cs="宋体"/>
                <w:kern w:val="0"/>
                <w:sz w:val="21"/>
                <w:szCs w:val="21"/>
                <w:lang w:val="en-US" w:eastAsia="zh-CN" w:bidi="zh-CN"/>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96" w:type="dxa"/>
            <w:vMerge w:val="restart"/>
            <w:noWrap w:val="0"/>
            <w:vAlign w:val="center"/>
          </w:tcPr>
          <w:p>
            <w:pPr>
              <w:jc w:val="left"/>
              <w:rPr>
                <w:rFonts w:ascii="仿宋_GB2312" w:eastAsia="仿宋_GB2312" w:cs="仿宋_GB2312"/>
                <w:szCs w:val="21"/>
              </w:rPr>
            </w:pPr>
            <w:r>
              <w:rPr>
                <w:rFonts w:hint="eastAsia" w:ascii="宋体" w:hAnsi="宋体" w:eastAsia="宋体" w:cs="宋体"/>
                <w:sz w:val="21"/>
                <w:szCs w:val="21"/>
                <w:lang w:val="en-US" w:eastAsia="zh-CN"/>
              </w:rPr>
              <w:t>主机</w:t>
            </w:r>
          </w:p>
        </w:tc>
        <w:tc>
          <w:tcPr>
            <w:tcW w:w="5182" w:type="dxa"/>
            <w:gridSpan w:val="2"/>
            <w:noWrap w:val="0"/>
            <w:vAlign w:val="center"/>
          </w:tcPr>
          <w:p>
            <w:pPr>
              <w:widowControl w:val="0"/>
              <w:spacing w:line="360" w:lineRule="exact"/>
              <w:jc w:val="left"/>
              <w:rPr>
                <w:rFonts w:hint="eastAsia" w:ascii="宋体" w:hAnsi="宋体" w:cs="宋体"/>
                <w:kern w:val="0"/>
                <w:sz w:val="21"/>
                <w:szCs w:val="21"/>
                <w:lang w:val="zh-CN" w:bidi="zh-CN"/>
              </w:rPr>
            </w:pPr>
            <w:r>
              <w:rPr>
                <w:rFonts w:hint="eastAsia" w:ascii="宋体" w:hAnsi="宋体" w:eastAsia="宋体" w:cs="宋体"/>
                <w:sz w:val="21"/>
                <w:szCs w:val="21"/>
                <w:lang w:val="en-US" w:eastAsia="zh-CN"/>
              </w:rPr>
              <w:t>★1.1液晶屏显示，输入功率≤200VA</w:t>
            </w:r>
          </w:p>
        </w:tc>
        <w:tc>
          <w:tcPr>
            <w:tcW w:w="2405" w:type="dxa"/>
            <w:gridSpan w:val="2"/>
            <w:noWrap w:val="0"/>
            <w:vAlign w:val="center"/>
          </w:tcPr>
          <w:p>
            <w:pPr>
              <w:jc w:val="center"/>
              <w:rPr>
                <w:rFonts w:hint="eastAsia" w:ascii="宋体" w:hAnsi="宋体" w:cs="宋体"/>
                <w:kern w:val="0"/>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96" w:type="dxa"/>
            <w:vMerge w:val="continue"/>
            <w:noWrap w:val="0"/>
            <w:vAlign w:val="center"/>
          </w:tcPr>
          <w:p>
            <w:pPr>
              <w:jc w:val="left"/>
              <w:rPr>
                <w:rFonts w:ascii="仿宋_GB2312" w:eastAsia="仿宋_GB2312" w:cs="仿宋_GB2312"/>
                <w:szCs w:val="21"/>
              </w:rPr>
            </w:pPr>
          </w:p>
        </w:tc>
        <w:tc>
          <w:tcPr>
            <w:tcW w:w="5182" w:type="dxa"/>
            <w:gridSpan w:val="2"/>
            <w:noWrap w:val="0"/>
            <w:vAlign w:val="center"/>
          </w:tcPr>
          <w:p>
            <w:pPr>
              <w:widowControl w:val="0"/>
              <w:spacing w:line="360" w:lineRule="exact"/>
              <w:jc w:val="left"/>
              <w:rPr>
                <w:rFonts w:hint="eastAsia" w:ascii="宋体" w:hAnsi="宋体" w:cs="宋体"/>
                <w:kern w:val="0"/>
                <w:sz w:val="21"/>
                <w:szCs w:val="21"/>
                <w:lang w:val="zh-CN" w:bidi="zh-CN"/>
              </w:rPr>
            </w:pPr>
            <w:r>
              <w:rPr>
                <w:rFonts w:hint="eastAsia" w:ascii="宋体" w:hAnsi="宋体" w:eastAsia="宋体" w:cs="宋体"/>
                <w:sz w:val="21"/>
                <w:szCs w:val="21"/>
                <w:lang w:val="en-US" w:eastAsia="zh-CN"/>
              </w:rPr>
              <w:t>1.2微电脑控制，具有手柄、脚踏连接故障诊断功能，转速可调</w:t>
            </w:r>
          </w:p>
        </w:tc>
        <w:tc>
          <w:tcPr>
            <w:tcW w:w="2405" w:type="dxa"/>
            <w:gridSpan w:val="2"/>
            <w:noWrap w:val="0"/>
            <w:vAlign w:val="center"/>
          </w:tcPr>
          <w:p>
            <w:pPr>
              <w:jc w:val="center"/>
              <w:rPr>
                <w:rFonts w:hint="eastAsia" w:ascii="宋体" w:hAnsi="宋体" w:cs="宋体"/>
                <w:kern w:val="0"/>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96" w:type="dxa"/>
            <w:noWrap w:val="0"/>
            <w:vAlign w:val="center"/>
          </w:tcPr>
          <w:p>
            <w:pPr>
              <w:widowControl w:val="0"/>
              <w:spacing w:line="360" w:lineRule="exact"/>
              <w:jc w:val="left"/>
              <w:rPr>
                <w:rFonts w:ascii="仿宋_GB2312" w:eastAsia="仿宋_GB2312" w:cs="仿宋_GB2312"/>
                <w:szCs w:val="21"/>
              </w:rPr>
            </w:pPr>
            <w:r>
              <w:rPr>
                <w:rFonts w:hint="eastAsia" w:ascii="宋体" w:hAnsi="宋体" w:eastAsia="宋体" w:cs="宋体"/>
                <w:sz w:val="21"/>
                <w:szCs w:val="21"/>
                <w:lang w:val="en-US" w:eastAsia="zh-CN"/>
              </w:rPr>
              <w:t>脚踏开关</w:t>
            </w:r>
          </w:p>
        </w:tc>
        <w:tc>
          <w:tcPr>
            <w:tcW w:w="5182" w:type="dxa"/>
            <w:gridSpan w:val="2"/>
            <w:noWrap w:val="0"/>
            <w:vAlign w:val="center"/>
          </w:tcPr>
          <w:p>
            <w:pPr>
              <w:widowControl w:val="0"/>
              <w:spacing w:line="360" w:lineRule="exact"/>
              <w:jc w:val="left"/>
              <w:rPr>
                <w:rFonts w:hint="eastAsia" w:ascii="宋体" w:hAnsi="宋体" w:cs="宋体"/>
                <w:kern w:val="0"/>
                <w:sz w:val="21"/>
                <w:szCs w:val="21"/>
                <w:lang w:val="zh-CN" w:bidi="zh-CN"/>
              </w:rPr>
            </w:pPr>
            <w:r>
              <w:rPr>
                <w:rFonts w:hint="eastAsia" w:ascii="宋体" w:hAnsi="宋体" w:eastAsia="宋体" w:cs="宋体"/>
                <w:sz w:val="21"/>
                <w:szCs w:val="21"/>
                <w:lang w:val="en-US" w:eastAsia="zh-CN"/>
              </w:rPr>
              <w:t>★2.防水等级≥IPX8，无极调速</w:t>
            </w:r>
          </w:p>
        </w:tc>
        <w:tc>
          <w:tcPr>
            <w:tcW w:w="2405" w:type="dxa"/>
            <w:gridSpan w:val="2"/>
            <w:noWrap w:val="0"/>
            <w:vAlign w:val="center"/>
          </w:tcPr>
          <w:p>
            <w:pPr>
              <w:jc w:val="center"/>
              <w:rPr>
                <w:rFonts w:hint="eastAsia" w:ascii="宋体" w:hAnsi="宋体" w:cs="宋体"/>
                <w:kern w:val="0"/>
                <w:sz w:val="21"/>
                <w:szCs w:val="21"/>
                <w:lang w:val="en-US" w:eastAsia="zh-CN" w:bidi="zh-CN"/>
              </w:rPr>
            </w:pPr>
            <w:r>
              <w:rPr>
                <w:rFonts w:hint="eastAsia" w:ascii="宋体" w:hAnsi="宋体" w:eastAsia="宋体" w:cs="宋体"/>
                <w:sz w:val="21"/>
                <w:szCs w:val="21"/>
                <w:lang w:val="en-US" w:eastAsia="zh-CN"/>
              </w:rPr>
              <w:t>越高越好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96" w:type="dxa"/>
            <w:vMerge w:val="restart"/>
            <w:noWrap w:val="0"/>
            <w:vAlign w:val="center"/>
          </w:tcPr>
          <w:p>
            <w:pPr>
              <w:widowControl w:val="0"/>
              <w:spacing w:line="360" w:lineRule="exact"/>
              <w:jc w:val="left"/>
              <w:rPr>
                <w:rFonts w:ascii="仿宋_GB2312" w:eastAsia="仿宋_GB2312" w:cs="仿宋_GB2312"/>
                <w:szCs w:val="21"/>
              </w:rPr>
            </w:pPr>
            <w:r>
              <w:rPr>
                <w:rFonts w:hint="eastAsia" w:ascii="宋体" w:hAnsi="宋体" w:eastAsia="宋体" w:cs="宋体"/>
                <w:sz w:val="21"/>
                <w:szCs w:val="21"/>
                <w:lang w:val="en-US" w:eastAsia="zh-CN"/>
              </w:rPr>
              <w:t>通用磨钻手柄</w:t>
            </w:r>
          </w:p>
        </w:tc>
        <w:tc>
          <w:tcPr>
            <w:tcW w:w="5182" w:type="dxa"/>
            <w:gridSpan w:val="2"/>
            <w:noWrap w:val="0"/>
            <w:vAlign w:val="center"/>
          </w:tcPr>
          <w:p>
            <w:pPr>
              <w:widowControl w:val="0"/>
              <w:spacing w:line="360" w:lineRule="exact"/>
              <w:jc w:val="left"/>
              <w:rPr>
                <w:rFonts w:hint="eastAsia" w:ascii="宋体" w:hAnsi="宋体" w:cs="宋体"/>
                <w:kern w:val="0"/>
                <w:sz w:val="21"/>
                <w:szCs w:val="21"/>
                <w:lang w:val="zh-CN" w:bidi="zh-CN"/>
              </w:rPr>
            </w:pPr>
            <w:r>
              <w:rPr>
                <w:rFonts w:hint="eastAsia" w:ascii="宋体" w:hAnsi="宋体" w:eastAsia="宋体" w:cs="宋体"/>
                <w:sz w:val="21"/>
                <w:szCs w:val="21"/>
                <w:lang w:val="en-US" w:eastAsia="zh-CN"/>
              </w:rPr>
              <w:t>3.1转速≥50000r/min；外径≤19mm，主体长度≤90mm</w:t>
            </w:r>
          </w:p>
        </w:tc>
        <w:tc>
          <w:tcPr>
            <w:tcW w:w="2405" w:type="dxa"/>
            <w:gridSpan w:val="2"/>
            <w:noWrap w:val="0"/>
            <w:vAlign w:val="center"/>
          </w:tcPr>
          <w:p>
            <w:pPr>
              <w:jc w:val="center"/>
              <w:rPr>
                <w:rFonts w:hint="eastAsia" w:ascii="宋体" w:hAnsi="宋体" w:cs="宋体"/>
                <w:kern w:val="0"/>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96" w:type="dxa"/>
            <w:vMerge w:val="continue"/>
            <w:noWrap w:val="0"/>
            <w:vAlign w:val="center"/>
          </w:tcPr>
          <w:p>
            <w:pPr>
              <w:jc w:val="left"/>
              <w:rPr>
                <w:rFonts w:ascii="仿宋_GB2312" w:eastAsia="仿宋_GB2312" w:cs="仿宋_GB2312"/>
                <w:szCs w:val="21"/>
              </w:rPr>
            </w:pPr>
          </w:p>
        </w:tc>
        <w:tc>
          <w:tcPr>
            <w:tcW w:w="5182" w:type="dxa"/>
            <w:gridSpan w:val="2"/>
            <w:noWrap w:val="0"/>
            <w:vAlign w:val="center"/>
          </w:tcPr>
          <w:p>
            <w:pPr>
              <w:widowControl w:val="0"/>
              <w:spacing w:line="360" w:lineRule="exact"/>
              <w:jc w:val="left"/>
              <w:rPr>
                <w:rFonts w:hint="eastAsia" w:ascii="宋体" w:hAnsi="宋体" w:cs="宋体"/>
                <w:kern w:val="0"/>
                <w:sz w:val="21"/>
                <w:szCs w:val="21"/>
                <w:lang w:val="zh-CN" w:bidi="zh-CN"/>
              </w:rPr>
            </w:pPr>
            <w:r>
              <w:rPr>
                <w:rFonts w:hint="eastAsia" w:ascii="宋体" w:hAnsi="宋体" w:eastAsia="宋体" w:cs="宋体"/>
                <w:sz w:val="21"/>
                <w:szCs w:val="21"/>
                <w:lang w:val="en-US" w:eastAsia="zh-CN"/>
              </w:rPr>
              <w:t>3.2手柄可高温灭菌</w:t>
            </w:r>
          </w:p>
        </w:tc>
        <w:tc>
          <w:tcPr>
            <w:tcW w:w="2405" w:type="dxa"/>
            <w:gridSpan w:val="2"/>
            <w:noWrap w:val="0"/>
            <w:vAlign w:val="center"/>
          </w:tcPr>
          <w:p>
            <w:pPr>
              <w:jc w:val="center"/>
              <w:rPr>
                <w:rFonts w:hint="eastAsia" w:ascii="宋体" w:hAnsi="宋体" w:cs="宋体"/>
                <w:kern w:val="0"/>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96" w:type="dxa"/>
            <w:vMerge w:val="continue"/>
            <w:noWrap w:val="0"/>
            <w:vAlign w:val="center"/>
          </w:tcPr>
          <w:p>
            <w:pPr>
              <w:jc w:val="left"/>
              <w:rPr>
                <w:rFonts w:ascii="仿宋_GB2312" w:eastAsia="仿宋_GB2312" w:cs="仿宋_GB2312"/>
                <w:szCs w:val="21"/>
              </w:rPr>
            </w:pPr>
          </w:p>
        </w:tc>
        <w:tc>
          <w:tcPr>
            <w:tcW w:w="5182" w:type="dxa"/>
            <w:gridSpan w:val="2"/>
            <w:noWrap w:val="0"/>
            <w:vAlign w:val="center"/>
          </w:tcPr>
          <w:p>
            <w:pPr>
              <w:widowControl w:val="0"/>
              <w:spacing w:line="360" w:lineRule="exact"/>
              <w:jc w:val="left"/>
              <w:rPr>
                <w:rFonts w:hint="eastAsia" w:ascii="宋体" w:hAnsi="宋体" w:cs="宋体"/>
                <w:kern w:val="0"/>
                <w:sz w:val="21"/>
                <w:szCs w:val="21"/>
                <w:lang w:val="zh-CN" w:bidi="zh-CN"/>
              </w:rPr>
            </w:pPr>
            <w:r>
              <w:rPr>
                <w:rFonts w:hint="eastAsia" w:ascii="宋体" w:hAnsi="宋体" w:eastAsia="宋体" w:cs="宋体"/>
                <w:sz w:val="21"/>
                <w:szCs w:val="21"/>
                <w:lang w:val="en-US" w:eastAsia="zh-CN"/>
              </w:rPr>
              <w:t>3.3手柄内注水水冷结构，长时间使用，手柄不发热</w:t>
            </w:r>
          </w:p>
        </w:tc>
        <w:tc>
          <w:tcPr>
            <w:tcW w:w="2405" w:type="dxa"/>
            <w:gridSpan w:val="2"/>
            <w:noWrap w:val="0"/>
            <w:vAlign w:val="center"/>
          </w:tcPr>
          <w:p>
            <w:pPr>
              <w:jc w:val="center"/>
              <w:rPr>
                <w:rFonts w:hint="eastAsia" w:ascii="宋体" w:hAnsi="宋体" w:cs="宋体"/>
                <w:kern w:val="0"/>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96" w:type="dxa"/>
            <w:vMerge w:val="restart"/>
            <w:noWrap w:val="0"/>
            <w:vAlign w:val="center"/>
          </w:tcPr>
          <w:p>
            <w:pPr>
              <w:jc w:val="left"/>
              <w:rPr>
                <w:rFonts w:ascii="仿宋_GB2312" w:eastAsia="仿宋_GB2312" w:cs="仿宋_GB2312"/>
                <w:szCs w:val="21"/>
              </w:rPr>
            </w:pPr>
            <w:r>
              <w:rPr>
                <w:rFonts w:hint="eastAsia" w:ascii="宋体" w:hAnsi="宋体" w:eastAsia="宋体" w:cs="宋体"/>
                <w:sz w:val="21"/>
                <w:szCs w:val="21"/>
                <w:lang w:val="en-US" w:eastAsia="zh-CN"/>
              </w:rPr>
              <w:t>脊柱磨钻手柄</w:t>
            </w:r>
          </w:p>
        </w:tc>
        <w:tc>
          <w:tcPr>
            <w:tcW w:w="5182" w:type="dxa"/>
            <w:gridSpan w:val="2"/>
            <w:noWrap w:val="0"/>
            <w:vAlign w:val="center"/>
          </w:tcPr>
          <w:p>
            <w:pPr>
              <w:widowControl w:val="0"/>
              <w:spacing w:line="360" w:lineRule="exact"/>
              <w:jc w:val="left"/>
              <w:rPr>
                <w:rFonts w:hint="eastAsia" w:ascii="宋体" w:hAnsi="宋体" w:cs="宋体"/>
                <w:kern w:val="0"/>
                <w:sz w:val="21"/>
                <w:szCs w:val="21"/>
                <w:lang w:val="zh-CN" w:bidi="zh-CN"/>
              </w:rPr>
            </w:pPr>
            <w:r>
              <w:rPr>
                <w:rFonts w:hint="eastAsia" w:ascii="宋体" w:hAnsi="宋体" w:eastAsia="宋体" w:cs="宋体"/>
                <w:sz w:val="21"/>
                <w:szCs w:val="21"/>
                <w:lang w:val="en-US" w:eastAsia="zh-CN"/>
              </w:rPr>
              <w:t>4.1转速≥28000r/min；外径≤22mm，主体长度≤130mm</w:t>
            </w:r>
          </w:p>
        </w:tc>
        <w:tc>
          <w:tcPr>
            <w:tcW w:w="2405" w:type="dxa"/>
            <w:gridSpan w:val="2"/>
            <w:noWrap w:val="0"/>
            <w:vAlign w:val="center"/>
          </w:tcPr>
          <w:p>
            <w:pPr>
              <w:jc w:val="center"/>
              <w:rPr>
                <w:rFonts w:hint="eastAsia" w:ascii="宋体" w:hAnsi="宋体" w:cs="宋体"/>
                <w:kern w:val="0"/>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96" w:type="dxa"/>
            <w:vMerge w:val="continue"/>
            <w:noWrap w:val="0"/>
            <w:vAlign w:val="center"/>
          </w:tcPr>
          <w:p>
            <w:pPr>
              <w:jc w:val="left"/>
              <w:rPr>
                <w:rFonts w:ascii="仿宋_GB2312" w:eastAsia="仿宋_GB2312" w:cs="仿宋_GB2312"/>
                <w:szCs w:val="21"/>
              </w:rPr>
            </w:pPr>
          </w:p>
        </w:tc>
        <w:tc>
          <w:tcPr>
            <w:tcW w:w="5182" w:type="dxa"/>
            <w:gridSpan w:val="2"/>
            <w:noWrap w:val="0"/>
            <w:vAlign w:val="center"/>
          </w:tcPr>
          <w:p>
            <w:pPr>
              <w:widowControl w:val="0"/>
              <w:spacing w:line="360" w:lineRule="exact"/>
              <w:jc w:val="left"/>
              <w:rPr>
                <w:rFonts w:hint="eastAsia" w:ascii="宋体" w:hAnsi="宋体" w:cs="宋体"/>
                <w:kern w:val="0"/>
                <w:sz w:val="21"/>
                <w:szCs w:val="21"/>
                <w:lang w:val="zh-CN" w:bidi="zh-CN"/>
              </w:rPr>
            </w:pPr>
            <w:r>
              <w:rPr>
                <w:rFonts w:hint="eastAsia" w:ascii="宋体" w:hAnsi="宋体" w:eastAsia="宋体" w:cs="宋体"/>
                <w:sz w:val="21"/>
                <w:szCs w:val="21"/>
                <w:lang w:val="en-US" w:eastAsia="zh-CN"/>
              </w:rPr>
              <w:t>4.2手柄可高压灭菌</w:t>
            </w:r>
          </w:p>
        </w:tc>
        <w:tc>
          <w:tcPr>
            <w:tcW w:w="2405" w:type="dxa"/>
            <w:gridSpan w:val="2"/>
            <w:noWrap w:val="0"/>
            <w:vAlign w:val="center"/>
          </w:tcPr>
          <w:p>
            <w:pPr>
              <w:jc w:val="center"/>
              <w:rPr>
                <w:rFonts w:hint="eastAsia" w:ascii="宋体" w:hAnsi="宋体" w:cs="宋体"/>
                <w:kern w:val="0"/>
                <w:sz w:val="21"/>
                <w:szCs w:val="21"/>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383" w:type="dxa"/>
            <w:gridSpan w:val="5"/>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4"/>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单台设备配置清单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widowControl w:val="0"/>
              <w:spacing w:line="360" w:lineRule="exact"/>
              <w:jc w:val="center"/>
              <w:rPr>
                <w:rFonts w:hint="eastAsia" w:ascii="宋体" w:hAnsi="宋体" w:eastAsia="宋体" w:cs="宋体"/>
                <w:kern w:val="0"/>
                <w:sz w:val="21"/>
                <w:szCs w:val="21"/>
                <w:lang w:val="zh-CN" w:eastAsia="zh-CN" w:bidi="zh-CN"/>
              </w:rPr>
            </w:pPr>
            <w:r>
              <w:rPr>
                <w:rFonts w:hint="eastAsia" w:ascii="宋体" w:hAnsi="宋体" w:eastAsia="宋体" w:cs="宋体"/>
                <w:sz w:val="21"/>
                <w:szCs w:val="21"/>
                <w:lang w:val="en-US" w:eastAsia="zh-CN"/>
              </w:rPr>
              <w:t>主机</w:t>
            </w:r>
          </w:p>
        </w:tc>
        <w:tc>
          <w:tcPr>
            <w:tcW w:w="2194" w:type="dxa"/>
            <w:noWrap w:val="0"/>
            <w:vAlign w:val="center"/>
          </w:tcPr>
          <w:p>
            <w:pPr>
              <w:widowControl w:val="0"/>
              <w:spacing w:line="360" w:lineRule="exact"/>
              <w:jc w:val="center"/>
              <w:rPr>
                <w:rFonts w:ascii="宋体" w:hAnsi="宋体" w:eastAsia="宋体" w:cs="宋体"/>
                <w:kern w:val="0"/>
                <w:sz w:val="21"/>
                <w:szCs w:val="21"/>
                <w:lang w:val="zh-CN" w:eastAsia="zh-CN" w:bidi="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widowControl w:val="0"/>
              <w:spacing w:line="360" w:lineRule="exact"/>
              <w:jc w:val="center"/>
              <w:rPr>
                <w:rFonts w:hint="eastAsia" w:ascii="宋体" w:hAnsi="宋体" w:cs="宋体"/>
                <w:sz w:val="21"/>
                <w:szCs w:val="21"/>
                <w:lang w:val="en-US" w:eastAsia="zh-CN"/>
              </w:rPr>
            </w:pPr>
            <w:r>
              <w:rPr>
                <w:rFonts w:hint="eastAsia" w:ascii="宋体" w:hAnsi="宋体" w:eastAsia="宋体" w:cs="宋体"/>
                <w:sz w:val="21"/>
                <w:szCs w:val="21"/>
                <w:lang w:val="en-US" w:eastAsia="zh-CN"/>
              </w:rPr>
              <w:t>脚踏开关</w:t>
            </w:r>
          </w:p>
        </w:tc>
        <w:tc>
          <w:tcPr>
            <w:tcW w:w="2194" w:type="dxa"/>
            <w:noWrap w:val="0"/>
            <w:vAlign w:val="center"/>
          </w:tcPr>
          <w:p>
            <w:pPr>
              <w:widowControl w:val="0"/>
              <w:spacing w:line="360" w:lineRule="exact"/>
              <w:jc w:val="center"/>
              <w:rPr>
                <w:rFonts w:ascii="宋体" w:hAnsi="宋体" w:eastAsia="宋体" w:cs="宋体"/>
                <w:kern w:val="0"/>
                <w:sz w:val="21"/>
                <w:szCs w:val="21"/>
                <w:lang w:val="zh-CN" w:eastAsia="zh-CN" w:bidi="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widowControl w:val="0"/>
              <w:spacing w:line="360" w:lineRule="exact"/>
              <w:jc w:val="center"/>
              <w:rPr>
                <w:rFonts w:hint="eastAsia" w:ascii="宋体" w:hAnsi="宋体" w:cs="宋体"/>
                <w:sz w:val="21"/>
                <w:szCs w:val="21"/>
                <w:lang w:eastAsia="zh-CN"/>
              </w:rPr>
            </w:pPr>
            <w:r>
              <w:rPr>
                <w:rFonts w:hint="eastAsia" w:ascii="宋体" w:hAnsi="宋体" w:eastAsia="宋体" w:cs="宋体"/>
                <w:sz w:val="21"/>
                <w:szCs w:val="21"/>
                <w:lang w:val="en-US" w:eastAsia="zh-CN"/>
              </w:rPr>
              <w:t>通用磨钻手柄</w:t>
            </w:r>
          </w:p>
        </w:tc>
        <w:tc>
          <w:tcPr>
            <w:tcW w:w="2194" w:type="dxa"/>
            <w:noWrap w:val="0"/>
            <w:vAlign w:val="center"/>
          </w:tcPr>
          <w:p>
            <w:pPr>
              <w:widowControl w:val="0"/>
              <w:spacing w:line="360" w:lineRule="exact"/>
              <w:jc w:val="center"/>
              <w:rPr>
                <w:rFonts w:hint="default" w:ascii="宋体" w:hAnsi="宋体" w:cs="宋体"/>
                <w:kern w:val="0"/>
                <w:sz w:val="21"/>
                <w:szCs w:val="21"/>
                <w:lang w:val="en-US" w:bidi="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widowControl w:val="0"/>
              <w:spacing w:line="360" w:lineRule="exact"/>
              <w:jc w:val="center"/>
              <w:rPr>
                <w:rFonts w:hint="eastAsia" w:ascii="宋体" w:hAnsi="宋体" w:cs="宋体"/>
                <w:sz w:val="21"/>
                <w:szCs w:val="21"/>
                <w:lang w:val="zh-CN" w:eastAsia="zh-CN"/>
              </w:rPr>
            </w:pPr>
            <w:r>
              <w:rPr>
                <w:rFonts w:hint="eastAsia" w:ascii="宋体" w:hAnsi="宋体" w:eastAsia="宋体" w:cs="宋体"/>
                <w:sz w:val="21"/>
                <w:szCs w:val="21"/>
                <w:lang w:val="en-US" w:eastAsia="zh-CN"/>
              </w:rPr>
              <w:t>脊柱磨钻手柄</w:t>
            </w:r>
          </w:p>
        </w:tc>
        <w:tc>
          <w:tcPr>
            <w:tcW w:w="2194" w:type="dxa"/>
            <w:noWrap w:val="0"/>
            <w:vAlign w:val="center"/>
          </w:tcPr>
          <w:p>
            <w:pPr>
              <w:widowControl w:val="0"/>
              <w:spacing w:line="360" w:lineRule="exact"/>
              <w:jc w:val="center"/>
              <w:rPr>
                <w:rFonts w:ascii="宋体" w:hAnsi="宋体" w:eastAsia="宋体" w:cs="宋体"/>
                <w:kern w:val="0"/>
                <w:sz w:val="21"/>
                <w:szCs w:val="21"/>
                <w:lang w:val="zh-CN" w:eastAsia="zh-CN" w:bidi="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widowControl w:val="0"/>
              <w:spacing w:line="360" w:lineRule="exact"/>
              <w:jc w:val="center"/>
              <w:rPr>
                <w:rFonts w:hint="eastAsia" w:ascii="宋体" w:hAnsi="宋体" w:cs="宋体"/>
                <w:sz w:val="21"/>
                <w:szCs w:val="21"/>
                <w:lang w:val="zh-CN" w:eastAsia="zh-CN"/>
              </w:rPr>
            </w:pPr>
            <w:r>
              <w:rPr>
                <w:rFonts w:hint="eastAsia" w:ascii="宋体" w:hAnsi="宋体" w:eastAsia="宋体" w:cs="宋体"/>
                <w:sz w:val="21"/>
                <w:szCs w:val="21"/>
                <w:lang w:val="en-US" w:eastAsia="zh-CN"/>
              </w:rPr>
              <w:t>一次性无菌往复磨铣刀头</w:t>
            </w:r>
          </w:p>
        </w:tc>
        <w:tc>
          <w:tcPr>
            <w:tcW w:w="2194" w:type="dxa"/>
            <w:noWrap w:val="0"/>
            <w:vAlign w:val="center"/>
          </w:tcPr>
          <w:p>
            <w:pPr>
              <w:widowControl w:val="0"/>
              <w:spacing w:line="360" w:lineRule="exact"/>
              <w:jc w:val="center"/>
              <w:rPr>
                <w:rFonts w:hint="eastAsia" w:ascii="宋体" w:hAnsi="宋体" w:cs="宋体"/>
                <w:kern w:val="0"/>
                <w:sz w:val="21"/>
                <w:szCs w:val="21"/>
                <w:lang w:val="en-US" w:bidi="zh-CN"/>
              </w:rPr>
            </w:pPr>
            <w:r>
              <w:rPr>
                <w:rFonts w:hint="eastAsia" w:ascii="宋体" w:hAnsi="宋体" w:cs="宋体"/>
                <w:sz w:val="21"/>
                <w:szCs w:val="21"/>
                <w:lang w:val="en-US" w:eastAsia="zh-CN"/>
              </w:rPr>
              <w:t>3支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widowControl w:val="0"/>
              <w:spacing w:line="360" w:lineRule="exact"/>
              <w:jc w:val="center"/>
              <w:rPr>
                <w:rFonts w:hint="eastAsia" w:ascii="宋体" w:hAnsi="宋体" w:cs="宋体"/>
                <w:sz w:val="21"/>
                <w:szCs w:val="21"/>
                <w:lang w:val="zh-CN" w:eastAsia="zh-CN"/>
              </w:rPr>
            </w:pPr>
            <w:r>
              <w:rPr>
                <w:rFonts w:hint="eastAsia" w:ascii="宋体" w:hAnsi="宋体" w:eastAsia="宋体" w:cs="宋体"/>
                <w:sz w:val="21"/>
                <w:szCs w:val="21"/>
                <w:lang w:val="en-US" w:eastAsia="zh-CN"/>
              </w:rPr>
              <w:t>一次性无菌微创脊柱钻头</w:t>
            </w:r>
          </w:p>
        </w:tc>
        <w:tc>
          <w:tcPr>
            <w:tcW w:w="2194" w:type="dxa"/>
            <w:noWrap w:val="0"/>
            <w:vAlign w:val="center"/>
          </w:tcPr>
          <w:p>
            <w:pPr>
              <w:widowControl w:val="0"/>
              <w:spacing w:line="360" w:lineRule="exact"/>
              <w:jc w:val="center"/>
              <w:rPr>
                <w:rFonts w:hint="eastAsia" w:ascii="宋体" w:hAnsi="宋体" w:eastAsia="宋体" w:cs="宋体"/>
                <w:kern w:val="0"/>
                <w:sz w:val="21"/>
                <w:szCs w:val="21"/>
                <w:lang w:val="en-US" w:eastAsia="zh-CN" w:bidi="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widowControl w:val="0"/>
              <w:spacing w:line="360" w:lineRule="exact"/>
              <w:jc w:val="center"/>
              <w:rPr>
                <w:rFonts w:hint="eastAsia" w:ascii="宋体" w:hAnsi="宋体" w:cs="宋体"/>
                <w:sz w:val="21"/>
                <w:szCs w:val="21"/>
                <w:lang w:val="zh-CN" w:eastAsia="zh-CN"/>
              </w:rPr>
            </w:pPr>
            <w:r>
              <w:rPr>
                <w:rFonts w:hint="eastAsia" w:ascii="宋体" w:hAnsi="宋体" w:eastAsia="宋体" w:cs="宋体"/>
                <w:sz w:val="21"/>
                <w:szCs w:val="21"/>
                <w:lang w:val="en-US" w:eastAsia="zh-CN"/>
              </w:rPr>
              <w:t>一次性无菌磨钻头</w:t>
            </w:r>
          </w:p>
        </w:tc>
        <w:tc>
          <w:tcPr>
            <w:tcW w:w="2194" w:type="dxa"/>
            <w:noWrap w:val="0"/>
            <w:vAlign w:val="center"/>
          </w:tcPr>
          <w:p>
            <w:pPr>
              <w:widowControl w:val="0"/>
              <w:spacing w:line="360" w:lineRule="exact"/>
              <w:jc w:val="center"/>
              <w:rPr>
                <w:rFonts w:hint="default" w:ascii="宋体" w:hAnsi="宋体" w:cs="宋体"/>
                <w:kern w:val="0"/>
                <w:sz w:val="21"/>
                <w:szCs w:val="21"/>
                <w:lang w:val="en-US" w:bidi="zh-CN"/>
              </w:rPr>
            </w:pPr>
            <w:r>
              <w:rPr>
                <w:rFonts w:hint="eastAsia" w:ascii="宋体" w:hAnsi="宋体" w:cs="宋体"/>
                <w:kern w:val="0"/>
                <w:sz w:val="21"/>
                <w:szCs w:val="21"/>
                <w:lang w:val="en-US" w:bidi="zh-CN"/>
              </w:rPr>
              <w:t>3支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widowControl w:val="0"/>
              <w:spacing w:line="360" w:lineRule="exact"/>
              <w:jc w:val="center"/>
              <w:rPr>
                <w:rFonts w:hint="eastAsia" w:ascii="宋体" w:hAnsi="宋体" w:cs="宋体"/>
                <w:sz w:val="21"/>
                <w:szCs w:val="21"/>
                <w:lang w:val="zh-CN" w:eastAsia="zh-CN"/>
              </w:rPr>
            </w:pPr>
            <w:r>
              <w:rPr>
                <w:rFonts w:hint="eastAsia" w:ascii="宋体" w:hAnsi="宋体" w:eastAsia="宋体" w:cs="宋体"/>
                <w:sz w:val="21"/>
                <w:szCs w:val="21"/>
                <w:lang w:val="en-US" w:eastAsia="zh-CN"/>
              </w:rPr>
              <w:t>一次性无菌骨锯片</w:t>
            </w:r>
          </w:p>
        </w:tc>
        <w:tc>
          <w:tcPr>
            <w:tcW w:w="2194" w:type="dxa"/>
            <w:noWrap w:val="0"/>
            <w:vAlign w:val="center"/>
          </w:tcPr>
          <w:p>
            <w:pPr>
              <w:widowControl w:val="0"/>
              <w:spacing w:line="360" w:lineRule="exact"/>
              <w:jc w:val="center"/>
              <w:rPr>
                <w:rFonts w:hint="default" w:ascii="宋体" w:hAnsi="宋体" w:cs="宋体"/>
                <w:kern w:val="0"/>
                <w:sz w:val="21"/>
                <w:szCs w:val="21"/>
                <w:lang w:val="en-US" w:bidi="zh-CN"/>
              </w:rPr>
            </w:pPr>
            <w:r>
              <w:rPr>
                <w:rFonts w:hint="eastAsia" w:ascii="宋体" w:hAnsi="宋体" w:cs="宋体"/>
                <w:kern w:val="0"/>
                <w:sz w:val="21"/>
                <w:szCs w:val="21"/>
                <w:lang w:val="en-US" w:bidi="zh-CN"/>
              </w:rPr>
              <w:t>3支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5"/>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17"/>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159"/>
        <w:spacing w:line="560" w:lineRule="exact"/>
        <w:ind w:firstLine="0" w:firstLineChars="0"/>
        <w:rPr>
          <w:rFonts w:hint="eastAsia" w:ascii="仿宋_GB2312" w:hAnsi="仿宋_GB2312" w:eastAsia="仿宋_GB2312" w:cs="仿宋_GB2312"/>
          <w:b/>
          <w:bCs/>
          <w:sz w:val="28"/>
          <w:szCs w:val="28"/>
          <w:lang w:val="zh-CN"/>
        </w:rPr>
      </w:pPr>
      <w:bookmarkStart w:id="560" w:name="_Toc22387"/>
      <w:bookmarkStart w:id="561" w:name="_Toc189"/>
      <w:r>
        <w:rPr>
          <w:rFonts w:hint="eastAsia" w:ascii="仿宋_GB2312" w:hAnsi="仿宋_GB2312" w:eastAsia="仿宋_GB2312" w:cs="仿宋_GB2312"/>
          <w:b/>
          <w:bCs/>
          <w:sz w:val="28"/>
          <w:szCs w:val="28"/>
          <w:lang w:val="zh-CN"/>
        </w:rPr>
        <w:t>强调：</w:t>
      </w:r>
    </w:p>
    <w:p>
      <w:pPr>
        <w:pStyle w:val="159"/>
        <w:spacing w:line="560" w:lineRule="exact"/>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b w:val="0"/>
          <w:bCs w:val="0"/>
          <w:sz w:val="28"/>
          <w:szCs w:val="28"/>
          <w:lang w:val="en-US" w:eastAsia="zh-CN"/>
        </w:rPr>
        <w:t>1.</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人须提供与</w:t>
      </w:r>
      <w:r>
        <w:rPr>
          <w:rFonts w:hint="eastAsia" w:ascii="仿宋_GB2312" w:hAnsi="仿宋_GB2312" w:cs="仿宋_GB2312"/>
          <w:sz w:val="28"/>
          <w:szCs w:val="28"/>
          <w:lang w:val="zh-CN"/>
        </w:rPr>
        <w:t>报价</w:t>
      </w:r>
      <w:r>
        <w:rPr>
          <w:rFonts w:hint="eastAsia" w:ascii="仿宋_GB2312" w:hAnsi="仿宋_GB2312" w:eastAsia="仿宋_GB2312" w:cs="仿宋_GB2312"/>
          <w:sz w:val="28"/>
          <w:szCs w:val="28"/>
          <w:lang w:val="zh-CN"/>
        </w:rPr>
        <w:t>货物品牌、规格型号相一致的技术支持资料，并按本《</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文件》“第三章/附件2-5”的格式要求制作“技术指标参数响应偏离表”。各种技术证明资料相互矛盾的，以“《医疗器械注册证》产品技术要求附件”为准，如“《医疗器械注册证》产品技术要求附件”不能证明的，以检验（检测）报告为准。</w:t>
      </w:r>
    </w:p>
    <w:p>
      <w:pPr>
        <w:pStyle w:val="159"/>
        <w:spacing w:line="560" w:lineRule="exact"/>
        <w:ind w:firstLine="562"/>
        <w:rPr>
          <w:rFonts w:hint="eastAsia" w:ascii="黑体" w:hAnsi="黑体" w:eastAsia="黑体" w:cs="黑体"/>
          <w:b w:val="0"/>
          <w:bCs/>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投标人技术参数响应情况将做入合同附件，技术支持材料真实性由投标人负责，如在履约过程中发现未按照响应的技术参数供货将依规严肃追究责任。</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lang w:val="zh-CN" w:eastAsia="zh-CN"/>
        </w:rPr>
      </w:pPr>
      <w:bookmarkStart w:id="562" w:name="_Toc7340"/>
      <w:bookmarkStart w:id="563" w:name="_Toc14576"/>
      <w:bookmarkStart w:id="564" w:name="_Toc5369"/>
      <w:bookmarkStart w:id="565" w:name="_Toc25612"/>
      <w:bookmarkStart w:id="566" w:name="_Toc7619"/>
      <w:r>
        <w:rPr>
          <w:rFonts w:hint="eastAsia" w:ascii="黑体" w:hAnsi="黑体" w:eastAsia="黑体" w:cs="黑体"/>
          <w:b w:val="0"/>
          <w:bCs/>
          <w:sz w:val="28"/>
          <w:szCs w:val="28"/>
          <w:lang w:val="zh-CN" w:eastAsia="zh-CN"/>
        </w:rPr>
        <w:t>三“</w:t>
      </w:r>
      <w:r>
        <w:rPr>
          <w:rFonts w:hint="eastAsia" w:ascii="黑体" w:hAnsi="黑体" w:eastAsia="黑体" w:cs="黑体"/>
          <w:b w:val="0"/>
          <w:bCs/>
          <w:sz w:val="28"/>
          <w:szCs w:val="28"/>
          <w:lang w:val="en-US" w:eastAsia="zh-CN"/>
        </w:rPr>
        <w:t>电动骨组织手术设备</w:t>
      </w:r>
      <w:r>
        <w:rPr>
          <w:rFonts w:hint="eastAsia" w:ascii="黑体" w:hAnsi="黑体" w:eastAsia="黑体" w:cs="黑体"/>
          <w:b w:val="0"/>
          <w:bCs/>
          <w:sz w:val="28"/>
          <w:szCs w:val="28"/>
          <w:lang w:val="zh-CN" w:eastAsia="zh-CN"/>
        </w:rPr>
        <w:t>试剂耗材调查表”</w:t>
      </w:r>
      <w:bookmarkEnd w:id="562"/>
      <w:bookmarkEnd w:id="563"/>
    </w:p>
    <w:tbl>
      <w:tblPr>
        <w:tblStyle w:val="44"/>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华文中宋"/>
                <w:b/>
                <w:bCs/>
                <w:color w:val="FF0000"/>
                <w:szCs w:val="21"/>
                <w:lang w:val="en-US" w:eastAsia="zh-CN"/>
              </w:rPr>
            </w:pPr>
            <w:r>
              <w:rPr>
                <w:rFonts w:hint="eastAsia" w:ascii="宋体" w:hAnsi="宋体" w:eastAsia="宋体" w:cs="华文中宋"/>
                <w:b/>
                <w:bCs/>
                <w:color w:val="FF0000"/>
                <w:szCs w:val="21"/>
                <w:lang w:val="en-US" w:eastAsia="zh-CN"/>
              </w:rPr>
              <w:t>产品用途：</w:t>
            </w:r>
          </w:p>
        </w:tc>
        <w:tc>
          <w:tcPr>
            <w:tcW w:w="65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lang w:val="en-US" w:eastAsia="zh-CN"/>
              </w:rPr>
            </w:pPr>
            <w:r>
              <w:rPr>
                <w:rFonts w:hint="eastAsia" w:ascii="宋体" w:hAnsi="宋体" w:eastAsia="宋体" w:cs="宋体"/>
                <w:kern w:val="2"/>
                <w:sz w:val="21"/>
                <w:szCs w:val="21"/>
              </w:rPr>
              <w:t>该设备适用于脊柱椎间孔镜手术，脊柱开放手术，UBE手术，MED手术、显微镜手术等所有脊柱手术对骨组织的打磨处理。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华文中宋"/>
                <w:b/>
                <w:bCs/>
                <w:color w:val="FF0000"/>
                <w:szCs w:val="21"/>
                <w:lang w:val="en-US" w:eastAsia="zh-CN"/>
              </w:rPr>
            </w:pPr>
            <w:r>
              <w:rPr>
                <w:rFonts w:hint="eastAsia" w:ascii="宋体" w:hAnsi="宋体" w:eastAsia="宋体" w:cs="华文中宋"/>
                <w:b/>
                <w:bCs/>
                <w:color w:val="FF0000"/>
                <w:szCs w:val="21"/>
                <w:lang w:val="en-US" w:eastAsia="zh-CN"/>
              </w:rPr>
              <w:t>诊疗项目：</w:t>
            </w:r>
          </w:p>
        </w:tc>
        <w:tc>
          <w:tcPr>
            <w:tcW w:w="6543" w:type="dxa"/>
            <w:noWrap w:val="0"/>
            <w:vAlign w:val="center"/>
          </w:tcPr>
          <w:p>
            <w:pPr>
              <w:widowControl w:val="0"/>
              <w:adjustRightInd/>
              <w:snapToGrid/>
              <w:spacing w:after="0" w:line="320" w:lineRule="exact"/>
              <w:jc w:val="both"/>
              <w:rPr>
                <w:rFonts w:ascii="宋体" w:hAnsi="宋体" w:eastAsia="宋体" w:cs="宋体"/>
                <w:kern w:val="2"/>
                <w:sz w:val="21"/>
                <w:szCs w:val="21"/>
              </w:rPr>
            </w:pPr>
            <w:r>
              <w:rPr>
                <w:rFonts w:hint="eastAsia" w:ascii="宋体" w:hAnsi="宋体" w:eastAsia="宋体" w:cs="宋体"/>
                <w:kern w:val="2"/>
                <w:sz w:val="21"/>
                <w:szCs w:val="21"/>
              </w:rPr>
              <w:t>经后路颈椎椎间盘减压植骨术，后路胸椎肿瘤切除术；</w:t>
            </w:r>
          </w:p>
          <w:p>
            <w:pPr>
              <w:widowControl w:val="0"/>
              <w:adjustRightInd/>
              <w:snapToGrid/>
              <w:spacing w:after="0" w:line="320" w:lineRule="exact"/>
              <w:jc w:val="both"/>
              <w:rPr>
                <w:rFonts w:ascii="宋体" w:hAnsi="宋体" w:eastAsia="宋体" w:cs="宋体"/>
                <w:kern w:val="2"/>
                <w:sz w:val="21"/>
                <w:szCs w:val="21"/>
              </w:rPr>
            </w:pPr>
            <w:r>
              <w:rPr>
                <w:rFonts w:hint="eastAsia" w:ascii="宋体" w:hAnsi="宋体" w:eastAsia="宋体" w:cs="宋体"/>
                <w:kern w:val="2"/>
                <w:sz w:val="21"/>
                <w:szCs w:val="21"/>
              </w:rPr>
              <w:t>椎间孔镜下经侧路腰椎间盘髓核摘除术，后路颈椎间盘髓核摘除术，微创射频消融术；</w:t>
            </w:r>
          </w:p>
          <w:p>
            <w:pPr>
              <w:widowControl w:val="0"/>
              <w:adjustRightInd/>
              <w:snapToGrid/>
              <w:spacing w:after="0" w:line="320" w:lineRule="exact"/>
              <w:jc w:val="both"/>
              <w:rPr>
                <w:rFonts w:ascii="宋体" w:hAnsi="宋体" w:eastAsia="宋体" w:cs="宋体"/>
                <w:kern w:val="2"/>
                <w:sz w:val="21"/>
                <w:szCs w:val="21"/>
              </w:rPr>
            </w:pPr>
            <w:r>
              <w:rPr>
                <w:rFonts w:hint="eastAsia" w:ascii="宋体" w:hAnsi="宋体" w:eastAsia="宋体" w:cs="宋体"/>
                <w:kern w:val="2"/>
                <w:sz w:val="21"/>
                <w:szCs w:val="21"/>
              </w:rPr>
              <w:t>关节置换术；</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lang w:val="en-US" w:eastAsia="zh-CN"/>
              </w:rPr>
            </w:pPr>
            <w:r>
              <w:rPr>
                <w:rFonts w:hint="eastAsia" w:ascii="宋体" w:hAnsi="宋体" w:eastAsia="宋体" w:cs="宋体"/>
                <w:kern w:val="2"/>
                <w:sz w:val="21"/>
                <w:szCs w:val="21"/>
              </w:rPr>
              <w:t>椎间孔镜辅助下腰椎融合术。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华文中宋"/>
                <w:b/>
                <w:bCs/>
                <w:color w:val="FF0000"/>
                <w:szCs w:val="21"/>
                <w:lang w:val="en-US" w:eastAsia="zh-CN"/>
              </w:rPr>
            </w:pPr>
            <w:r>
              <w:rPr>
                <w:rFonts w:hint="eastAsia" w:ascii="宋体" w:hAnsi="宋体" w:eastAsia="宋体" w:cs="华文中宋"/>
                <w:b/>
                <w:bCs/>
                <w:color w:val="FF0000"/>
                <w:szCs w:val="21"/>
                <w:lang w:val="en-US" w:eastAsia="zh-CN"/>
              </w:rPr>
              <w:t>通用名称：</w:t>
            </w:r>
          </w:p>
        </w:tc>
        <w:tc>
          <w:tcPr>
            <w:tcW w:w="6543" w:type="dxa"/>
            <w:noWrap w:val="0"/>
            <w:vAlign w:val="center"/>
          </w:tcPr>
          <w:p>
            <w:pPr>
              <w:widowControl w:val="0"/>
              <w:adjustRightInd/>
              <w:snapToGrid/>
              <w:spacing w:after="0" w:line="320" w:lineRule="exact"/>
              <w:jc w:val="both"/>
              <w:rPr>
                <w:rFonts w:ascii="宋体" w:hAnsi="宋体" w:eastAsiaTheme="minorEastAsia"/>
                <w:kern w:val="2"/>
                <w:sz w:val="21"/>
                <w:szCs w:val="21"/>
              </w:rPr>
            </w:pPr>
            <w:r>
              <w:rPr>
                <w:rFonts w:hint="eastAsia" w:ascii="宋体" w:hAnsi="宋体" w:eastAsiaTheme="minorEastAsia"/>
                <w:kern w:val="2"/>
                <w:sz w:val="21"/>
                <w:szCs w:val="21"/>
              </w:rPr>
              <w:t>一次性无菌磨钻头</w:t>
            </w:r>
          </w:p>
          <w:p>
            <w:pPr>
              <w:widowControl w:val="0"/>
              <w:adjustRightInd/>
              <w:snapToGrid/>
              <w:spacing w:after="0" w:line="320" w:lineRule="exact"/>
              <w:jc w:val="both"/>
              <w:rPr>
                <w:rFonts w:ascii="宋体" w:hAnsi="宋体" w:eastAsiaTheme="minorEastAsia"/>
                <w:kern w:val="2"/>
                <w:sz w:val="21"/>
                <w:szCs w:val="21"/>
              </w:rPr>
            </w:pPr>
            <w:r>
              <w:rPr>
                <w:rFonts w:hint="eastAsia" w:ascii="宋体" w:hAnsi="宋体" w:eastAsiaTheme="minorEastAsia"/>
                <w:kern w:val="2"/>
                <w:sz w:val="21"/>
                <w:szCs w:val="21"/>
              </w:rPr>
              <w:t>一次性无菌微创脊柱钻头</w:t>
            </w:r>
          </w:p>
          <w:p>
            <w:pPr>
              <w:widowControl w:val="0"/>
              <w:adjustRightInd/>
              <w:snapToGrid/>
              <w:spacing w:after="0" w:line="320" w:lineRule="exact"/>
              <w:jc w:val="both"/>
              <w:rPr>
                <w:rFonts w:ascii="宋体" w:hAnsi="宋体" w:eastAsiaTheme="minorEastAsia"/>
                <w:kern w:val="2"/>
                <w:sz w:val="21"/>
                <w:szCs w:val="21"/>
              </w:rPr>
            </w:pPr>
            <w:r>
              <w:rPr>
                <w:rFonts w:hint="eastAsia" w:ascii="宋体" w:hAnsi="宋体" w:eastAsiaTheme="minorEastAsia"/>
                <w:kern w:val="2"/>
                <w:sz w:val="21"/>
                <w:szCs w:val="21"/>
              </w:rPr>
              <w:t>一次性无菌骨锯片</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cs="Times New Roman"/>
                <w:lang w:val="en-US" w:eastAsia="zh-CN"/>
              </w:rPr>
            </w:pPr>
            <w:r>
              <w:rPr>
                <w:rFonts w:hint="eastAsia" w:ascii="宋体" w:hAnsi="宋体" w:eastAsiaTheme="minorEastAsia"/>
                <w:kern w:val="2"/>
                <w:sz w:val="21"/>
                <w:szCs w:val="21"/>
              </w:rPr>
              <w:t>一次性无菌往复磨铣刀头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华文中宋"/>
                <w:b/>
                <w:bCs/>
                <w:color w:val="FF0000"/>
                <w:szCs w:val="21"/>
                <w:lang w:val="en-US" w:eastAsia="zh-CN"/>
              </w:rPr>
            </w:pPr>
            <w:r>
              <w:rPr>
                <w:rFonts w:hint="eastAsia" w:ascii="宋体" w:hAnsi="宋体" w:eastAsia="宋体" w:cs="华文中宋"/>
                <w:b/>
                <w:bCs/>
                <w:color w:val="FF0000"/>
                <w:szCs w:val="21"/>
                <w:lang w:val="en-US" w:eastAsia="zh-CN"/>
              </w:rPr>
              <w:t>耗材类别：</w:t>
            </w:r>
          </w:p>
        </w:tc>
        <w:tc>
          <w:tcPr>
            <w:tcW w:w="65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s="Times New Roman"/>
                <w:lang w:val="en-US" w:eastAsia="zh-CN"/>
              </w:rPr>
            </w:pPr>
            <w:r>
              <w:rPr>
                <w:rFonts w:hint="eastAsia" w:cs="Times New Roman"/>
                <w:lang w:val="en-US" w:eastAsia="zh-CN"/>
              </w:rPr>
              <w:sym w:font="Wingdings 2" w:char="0052"/>
            </w:r>
            <w:r>
              <w:rPr>
                <w:rFonts w:hint="eastAsia" w:cs="Times New Roman"/>
                <w:lang w:val="en-US" w:eastAsia="zh-CN"/>
              </w:rPr>
              <w:t xml:space="preserve">一次性使用耗材           </w:t>
            </w:r>
            <w:r>
              <w:rPr>
                <w:rFonts w:hint="eastAsia" w:cs="Times New Roman"/>
                <w:lang w:val="en-US" w:eastAsia="zh-CN"/>
              </w:rPr>
              <w:sym w:font="Wingdings 2" w:char="0052"/>
            </w:r>
            <w:r>
              <w:rPr>
                <w:rFonts w:hint="eastAsia" w:cs="Times New Roman"/>
                <w:lang w:val="en-US" w:eastAsia="zh-CN"/>
              </w:rPr>
              <w:t>专用试剂耗材</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cs="Times New Roman"/>
                <w:lang w:val="en-US" w:eastAsia="zh-CN"/>
              </w:rPr>
            </w:pPr>
            <w:r>
              <w:rPr>
                <w:rFonts w:hint="eastAsia" w:cs="Times New Roman"/>
                <w:lang w:val="en-US" w:eastAsia="zh-CN"/>
              </w:rPr>
              <w:sym w:font="Wingdings 2" w:char="00A3"/>
            </w:r>
            <w:r>
              <w:rPr>
                <w:rFonts w:hint="eastAsia" w:cs="Times New Roman"/>
                <w:lang w:val="en-US" w:eastAsia="zh-CN"/>
              </w:rPr>
              <w:t xml:space="preserve">重复性使用耗材           </w:t>
            </w:r>
            <w:r>
              <w:rPr>
                <w:rFonts w:hint="eastAsia" w:cs="Times New Roman"/>
                <w:lang w:val="en-US" w:eastAsia="zh-CN"/>
              </w:rPr>
              <w:sym w:font="Wingdings 2" w:char="00A3"/>
            </w:r>
            <w:r>
              <w:rPr>
                <w:rFonts w:hint="eastAsia" w:cs="Times New Roman"/>
                <w:lang w:val="en-US" w:eastAsia="zh-CN"/>
              </w:rPr>
              <w:t>通用试剂耗材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仿宋_GB2312"/>
                <w:color w:val="FF0000"/>
                <w:kern w:val="0"/>
                <w:szCs w:val="21"/>
                <w:lang w:val="en-US" w:eastAsia="zh-CN"/>
              </w:rPr>
            </w:pPr>
            <w:r>
              <w:rPr>
                <w:rFonts w:hint="eastAsia" w:ascii="宋体" w:hAnsi="宋体" w:cs="华文中宋"/>
                <w:b/>
                <w:bCs/>
                <w:color w:val="FF0000"/>
                <w:szCs w:val="21"/>
                <w:lang w:val="en-US" w:eastAsia="zh-CN"/>
              </w:rPr>
              <w:t>年使用量</w:t>
            </w:r>
            <w:r>
              <w:rPr>
                <w:rFonts w:hint="eastAsia" w:ascii="宋体" w:hAnsi="宋体" w:eastAsia="宋体" w:cs="华文中宋"/>
                <w:b/>
                <w:bCs/>
                <w:color w:val="FF0000"/>
                <w:szCs w:val="21"/>
                <w:lang w:val="en-US" w:eastAsia="zh-CN"/>
              </w:rPr>
              <w:t>：</w:t>
            </w:r>
          </w:p>
        </w:tc>
        <w:tc>
          <w:tcPr>
            <w:tcW w:w="65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cs="Times New Roman"/>
                <w:lang w:val="en-US" w:eastAsia="zh-CN"/>
              </w:rPr>
            </w:pPr>
            <w:r>
              <w:rPr>
                <w:rFonts w:hint="eastAsia" w:cs="Times New Roman"/>
                <w:lang w:val="en-US" w:eastAsia="zh-CN"/>
              </w:rPr>
              <w:t>平均2000例/年</w:t>
            </w:r>
          </w:p>
        </w:tc>
      </w:tr>
    </w:tbl>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67" w:name="_Toc18170"/>
      <w:r>
        <w:rPr>
          <w:rFonts w:hint="eastAsia" w:ascii="黑体" w:hAnsi="黑体" w:cs="黑体"/>
          <w:b w:val="0"/>
          <w:bCs/>
          <w:sz w:val="28"/>
          <w:szCs w:val="28"/>
          <w:lang w:val="en-US" w:eastAsia="zh-CN"/>
        </w:rPr>
        <w:t>四</w:t>
      </w:r>
      <w:r>
        <w:rPr>
          <w:rFonts w:hint="eastAsia" w:ascii="黑体" w:hAnsi="黑体" w:eastAsia="黑体" w:cs="黑体"/>
          <w:b w:val="0"/>
          <w:bCs/>
          <w:sz w:val="28"/>
          <w:szCs w:val="28"/>
        </w:rPr>
        <w:t>、商务要求</w:t>
      </w:r>
      <w:bookmarkEnd w:id="560"/>
      <w:bookmarkEnd w:id="561"/>
      <w:bookmarkEnd w:id="564"/>
      <w:bookmarkEnd w:id="565"/>
      <w:bookmarkEnd w:id="566"/>
      <w:bookmarkEnd w:id="567"/>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重庆市（采购人指定地点）</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2.交货期：合同签订</w:t>
      </w:r>
      <w:r>
        <w:rPr>
          <w:rFonts w:hint="eastAsia" w:ascii="宋体" w:hAnsi="宋体" w:cs="宋体"/>
          <w:sz w:val="28"/>
          <w:szCs w:val="28"/>
          <w:lang w:eastAsia="zh-CN"/>
        </w:rPr>
        <w:t>后</w:t>
      </w:r>
      <w:r>
        <w:rPr>
          <w:rFonts w:hint="eastAsia" w:ascii="宋体" w:hAnsi="宋体" w:cs="宋体"/>
          <w:sz w:val="28"/>
          <w:szCs w:val="28"/>
          <w:u w:val="single"/>
          <w:lang w:val="en-US" w:eastAsia="zh-CN"/>
        </w:rPr>
        <w:t>1个月</w:t>
      </w:r>
      <w:r>
        <w:rPr>
          <w:rFonts w:hint="eastAsia" w:ascii="宋体" w:hAnsi="宋体" w:eastAsia="宋体" w:cs="宋体"/>
          <w:sz w:val="28"/>
          <w:szCs w:val="28"/>
          <w:lang w:eastAsia="zh-CN"/>
        </w:rPr>
        <w:t>内。</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投标人自行送达采购人指定的地点并完成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cs="宋体"/>
          <w:sz w:val="28"/>
          <w:szCs w:val="28"/>
          <w:highlight w:val="yellow"/>
          <w:u w:val="single"/>
          <w:lang w:val="en-US" w:eastAsia="zh-CN"/>
        </w:rPr>
        <w:t xml:space="preserve"> 3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。因此导致的损失采购单位有权向中标供应商追偿。</w:t>
      </w:r>
    </w:p>
    <w:p>
      <w:pPr>
        <w:tabs>
          <w:tab w:val="left" w:pos="0"/>
        </w:tabs>
        <w:autoSpaceDE w:val="0"/>
        <w:autoSpaceDN w:val="0"/>
        <w:adjustRightInd w:val="0"/>
        <w:spacing w:line="560" w:lineRule="exact"/>
        <w:ind w:firstLine="560" w:firstLineChars="200"/>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eastAsia="宋体" w:cs="宋体"/>
          <w:kern w:val="0"/>
          <w:sz w:val="28"/>
          <w:szCs w:val="28"/>
          <w:highlight w:val="yellow"/>
          <w:lang w:val="en-US" w:eastAsia="zh-CN" w:bidi="ar-SA"/>
        </w:rPr>
        <w:t>≥</w:t>
      </w:r>
      <w:r>
        <w:rPr>
          <w:rFonts w:hint="eastAsia" w:ascii="宋体" w:hAnsi="宋体" w:cs="宋体"/>
          <w:kern w:val="0"/>
          <w:sz w:val="28"/>
          <w:szCs w:val="28"/>
          <w:highlight w:val="yellow"/>
          <w:u w:val="none"/>
          <w:lang w:val="en-US" w:eastAsia="zh-CN" w:bidi="ar-SA"/>
        </w:rPr>
        <w:t>10</w:t>
      </w:r>
      <w:r>
        <w:rPr>
          <w:rFonts w:hint="eastAsia" w:ascii="宋体" w:hAnsi="宋体" w:eastAsia="宋体" w:cs="宋体"/>
          <w:kern w:val="0"/>
          <w:sz w:val="28"/>
          <w:szCs w:val="28"/>
          <w:highlight w:val="yellow"/>
          <w:lang w:val="en-US" w:eastAsia="zh-CN" w:bidi="ar-SA"/>
        </w:rPr>
        <w:t>年</w:t>
      </w:r>
      <w:r>
        <w:rPr>
          <w:rFonts w:hint="eastAsia" w:ascii="宋体" w:hAnsi="宋体" w:eastAsia="宋体" w:cs="宋体"/>
          <w:kern w:val="0"/>
          <w:sz w:val="28"/>
          <w:szCs w:val="28"/>
          <w:lang w:val="en-US" w:eastAsia="zh-CN" w:bidi="ar-SA"/>
        </w:rPr>
        <w:t>。</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sz w:val="28"/>
          <w:szCs w:val="28"/>
        </w:rPr>
        <w:t>3.投标供应商须承诺，对售后服务需求提供现场技术响应，维修到达现场时间</w:t>
      </w:r>
      <w:r>
        <w:rPr>
          <w:rFonts w:hint="eastAsia" w:ascii="宋体" w:hAnsi="宋体" w:eastAsia="宋体" w:cs="宋体"/>
          <w:sz w:val="28"/>
          <w:szCs w:val="28"/>
          <w:highlight w:val="yellow"/>
        </w:rPr>
        <w:t>≤</w:t>
      </w:r>
      <w:r>
        <w:rPr>
          <w:rFonts w:hint="eastAsia" w:ascii="宋体" w:hAnsi="宋体" w:cs="宋体"/>
          <w:sz w:val="28"/>
          <w:szCs w:val="28"/>
          <w:highlight w:val="yellow"/>
          <w:lang w:val="en-US" w:eastAsia="zh-CN"/>
        </w:rPr>
        <w:t>6</w:t>
      </w:r>
      <w:r>
        <w:rPr>
          <w:rFonts w:hint="eastAsia" w:ascii="宋体" w:hAnsi="宋体" w:eastAsia="宋体" w:cs="宋体"/>
          <w:sz w:val="28"/>
          <w:szCs w:val="28"/>
        </w:rPr>
        <w:t>小时内（本地）；维修到达现场时间</w:t>
      </w:r>
      <w:r>
        <w:rPr>
          <w:rFonts w:hint="eastAsia" w:ascii="宋体" w:hAnsi="宋体" w:eastAsia="宋体" w:cs="宋体"/>
          <w:sz w:val="28"/>
          <w:szCs w:val="28"/>
          <w:highlight w:val="yellow"/>
        </w:rPr>
        <w:t>≤</w:t>
      </w:r>
      <w:r>
        <w:rPr>
          <w:rFonts w:hint="eastAsia" w:ascii="宋体" w:hAnsi="宋体" w:cs="宋体"/>
          <w:sz w:val="28"/>
          <w:szCs w:val="28"/>
          <w:highlight w:val="yellow"/>
          <w:lang w:val="en-US" w:eastAsia="zh-CN"/>
        </w:rPr>
        <w:t>24</w:t>
      </w:r>
      <w:r>
        <w:rPr>
          <w:rFonts w:hint="eastAsia" w:ascii="宋体" w:hAnsi="宋体" w:eastAsia="宋体" w:cs="宋体"/>
          <w:sz w:val="28"/>
          <w:szCs w:val="28"/>
        </w:rPr>
        <w:t>小时内（外地）</w:t>
      </w:r>
      <w:r>
        <w:rPr>
          <w:rFonts w:hint="eastAsia" w:ascii="宋体" w:hAnsi="宋体" w:eastAsia="宋体" w:cs="宋体"/>
          <w:color w:val="auto"/>
          <w:sz w:val="28"/>
          <w:szCs w:val="28"/>
          <w:lang w:val="zh-CN"/>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.凡涉及与我院HIS、LIS、PACS、电生理系统、病理信息系统等系统连接的设备，要求具有标准数字接口，若投标产品没有匹配的接口，由中标供应商负责改造并承担相应费用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.安装、培训及验收：</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）安装、培训：</w:t>
      </w:r>
      <w:r>
        <w:rPr>
          <w:rFonts w:hint="eastAsia" w:ascii="宋体" w:hAnsi="宋体" w:eastAsia="宋体" w:cs="宋体"/>
          <w:sz w:val="28"/>
          <w:szCs w:val="28"/>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）产品质量检验验收：</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①产品出厂前，中标供应商应当进行产品自检，验收合格后方可出厂。</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产品出厂验收不合格，合同甲方有权拒收货物和解除采购合同，由此造成的损失，由中标供应商承担。出厂验收过程中，中标供应商可有1次整改机会，若第一次检验未通过，合同甲方将书面通知中标供应商限期整改，整改后进行第二次检验，检验合格后方可出厂。若第二次检验仍未通过的，合同甲方有权取消或解除采购合同，由此造成的损失，由中标供应商承担。</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③货物到达现场后，中标供应商应及时通知采购人，向项目使用方申请验收；验收小组由采购人按规定组建。</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④中标供应商应提供包括但不限于产品说明书、维护手册、维修手册、软件光盘、故障代码表、备件清单、零部件、维修密码等在内的材料和信息。</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w:t>
      </w:r>
      <w:r>
        <w:rPr>
          <w:rFonts w:hint="eastAsia" w:ascii="宋体" w:hAnsi="宋体" w:eastAsia="宋体" w:cs="宋体"/>
          <w:sz w:val="28"/>
          <w:szCs w:val="28"/>
        </w:rPr>
        <w:t>验收标准按国际标准</w:t>
      </w:r>
      <w:r>
        <w:rPr>
          <w:rFonts w:hint="eastAsia" w:ascii="宋体" w:hAnsi="宋体" w:eastAsia="宋体" w:cs="宋体"/>
          <w:sz w:val="28"/>
          <w:szCs w:val="28"/>
          <w:lang w:eastAsia="zh-CN"/>
        </w:rPr>
        <w:t>或国家标准</w:t>
      </w:r>
      <w:r>
        <w:rPr>
          <w:rFonts w:hint="eastAsia" w:ascii="宋体" w:hAnsi="宋体" w:eastAsia="宋体" w:cs="宋体"/>
          <w:sz w:val="28"/>
          <w:szCs w:val="28"/>
        </w:rPr>
        <w:t>或经双方协商认可的标准、合同要求及技术协议执行。</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⑥验收合格后，由验收小组和中标供应商在验收报告上共同签字确认。验收不合格的，合同甲方不得办理价款支付手续，并有权取消采购合同，由此造成的损失，由中标供应商承担。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w:t>
      </w:r>
      <w:r>
        <w:rPr>
          <w:rFonts w:hint="eastAsia" w:ascii="宋体" w:hAnsi="宋体" w:eastAsia="宋体" w:cs="宋体"/>
          <w:sz w:val="28"/>
          <w:szCs w:val="28"/>
        </w:rPr>
        <w:t>使用方在产品使用过程中，发现产品性能指标未达到要求的，中标供应商按照需求方明确的整改期限（不超过1个月），可有1次整改机会，在规定期限内未整改完毕的，由此造成的损失，由中标供应商承担。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 包装和运输：</w:t>
      </w:r>
      <w:r>
        <w:rPr>
          <w:rFonts w:hint="eastAsia" w:ascii="宋体" w:hAnsi="宋体" w:eastAsia="宋体" w:cs="宋体"/>
          <w:sz w:val="28"/>
          <w:szCs w:val="28"/>
          <w:lang w:eastAsia="zh-CN"/>
        </w:rPr>
        <w:t>中标人</w:t>
      </w:r>
      <w:r>
        <w:rPr>
          <w:rFonts w:hint="eastAsia" w:ascii="宋体" w:hAnsi="宋体" w:eastAsia="宋体" w:cs="宋体"/>
          <w:sz w:val="28"/>
          <w:szCs w:val="28"/>
        </w:rPr>
        <w:t>负责设备的包装和运输。包装必须坚固，能适用远距离的海运、空运及气候的变化，并能适应中国境内铁路、公路运输。</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.此次招标设备需配套使用耗材（试剂），耗材（试剂）需要一并进行报价，纳入计算经济分。</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.中标供应商在中标后将本次招标设备所需配套使用耗材（试剂）在采购单位驻地药交所平台挂网，且</w:t>
      </w:r>
      <w:r>
        <w:rPr>
          <w:rFonts w:hint="eastAsia" w:ascii="宋体" w:hAnsi="宋体" w:eastAsia="宋体" w:cs="宋体"/>
          <w:sz w:val="28"/>
          <w:szCs w:val="28"/>
          <w:lang w:eastAsia="zh-CN"/>
        </w:rPr>
        <w:t>本次报价不高于挂网价</w:t>
      </w:r>
      <w:r>
        <w:rPr>
          <w:rFonts w:hint="eastAsia" w:ascii="宋体" w:hAnsi="宋体" w:eastAsia="宋体" w:cs="宋体"/>
          <w:sz w:val="28"/>
          <w:szCs w:val="28"/>
        </w:rPr>
        <w:t>。否则不予签订设备采购合同。</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eastAsia="宋体" w:cs="宋体"/>
          <w:sz w:val="28"/>
          <w:szCs w:val="28"/>
          <w:lang w:val="en-US" w:eastAsia="zh-CN"/>
        </w:rPr>
        <w:t>10</w:t>
      </w:r>
      <w:r>
        <w:rPr>
          <w:rFonts w:hint="eastAsia" w:ascii="宋体" w:hAnsi="宋体" w:eastAsia="宋体" w:cs="宋体"/>
          <w:sz w:val="28"/>
          <w:szCs w:val="28"/>
        </w:rPr>
        <w:t>.本次投标中未提供产品授权委托书（国产产品），</w:t>
      </w:r>
      <w:r>
        <w:rPr>
          <w:rFonts w:hint="eastAsia" w:ascii="宋体" w:hAnsi="宋体" w:eastAsia="宋体" w:cs="宋体"/>
          <w:sz w:val="28"/>
          <w:szCs w:val="28"/>
          <w:lang w:val="zh-CN"/>
        </w:rPr>
        <w:t>为保证售后服务质量，中标人须在合同签订前提供生产厂家对所投产品的授权委托书，如无法提供则做废标处理</w:t>
      </w:r>
      <w:r>
        <w:rPr>
          <w:rFonts w:hint="eastAsia" w:ascii="宋体" w:hAnsi="宋体" w:eastAsia="宋体" w:cs="宋体"/>
          <w:sz w:val="28"/>
          <w:szCs w:val="28"/>
        </w:rPr>
        <w:t>,经核查发现违规问题，将按照相关规定进行处罚</w:t>
      </w:r>
      <w:r>
        <w:rPr>
          <w:rFonts w:hint="eastAsia" w:ascii="宋体" w:hAnsi="宋体" w:eastAsia="宋体" w:cs="宋体"/>
          <w:sz w:val="28"/>
          <w:szCs w:val="28"/>
          <w:lang w:val="zh-CN"/>
        </w:rPr>
        <w:t>（书面承诺）。</w:t>
      </w:r>
    </w:p>
    <w:p>
      <w:pPr>
        <w:pStyle w:val="117"/>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三</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7"/>
        <w:spacing w:line="560" w:lineRule="exact"/>
        <w:ind w:firstLine="560"/>
        <w:rPr>
          <w:b w:val="0"/>
          <w:bCs/>
          <w:sz w:val="28"/>
          <w:szCs w:val="28"/>
          <w:lang w:val="zh-CN"/>
        </w:rPr>
      </w:pPr>
      <w:r>
        <w:rPr>
          <w:rFonts w:hint="eastAsia"/>
          <w:b w:val="0"/>
          <w:bCs/>
          <w:sz w:val="28"/>
          <w:szCs w:val="28"/>
          <w:lang w:val="zh-CN"/>
        </w:rPr>
        <w:t>投标供应商应当保证使用方在使用该货物或其任何一部分时，不受第三方侵权指控。同时，投标供应商不得向第三方泄露采购机构提供的技术文件等资料。</w:t>
      </w:r>
    </w:p>
    <w:p>
      <w:pPr>
        <w:pStyle w:val="117"/>
        <w:spacing w:line="560" w:lineRule="exact"/>
        <w:ind w:firstLine="560"/>
        <w:rPr>
          <w:b w:val="0"/>
          <w:bCs/>
          <w:sz w:val="28"/>
          <w:szCs w:val="28"/>
          <w:lang w:val="zh-CN"/>
        </w:rPr>
      </w:pPr>
      <w:r>
        <w:rPr>
          <w:rFonts w:hint="eastAsia"/>
          <w:b w:val="0"/>
          <w:bCs/>
          <w:sz w:val="28"/>
          <w:szCs w:val="28"/>
          <w:lang w:val="zh-CN"/>
        </w:rPr>
        <w:t>基于项目合同履行形成的知识产权和其他权益，其权属归需求单位所有，法律另有规定的除外。</w:t>
      </w:r>
    </w:p>
    <w:p>
      <w:pPr>
        <w:pStyle w:val="117"/>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四</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本项目所有物资均有物资编目赋码要求，投标供应商应当予以明确响应。</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lang w:eastAsia="zh-CN"/>
        </w:rPr>
        <w:t>五</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w:t>
      </w:r>
      <w:r>
        <w:rPr>
          <w:rFonts w:hint="eastAsia" w:ascii="宋体" w:hAnsi="宋体"/>
          <w:b w:val="0"/>
          <w:bCs/>
          <w:snapToGrid w:val="0"/>
          <w:sz w:val="28"/>
          <w:szCs w:val="28"/>
          <w:lang w:eastAsia="zh-CN"/>
        </w:rPr>
        <w:t>六</w:t>
      </w:r>
      <w:r>
        <w:rPr>
          <w:rFonts w:hint="eastAsia" w:ascii="宋体" w:hAnsi="宋体"/>
          <w:b w:val="0"/>
          <w:bCs/>
          <w:snapToGrid w:val="0"/>
          <w:sz w:val="28"/>
          <w:szCs w:val="28"/>
        </w:rPr>
        <w:t>）履约保证金和质量保证金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7"/>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b w:val="0"/>
          <w:bCs/>
          <w:snapToGrid w:val="0"/>
          <w:sz w:val="28"/>
          <w:szCs w:val="28"/>
          <w:lang w:val="en-US" w:eastAsia="zh-CN"/>
        </w:rPr>
        <w:t>七</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7"/>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17"/>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如中标(成交)产品为特殊定制类或国内市场无销售记录，采购人可根据项目情况，先签订采购合同，待验收合格后开展价格复核。</w:t>
      </w:r>
    </w:p>
    <w:p>
      <w:pPr>
        <w:keepNext w:val="0"/>
        <w:keepLines w:val="0"/>
        <w:widowControl/>
        <w:jc w:val="center"/>
        <w:outlineLvl w:val="1"/>
        <w:rPr>
          <w:rFonts w:hint="eastAsia" w:ascii="Arial" w:hAnsi="Arial" w:eastAsia="方正小标宋简体" w:cs="Times New Roman"/>
          <w:b w:val="0"/>
          <w:bCs/>
          <w:kern w:val="2"/>
          <w:sz w:val="44"/>
          <w:szCs w:val="44"/>
          <w:lang w:val="zh-CN" w:eastAsia="zh-CN" w:bidi="ar-SA"/>
        </w:rPr>
      </w:pPr>
      <w:r>
        <w:rPr>
          <w:rFonts w:ascii="宋体" w:hAnsi="宋体"/>
          <w:b w:val="0"/>
          <w:bCs/>
          <w:snapToGrid w:val="0"/>
          <w:sz w:val="28"/>
          <w:szCs w:val="28"/>
        </w:rPr>
        <w:br w:type="page"/>
      </w:r>
      <w:bookmarkStart w:id="568" w:name="_Toc3485"/>
      <w:bookmarkStart w:id="569" w:name="_Toc19000"/>
      <w:bookmarkStart w:id="570" w:name="_Toc29530"/>
      <w:bookmarkStart w:id="571" w:name="_Toc15434"/>
      <w:bookmarkStart w:id="572" w:name="_Toc4653"/>
      <w:r>
        <w:rPr>
          <w:rFonts w:hint="eastAsia" w:ascii="Arial" w:hAnsi="Arial" w:eastAsia="方正小标宋简体" w:cs="Times New Roman"/>
          <w:b w:val="0"/>
          <w:bCs/>
          <w:kern w:val="2"/>
          <w:sz w:val="44"/>
          <w:szCs w:val="44"/>
          <w:lang w:val="zh-CN" w:eastAsia="zh-CN" w:bidi="ar-SA"/>
        </w:rPr>
        <w:t>第六章 合同专用条款</w:t>
      </w:r>
      <w:bookmarkEnd w:id="568"/>
      <w:bookmarkEnd w:id="569"/>
      <w:bookmarkEnd w:id="570"/>
      <w:bookmarkEnd w:id="571"/>
      <w:bookmarkEnd w:id="572"/>
    </w:p>
    <w:p>
      <w:pPr>
        <w:spacing w:line="520" w:lineRule="exact"/>
        <w:jc w:val="left"/>
        <w:rPr>
          <w:rFonts w:ascii="仿宋_GB2312" w:eastAsia="仿宋_GB2312"/>
        </w:rPr>
      </w:pPr>
      <w:r>
        <w:rPr>
          <w:rFonts w:hint="eastAsia" w:ascii="黑体" w:eastAsia="黑体"/>
        </w:rPr>
        <w:t>合同编号：</w:t>
      </w:r>
    </w:p>
    <w:p>
      <w:pPr>
        <w:spacing w:line="520" w:lineRule="exact"/>
        <w:rPr>
          <w:rFonts w:ascii="黑体" w:eastAsia="黑体"/>
        </w:rPr>
      </w:pPr>
      <w:r>
        <w:rPr>
          <w:rFonts w:hint="eastAsia" w:ascii="黑体" w:eastAsia="黑体"/>
        </w:rPr>
        <w:t>项目名称：</w:t>
      </w:r>
      <w:r>
        <w:rPr>
          <w:rFonts w:hint="eastAsia" w:ascii="黑体" w:eastAsia="黑体"/>
          <w:u w:val="single"/>
        </w:rPr>
        <w:t xml:space="preserve">              </w:t>
      </w:r>
      <w:r>
        <w:t xml:space="preserve">              </w:t>
      </w:r>
      <w:r>
        <w:rPr>
          <w:rFonts w:hint="eastAsia" w:ascii="黑体" w:eastAsia="黑体"/>
        </w:rPr>
        <w:t>签订日期：</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日</w:t>
      </w:r>
    </w:p>
    <w:p>
      <w:pPr>
        <w:spacing w:line="520" w:lineRule="exact"/>
      </w:pPr>
      <w:r>
        <w:rPr>
          <w:rFonts w:hint="eastAsia" w:ascii="黑体" w:eastAsia="黑体"/>
        </w:rPr>
        <w:t>项目编号：</w:t>
      </w:r>
      <w:r>
        <w:rPr>
          <w:rFonts w:hint="eastAsia" w:ascii="黑体" w:eastAsia="黑体"/>
          <w:u w:val="single"/>
        </w:rPr>
        <w:t xml:space="preserve">              </w:t>
      </w:r>
      <w:r>
        <w:rPr>
          <w:rFonts w:hint="eastAsia" w:ascii="黑体" w:eastAsia="黑体"/>
        </w:rPr>
        <w:t xml:space="preserve">              签订地点：</w:t>
      </w:r>
      <w:r>
        <w:rPr>
          <w:rFonts w:hint="eastAsia" w:ascii="黑体" w:eastAsia="黑体"/>
          <w:u w:val="single"/>
        </w:rPr>
        <w:t xml:space="preserve">              </w:t>
      </w:r>
    </w:p>
    <w:tbl>
      <w:tblPr>
        <w:tblStyle w:val="44"/>
        <w:tblW w:w="8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954"/>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采购</w:t>
            </w:r>
          </w:p>
          <w:p>
            <w:pPr>
              <w:widowControl/>
              <w:spacing w:line="520" w:lineRule="exact"/>
              <w:jc w:val="center"/>
              <w:rPr>
                <w:rFonts w:ascii="宋体" w:hAnsi="宋体" w:cs="宋体"/>
              </w:rPr>
            </w:pPr>
            <w:r>
              <w:rPr>
                <w:rFonts w:hint="eastAsia" w:ascii="宋体" w:hAnsi="宋体" w:cs="宋体"/>
              </w:rPr>
              <w:t>单位</w:t>
            </w:r>
          </w:p>
          <w:p>
            <w:pPr>
              <w:widowControl/>
              <w:spacing w:line="520" w:lineRule="exact"/>
              <w:jc w:val="center"/>
              <w:rPr>
                <w:rFonts w:ascii="宋体" w:hAnsi="宋体" w:cs="宋体"/>
              </w:rPr>
            </w:pPr>
            <w:r>
              <w:rPr>
                <w:rFonts w:hint="eastAsia" w:ascii="宋体" w:hAnsi="宋体" w:cs="宋体"/>
              </w:rPr>
              <w:t>（甲方）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028" w:type="dxa"/>
            <w:vMerge w:val="continue"/>
            <w:tcBorders>
              <w:left w:val="single" w:color="auto" w:sz="4" w:space="0"/>
              <w:right w:val="single" w:color="auto" w:sz="4" w:space="0"/>
            </w:tcBorders>
            <w:noWrap w:val="0"/>
            <w:vAlign w:val="center"/>
          </w:tcPr>
          <w:p>
            <w:pPr>
              <w:widowControl/>
              <w:spacing w:line="520" w:lineRule="exact"/>
              <w:jc w:val="center"/>
              <w:rPr>
                <w:rFonts w:hint="eastAsia"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法定代表人（单位负责人）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承办（联系）人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028" w:type="dxa"/>
            <w:vMerge w:val="restart"/>
            <w:tcBorders>
              <w:top w:val="single" w:color="auto" w:sz="4" w:space="0"/>
              <w:left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供应方</w:t>
            </w:r>
          </w:p>
          <w:p>
            <w:pPr>
              <w:widowControl/>
              <w:spacing w:line="520" w:lineRule="exact"/>
              <w:jc w:val="center"/>
              <w:rPr>
                <w:rFonts w:ascii="宋体" w:hAnsi="宋体" w:cs="宋体"/>
              </w:rPr>
            </w:pPr>
            <w:r>
              <w:rPr>
                <w:rFonts w:hint="eastAsia" w:ascii="宋体" w:hAnsi="宋体" w:cs="宋体"/>
              </w:rPr>
              <w:t>（乙方）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法定代表人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委托代理人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028"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宋体" w:hAnsi="宋体" w:eastAsia="宋体" w:cs="宋体"/>
          <w:b w:val="0"/>
          <w:bCs/>
          <w:sz w:val="28"/>
          <w:szCs w:val="28"/>
        </w:rPr>
      </w:pP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73" w:name="_Toc12896"/>
      <w:bookmarkStart w:id="574" w:name="_Toc3437"/>
      <w:bookmarkStart w:id="575" w:name="_Toc1552"/>
      <w:bookmarkStart w:id="576" w:name="_Toc21749"/>
      <w:bookmarkStart w:id="577" w:name="_Toc26582"/>
      <w:r>
        <w:rPr>
          <w:rFonts w:hint="eastAsia" w:ascii="黑体" w:hAnsi="黑体" w:eastAsia="黑体" w:cs="黑体"/>
          <w:b w:val="0"/>
          <w:bCs/>
          <w:sz w:val="28"/>
          <w:szCs w:val="28"/>
        </w:rPr>
        <w:t>一、定义</w:t>
      </w:r>
      <w:bookmarkEnd w:id="573"/>
      <w:bookmarkEnd w:id="574"/>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（一）</w:t>
      </w:r>
      <w:r>
        <w:rPr>
          <w:rFonts w:hint="eastAsia" w:ascii="宋体" w:hAnsi="宋体" w:eastAsia="宋体"/>
          <w:b w:val="0"/>
          <w:bCs/>
          <w:sz w:val="28"/>
          <w:szCs w:val="28"/>
        </w:rPr>
        <w:t>“合同”系指甲方和乙方（以下简称双方）已达成的协议，即由双方签订的合同格式中的文件，包括所有的附件、附录和组成合同部分的所有其他文件。</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（二）</w:t>
      </w:r>
      <w:r>
        <w:rPr>
          <w:rFonts w:hint="eastAsia" w:ascii="宋体" w:hAnsi="宋体" w:eastAsia="宋体"/>
          <w:b w:val="0"/>
          <w:bCs/>
          <w:sz w:val="28"/>
          <w:szCs w:val="28"/>
        </w:rPr>
        <w:t>“合同价格”系指根据合同规定，在乙方全面正确地履行合同义务时支付给乙方的款项。</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（三）</w:t>
      </w:r>
      <w:r>
        <w:rPr>
          <w:rFonts w:hint="eastAsia" w:ascii="宋体" w:hAnsi="宋体" w:eastAsia="宋体"/>
          <w:b w:val="0"/>
          <w:bCs/>
          <w:sz w:val="28"/>
          <w:szCs w:val="28"/>
        </w:rPr>
        <w:t>“甲方”系指采购货物和相关服务的需求单位。</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黑体" w:hAnsi="黑体" w:eastAsia="黑体" w:cs="黑体"/>
          <w:b w:val="0"/>
          <w:bCs/>
          <w:sz w:val="28"/>
          <w:szCs w:val="28"/>
        </w:rPr>
      </w:pPr>
      <w:r>
        <w:rPr>
          <w:rFonts w:hint="eastAsia"/>
          <w:b w:val="0"/>
          <w:bCs/>
          <w:sz w:val="28"/>
          <w:szCs w:val="28"/>
        </w:rPr>
        <w:t>（四）</w:t>
      </w:r>
      <w:r>
        <w:rPr>
          <w:rFonts w:hint="eastAsia" w:ascii="宋体" w:hAnsi="宋体" w:eastAsia="宋体"/>
          <w:b w:val="0"/>
          <w:bCs/>
          <w:sz w:val="28"/>
          <w:szCs w:val="28"/>
        </w:rPr>
        <w:t>“乙方”系指中标后提供货物和相关服务的供应商。</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78" w:name="_Toc6744"/>
      <w:bookmarkStart w:id="579" w:name="_Toc24404"/>
      <w:bookmarkStart w:id="580" w:name="_Toc31187"/>
      <w:r>
        <w:rPr>
          <w:rFonts w:hint="eastAsia" w:ascii="黑体" w:hAnsi="黑体" w:eastAsia="黑体" w:cs="黑体"/>
          <w:b w:val="0"/>
          <w:bCs/>
          <w:sz w:val="28"/>
          <w:szCs w:val="28"/>
        </w:rPr>
        <w:t>二、货物内容</w:t>
      </w:r>
      <w:bookmarkEnd w:id="575"/>
      <w:bookmarkEnd w:id="576"/>
      <w:bookmarkEnd w:id="577"/>
      <w:bookmarkEnd w:id="578"/>
      <w:bookmarkEnd w:id="579"/>
      <w:bookmarkEnd w:id="580"/>
    </w:p>
    <w:tbl>
      <w:tblPr>
        <w:tblStyle w:val="44"/>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序号</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物资名称</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品牌</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编目码</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计量单位</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数量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单价（元）</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总价（元）</w:t>
            </w: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合  计</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both"/>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金额合计（人民币大写）：</w:t>
            </w:r>
            <w:r>
              <w:rPr>
                <w:rFonts w:hint="eastAsia" w:ascii="宋体" w:hAnsi="宋体" w:eastAsia="宋体" w:cs="宋体"/>
                <w:b w:val="0"/>
                <w:bCs/>
                <w:sz w:val="21"/>
                <w:szCs w:val="21"/>
                <w:u w:val="single"/>
              </w:rPr>
              <w:t xml:space="preserve">                   </w:t>
            </w:r>
            <w:r>
              <w:rPr>
                <w:rFonts w:hint="eastAsia" w:ascii="宋体" w:hAnsi="宋体" w:eastAsia="宋体" w:cs="宋体"/>
                <w:b w:val="0"/>
                <w:bCs/>
                <w:spacing w:val="-4"/>
                <w:sz w:val="21"/>
                <w:szCs w:val="21"/>
              </w:rPr>
              <w:t>元</w:t>
            </w:r>
            <w:r>
              <w:rPr>
                <w:rFonts w:hint="eastAsia" w:ascii="宋体" w:hAnsi="宋体" w:eastAsia="宋体" w:cs="宋体"/>
                <w:b w:val="0"/>
                <w:bCs/>
                <w:sz w:val="21"/>
                <w:szCs w:val="21"/>
              </w:rPr>
              <w:t xml:space="preserve">      （小写）：</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w:t>
            </w:r>
          </w:p>
        </w:tc>
      </w:tr>
    </w:tbl>
    <w:p>
      <w:pPr>
        <w:spacing w:line="520" w:lineRule="exact"/>
        <w:outlineLvl w:val="2"/>
        <w:rPr>
          <w:rFonts w:ascii="黑体" w:hAnsi="Times New Roman" w:eastAsia="黑体" w:cs="Times New Roman"/>
          <w:kern w:val="2"/>
          <w:sz w:val="28"/>
          <w:szCs w:val="28"/>
        </w:rPr>
      </w:pPr>
      <w:bookmarkStart w:id="581" w:name="_Toc25354"/>
      <w:bookmarkStart w:id="582" w:name="_Toc7987"/>
      <w:bookmarkStart w:id="583" w:name="_Toc112317779"/>
      <w:bookmarkStart w:id="584" w:name="_Hlk112258830"/>
      <w:r>
        <w:rPr>
          <w:rFonts w:hint="eastAsia" w:ascii="黑体" w:eastAsia="黑体" w:cs="Times New Roman"/>
          <w:sz w:val="28"/>
          <w:szCs w:val="28"/>
          <w:lang w:val="en-US" w:eastAsia="zh-CN"/>
        </w:rPr>
        <w:t>三</w:t>
      </w:r>
      <w:r>
        <w:rPr>
          <w:rFonts w:hint="eastAsia" w:ascii="黑体" w:hAnsi="Times New Roman" w:eastAsia="黑体" w:cs="Times New Roman"/>
          <w:sz w:val="28"/>
          <w:szCs w:val="28"/>
        </w:rPr>
        <w:t>、质量要求及技术标准</w:t>
      </w:r>
      <w:bookmarkEnd w:id="581"/>
      <w:bookmarkEnd w:id="582"/>
    </w:p>
    <w:p>
      <w:pPr>
        <w:spacing w:line="520" w:lineRule="exact"/>
        <w:rPr>
          <w:rFonts w:ascii="Times New Roman" w:hAnsi="Times New Roman" w:eastAsia="仿宋_GB2312" w:cs="Times New Roman"/>
          <w:sz w:val="28"/>
          <w:szCs w:val="28"/>
        </w:rPr>
      </w:pPr>
      <w:r>
        <w:rPr>
          <w:rFonts w:ascii="Times New Roman" w:hAnsi="Times New Roman" w:eastAsia="宋体" w:cs="Times New Roman"/>
        </w:rPr>
        <w:t xml:space="preserve"> </w:t>
      </w:r>
      <w:r>
        <w:rPr>
          <w:rFonts w:hint="eastAsia" w:cs="Times New Roman"/>
          <w:lang w:val="en-US" w:eastAsia="zh-CN"/>
        </w:rPr>
        <w:t xml:space="preserve">   </w:t>
      </w:r>
      <w:r>
        <w:rPr>
          <w:rFonts w:hint="eastAsia" w:ascii="Times New Roman" w:hAnsi="Times New Roman" w:eastAsia="宋体" w:cs="Times New Roman"/>
          <w:sz w:val="28"/>
          <w:szCs w:val="28"/>
        </w:rPr>
        <w:t>（一）乙方所供的货物必须是全新的，符合国军标的工艺材料制造，符合报价文件的承诺，符合合同规定的规格、技术指标及外观质量要求。</w:t>
      </w:r>
    </w:p>
    <w:p>
      <w:pPr>
        <w:spacing w:line="520" w:lineRule="exact"/>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（二）质量或规格与合同不符，或证实货物有缺陷的，包括潜在的缺陷，甲方应在</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3</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日内以书面形式通知乙方：</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1.</w:t>
      </w:r>
      <w:r>
        <w:rPr>
          <w:rFonts w:hint="eastAsia" w:ascii="Times New Roman" w:hAnsi="Times New Roman" w:eastAsia="宋体" w:cs="Times New Roman"/>
          <w:sz w:val="28"/>
          <w:szCs w:val="28"/>
        </w:rPr>
        <w:t>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日内应免费更换有缺陷的货物。</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2.</w:t>
      </w:r>
      <w:r>
        <w:rPr>
          <w:rFonts w:hint="eastAsia" w:ascii="Times New Roman" w:hAnsi="Times New Roman" w:eastAsia="宋体" w:cs="Times New Roman"/>
          <w:sz w:val="28"/>
          <w:szCs w:val="28"/>
        </w:rPr>
        <w:t>如果乙方在收到通知后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个工作</w:t>
      </w:r>
      <w:r>
        <w:rPr>
          <w:rFonts w:hint="eastAsia" w:ascii="Times New Roman" w:hAnsi="Times New Roman" w:eastAsia="宋体" w:cs="Times New Roman"/>
          <w:sz w:val="28"/>
          <w:szCs w:val="28"/>
        </w:rPr>
        <w:t>日内没有弥补缺陷，甲方可采取必要的补救措施，但风险和费用将由乙方承担。</w:t>
      </w:r>
    </w:p>
    <w:p>
      <w:pPr>
        <w:spacing w:line="520" w:lineRule="exact"/>
        <w:outlineLvl w:val="2"/>
        <w:rPr>
          <w:rFonts w:hint="eastAsia" w:ascii="黑体" w:eastAsia="黑体" w:cs="Times New Roman"/>
          <w:sz w:val="28"/>
          <w:szCs w:val="28"/>
          <w:lang w:val="en-US" w:eastAsia="zh-CN"/>
        </w:rPr>
      </w:pPr>
      <w:bookmarkStart w:id="585" w:name="_Toc6891"/>
      <w:bookmarkStart w:id="586" w:name="_Toc416"/>
      <w:r>
        <w:rPr>
          <w:rFonts w:hint="eastAsia" w:ascii="黑体" w:eastAsia="黑体" w:cs="Times New Roman"/>
          <w:sz w:val="28"/>
          <w:szCs w:val="28"/>
          <w:lang w:val="en-US" w:eastAsia="zh-CN"/>
        </w:rPr>
        <w:t>四、包装及技术资料</w:t>
      </w:r>
      <w:bookmarkEnd w:id="585"/>
      <w:bookmarkEnd w:id="586"/>
    </w:p>
    <w:p>
      <w:pPr>
        <w:spacing w:line="520" w:lineRule="exact"/>
        <w:ind w:firstLine="540"/>
        <w:rPr>
          <w:rFonts w:ascii="Times New Roman" w:hAnsi="Times New Roman" w:eastAsia="仿宋_GB2312" w:cs="Times New Roman"/>
          <w:sz w:val="28"/>
          <w:szCs w:val="28"/>
        </w:rPr>
      </w:pPr>
      <w:r>
        <w:rPr>
          <w:rFonts w:hint="eastAsia" w:ascii="Times New Roman" w:hAnsi="Times New Roman" w:eastAsia="宋体" w:cs="Times New Roman"/>
          <w:sz w:val="28"/>
          <w:szCs w:val="28"/>
        </w:rPr>
        <w:t>（一）乙方提供的货物要采用国家或行业规定的标准进行包装，每件包装箱内附一份详细装箱清单和质量检验合格证，包装物由乙方免费提供。</w:t>
      </w:r>
    </w:p>
    <w:p>
      <w:pPr>
        <w:spacing w:line="520" w:lineRule="exact"/>
        <w:ind w:firstLine="54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（二）乙方提供的货物、技术资料，应有详细的说明，包括货物的规格、技术指标及外观质量情况等。</w:t>
      </w:r>
    </w:p>
    <w:p>
      <w:pPr>
        <w:spacing w:line="520" w:lineRule="exact"/>
        <w:ind w:firstLine="54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（三）货物到货验收后，所有包装及随装资料归甲方所有。</w:t>
      </w:r>
    </w:p>
    <w:p>
      <w:pPr>
        <w:spacing w:line="520" w:lineRule="exact"/>
        <w:outlineLvl w:val="2"/>
        <w:rPr>
          <w:rFonts w:ascii="黑体" w:hAnsi="Times New Roman" w:eastAsia="黑体" w:cs="Times New Roman"/>
          <w:sz w:val="28"/>
          <w:szCs w:val="28"/>
        </w:rPr>
      </w:pPr>
      <w:bookmarkStart w:id="587" w:name="_Toc15463"/>
      <w:bookmarkStart w:id="588" w:name="_Toc3165"/>
      <w:r>
        <w:rPr>
          <w:rFonts w:hint="eastAsia" w:ascii="黑体" w:eastAsia="黑体" w:cs="Times New Roman"/>
          <w:sz w:val="28"/>
          <w:szCs w:val="28"/>
          <w:lang w:val="en-US" w:eastAsia="zh-CN"/>
        </w:rPr>
        <w:t>五</w:t>
      </w:r>
      <w:r>
        <w:rPr>
          <w:rFonts w:hint="eastAsia" w:ascii="黑体" w:hAnsi="Times New Roman" w:eastAsia="黑体" w:cs="Times New Roman"/>
          <w:sz w:val="28"/>
          <w:szCs w:val="28"/>
        </w:rPr>
        <w:t>、交货时间、地点、方式</w:t>
      </w:r>
      <w:bookmarkEnd w:id="587"/>
      <w:bookmarkEnd w:id="588"/>
    </w:p>
    <w:p>
      <w:pPr>
        <w:spacing w:line="520" w:lineRule="exact"/>
        <w:rPr>
          <w:rFonts w:ascii="Times New Roman" w:hAnsi="Times New Roman" w:eastAsia="仿宋_GB2312"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（一）交货时间：</w:t>
      </w:r>
      <w:r>
        <w:rPr>
          <w:rFonts w:ascii="Times New Roman" w:hAnsi="Times New Roman" w:eastAsia="仿宋_GB2312" w:cs="Times New Roman"/>
          <w:sz w:val="28"/>
          <w:szCs w:val="28"/>
          <w:u w:val="single"/>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（二）交货地点：</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（三）交货方式：</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outlineLvl w:val="2"/>
        <w:rPr>
          <w:rFonts w:ascii="黑体" w:hAnsi="Times New Roman" w:eastAsia="黑体" w:cs="Times New Roman"/>
          <w:sz w:val="28"/>
          <w:szCs w:val="28"/>
        </w:rPr>
      </w:pPr>
      <w:bookmarkStart w:id="589" w:name="_Toc17065"/>
      <w:bookmarkStart w:id="590" w:name="_Toc6429"/>
      <w:r>
        <w:rPr>
          <w:rFonts w:hint="eastAsia" w:ascii="黑体" w:eastAsia="黑体" w:cs="Times New Roman"/>
          <w:sz w:val="28"/>
          <w:szCs w:val="28"/>
          <w:lang w:val="en-US" w:eastAsia="zh-CN"/>
        </w:rPr>
        <w:t>六</w:t>
      </w:r>
      <w:r>
        <w:rPr>
          <w:rFonts w:hint="eastAsia" w:ascii="黑体" w:hAnsi="Times New Roman" w:eastAsia="黑体" w:cs="Times New Roman"/>
          <w:sz w:val="28"/>
          <w:szCs w:val="28"/>
        </w:rPr>
        <w:t>、质量验收</w:t>
      </w:r>
      <w:bookmarkEnd w:id="589"/>
      <w:bookmarkEnd w:id="590"/>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（一）货物交付前，乙方应对货物进行全面自检，符合交付条件后，由</w:t>
      </w:r>
      <w:r>
        <w:rPr>
          <w:rFonts w:hint="eastAsia" w:ascii="Times New Roman" w:hAnsi="Times New Roman" w:eastAsia="宋体" w:cs="Times New Roman"/>
          <w:sz w:val="28"/>
          <w:szCs w:val="28"/>
          <w:lang w:eastAsia="zh-CN"/>
        </w:rPr>
        <w:t>甲</w:t>
      </w:r>
      <w:r>
        <w:rPr>
          <w:rFonts w:hint="eastAsia" w:ascii="Times New Roman" w:hAnsi="Times New Roman" w:eastAsia="宋体" w:cs="Times New Roman"/>
          <w:sz w:val="28"/>
          <w:szCs w:val="28"/>
        </w:rPr>
        <w:t>方</w:t>
      </w:r>
      <w:r>
        <w:rPr>
          <w:rFonts w:hint="eastAsia" w:ascii="Times New Roman" w:hAnsi="Times New Roman" w:eastAsia="宋体" w:cs="Times New Roman"/>
          <w:sz w:val="28"/>
          <w:szCs w:val="28"/>
          <w:lang w:eastAsia="zh-CN"/>
        </w:rPr>
        <w:t>需求科室</w:t>
      </w:r>
      <w:r>
        <w:rPr>
          <w:rFonts w:hint="eastAsia" w:ascii="Times New Roman" w:hAnsi="Times New Roman" w:eastAsia="宋体" w:cs="Times New Roman"/>
          <w:sz w:val="28"/>
          <w:szCs w:val="28"/>
        </w:rPr>
        <w:t>组织验收。</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（二）在交货时乙方应对所提供的产品出具国家标准规定的产品合格证或国家认可的行业标准规定的产品合格证。</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（三）甲方在交货前有权对乙方提供的货物、技术、服务提出异议，并采取相关措施确保质量合格。</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（四）具体组织程序、验收标准和方法，按</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规定程序执行，乙方配合。</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（五）产品出厂验收不合格，甲方有权拒收货物和解除采购合同，由此造成的损失，由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承担。出厂验收过程中，</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次整改机会，若第一次检验未通过，甲方将书面通知</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限期整改，整改后进行第二次检验，检验合格后方可出厂。若第二次检验仍未通过的，甲方有权取消或解除采购合同，由此造成的损失，由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（六）</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在产品使用过程中，发现产品性能指标未达到要求的，</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按照</w:t>
      </w:r>
      <w:r>
        <w:rPr>
          <w:rFonts w:hint="eastAsia" w:ascii="Times New Roman" w:hAnsi="Times New Roman" w:eastAsia="宋体" w:cs="Times New Roman"/>
          <w:sz w:val="28"/>
          <w:szCs w:val="28"/>
          <w:lang w:eastAsia="zh-CN"/>
        </w:rPr>
        <w:t>甲方需求科室</w:t>
      </w:r>
      <w:r>
        <w:rPr>
          <w:rFonts w:hint="eastAsia" w:ascii="Times New Roman" w:hAnsi="Times New Roman" w:eastAsia="宋体" w:cs="Times New Roman"/>
          <w:sz w:val="28"/>
          <w:szCs w:val="28"/>
        </w:rPr>
        <w:t>明确的整改期限（不超过</w:t>
      </w:r>
      <w:r>
        <w:rPr>
          <w:rFonts w:ascii="Times New Roman" w:hAnsi="Times New Roman" w:eastAsia="宋体" w:cs="Times New Roman"/>
          <w:sz w:val="28"/>
          <w:szCs w:val="28"/>
        </w:rPr>
        <w:t>1</w:t>
      </w:r>
      <w:r>
        <w:rPr>
          <w:rFonts w:hint="eastAsia" w:ascii="Times New Roman" w:hAnsi="Times New Roman" w:eastAsia="宋体" w:cs="Times New Roman"/>
          <w:sz w:val="28"/>
          <w:szCs w:val="28"/>
        </w:rPr>
        <w:t>个月），可有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次整改机会，在规定期限内未整改完毕的，由此造成的损失，由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outlineLvl w:val="2"/>
        <w:rPr>
          <w:rFonts w:hint="eastAsia" w:ascii="黑体" w:hAnsi="Times New Roman" w:eastAsia="黑体" w:cs="Times New Roman"/>
          <w:sz w:val="28"/>
          <w:szCs w:val="28"/>
        </w:rPr>
      </w:pPr>
      <w:bookmarkStart w:id="591" w:name="_Toc6323"/>
      <w:bookmarkStart w:id="592" w:name="_Toc2724"/>
      <w:r>
        <w:rPr>
          <w:rFonts w:hint="eastAsia" w:ascii="黑体" w:eastAsia="黑体" w:cs="Times New Roman"/>
          <w:sz w:val="28"/>
          <w:szCs w:val="28"/>
          <w:lang w:val="en-US" w:eastAsia="zh-CN"/>
        </w:rPr>
        <w:t>七</w:t>
      </w:r>
      <w:r>
        <w:rPr>
          <w:rFonts w:hint="eastAsia" w:ascii="黑体" w:hAnsi="Times New Roman" w:eastAsia="黑体" w:cs="Times New Roman"/>
          <w:sz w:val="28"/>
          <w:szCs w:val="28"/>
        </w:rPr>
        <w:t>、货物打码贴签要求</w:t>
      </w:r>
      <w:bookmarkEnd w:id="591"/>
      <w:bookmarkEnd w:id="592"/>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（一）乙方应当按照统一要求，提供货物相关数据信息，配合军方做好编目数据采集工作。</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1．</w:t>
      </w:r>
      <w:r>
        <w:rPr>
          <w:rFonts w:hint="eastAsia" w:ascii="Times New Roman" w:hAnsi="Times New Roman" w:eastAsia="宋体" w:cs="Times New Roman"/>
          <w:sz w:val="28"/>
          <w:szCs w:val="28"/>
        </w:rPr>
        <w:t>乙方可通过军队采购网互联网网站（http://www.plap.cn）或“通用物资编目数据平台”（http://www.ngcode.cn/catalog），下载编目用户终端软件。使用涉密专用计算机安装软件，按要求录入采购物资数据（已编目物资品种须填写编目码，已在“通用物资编目数据平台”上注册的产品数据可直接导入编目用户终端软件），导入技术规范、产品说明书、图片等电子文件，生成并导出编目申请数据包，提交采购单位或军委后勤保障部和军兵种、武警部队承担军用物资编目职能的单位。</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2．</w:t>
      </w:r>
      <w:r>
        <w:rPr>
          <w:rFonts w:hint="eastAsia"/>
          <w:b w:val="0"/>
          <w:bCs/>
          <w:color w:val="000000"/>
          <w:sz w:val="28"/>
          <w:szCs w:val="28"/>
        </w:rPr>
        <w:t>乙方应当配合承担军用物资编目职能的单位，补充完善编目数据。</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3．</w:t>
      </w:r>
      <w:r>
        <w:rPr>
          <w:rFonts w:hint="eastAsia" w:ascii="Times New Roman" w:hAnsi="Times New Roman" w:eastAsia="宋体" w:cs="Times New Roman"/>
          <w:sz w:val="28"/>
          <w:szCs w:val="28"/>
        </w:rPr>
        <w:t>乙方通过甲方接收赋码后的编目数据包，导入编目用户终端软件，获取编目码，用于打码贴签、验收结算等。</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（二）乙方应当按照统一要求在货物交付前完成打码贴签工作。</w:t>
      </w:r>
    </w:p>
    <w:p>
      <w:pPr>
        <w:pageBreakBefore w:val="0"/>
        <w:widowControl w:val="0"/>
        <w:kinsoku/>
        <w:wordWrap/>
        <w:overflowPunct/>
        <w:topLinePunct w:val="0"/>
        <w:autoSpaceDE/>
        <w:autoSpaceDN/>
        <w:bidi w:val="0"/>
        <w:spacing w:line="560" w:lineRule="exact"/>
        <w:ind w:firstLine="482"/>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1．</w:t>
      </w:r>
      <w:r>
        <w:rPr>
          <w:rFonts w:hint="eastAsia"/>
          <w:b w:val="0"/>
          <w:bCs/>
          <w:color w:val="000000"/>
          <w:sz w:val="28"/>
          <w:szCs w:val="28"/>
        </w:rPr>
        <w:t>货物标签格式、张挂位置、材质、码制等内容，应当符合军队有关要求。</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2．货物标签上的编目码应当与合同物资明细表中的编目码完全一致。</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军委后勤保障部和军兵种、武警部队承担军用物资编目职能的单位，按照职责分工，负责审核乙方提供的货物编目数据、根据需要联系乙方补充完善数据，核准完善后出具《编目确认单》（采购单位通过“军用物资和装备编目系统”下载），作为结算凭证之一。</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（四）货物编目数据填报和打码贴签情况，列入出厂验收、接收验收项目；编目数据、标识标签不符合规范要求的，验收不予通过，不得进入物资储存单位。乙方应在7日内完成整改，重新协调甲方组织验收。</w:t>
      </w:r>
    </w:p>
    <w:p>
      <w:pPr>
        <w:spacing w:line="520" w:lineRule="exact"/>
        <w:ind w:firstLine="480"/>
        <w:rPr>
          <w:rFonts w:hint="eastAsia" w:ascii="黑体" w:hAnsi="Times New Roman" w:eastAsia="黑体" w:cs="Times New Roman"/>
          <w:color w:val="auto"/>
          <w:sz w:val="28"/>
          <w:szCs w:val="28"/>
        </w:rPr>
      </w:pPr>
      <w:r>
        <w:rPr>
          <w:rFonts w:hint="eastAsia" w:ascii="Times New Roman" w:hAnsi="Times New Roman" w:eastAsia="宋体" w:cs="Times New Roman"/>
          <w:sz w:val="28"/>
          <w:szCs w:val="28"/>
        </w:rPr>
        <w:t>（五</w:t>
      </w:r>
      <w:r>
        <w:rPr>
          <w:rFonts w:hint="eastAsia" w:ascii="Times New Roman" w:hAnsi="Times New Roman" w:eastAsia="宋体" w:cs="Times New Roman"/>
          <w:color w:val="auto"/>
          <w:sz w:val="28"/>
          <w:szCs w:val="28"/>
        </w:rPr>
        <w:t>）合同结算时，采购单位应获取合同对应的《编目确认单》，生成导出数据。财务部门在结算合同款项时，检查核对合同和《编目确认单》，并将相关数据导入资产管理、结算报销信息系统。若无《编目确认单》，或《编目确认单》中的“合同编号”与合同不一致的，不予结算。</w:t>
      </w:r>
    </w:p>
    <w:p>
      <w:pPr>
        <w:spacing w:line="520" w:lineRule="exact"/>
        <w:ind w:firstLine="480"/>
        <w:outlineLvl w:val="2"/>
        <w:rPr>
          <w:rFonts w:hint="eastAsia" w:ascii="黑体" w:hAnsi="Times New Roman" w:eastAsia="黑体" w:cs="Times New Roman"/>
          <w:sz w:val="28"/>
          <w:szCs w:val="28"/>
        </w:rPr>
      </w:pPr>
      <w:bookmarkStart w:id="593" w:name="_Toc17282"/>
      <w:bookmarkStart w:id="594" w:name="_Toc28755"/>
      <w:bookmarkStart w:id="595" w:name="_Toc8535"/>
      <w:bookmarkStart w:id="596" w:name="_Toc21159"/>
      <w:r>
        <w:rPr>
          <w:rFonts w:hint="eastAsia" w:ascii="黑体" w:hAnsi="Times New Roman" w:eastAsia="黑体" w:cs="Times New Roman"/>
          <w:sz w:val="28"/>
          <w:szCs w:val="28"/>
          <w:lang w:val="en-US" w:eastAsia="zh-CN"/>
        </w:rPr>
        <w:t>八</w:t>
      </w:r>
      <w:r>
        <w:rPr>
          <w:rFonts w:hint="eastAsia" w:ascii="黑体" w:hAnsi="Times New Roman" w:eastAsia="黑体" w:cs="Times New Roman"/>
          <w:sz w:val="28"/>
          <w:szCs w:val="28"/>
        </w:rPr>
        <w:t>、售后服务</w:t>
      </w:r>
      <w:bookmarkEnd w:id="593"/>
      <w:bookmarkEnd w:id="594"/>
      <w:bookmarkEnd w:id="595"/>
      <w:bookmarkEnd w:id="596"/>
    </w:p>
    <w:p>
      <w:pPr>
        <w:pageBreakBefore w:val="0"/>
        <w:widowControl w:val="0"/>
        <w:kinsoku/>
        <w:wordWrap/>
        <w:overflowPunct/>
        <w:topLinePunct w:val="0"/>
        <w:autoSpaceDE/>
        <w:autoSpaceDN/>
        <w:bidi w:val="0"/>
        <w:spacing w:line="560" w:lineRule="exact"/>
        <w:textAlignment w:val="auto"/>
        <w:rPr>
          <w:rFonts w:eastAsia="仿宋_GB2312"/>
          <w:b w:val="0"/>
          <w:bCs/>
          <w:color w:val="auto"/>
          <w:sz w:val="28"/>
          <w:szCs w:val="28"/>
        </w:rPr>
      </w:pPr>
      <w:r>
        <w:rPr>
          <w:rFonts w:ascii="Times New Roman" w:hAnsi="Times New Roman" w:eastAsia="宋体" w:cs="Times New Roman"/>
          <w:color w:val="auto"/>
          <w:sz w:val="28"/>
          <w:szCs w:val="28"/>
        </w:rPr>
        <w:t xml:space="preserve">    </w:t>
      </w:r>
      <w:r>
        <w:rPr>
          <w:rFonts w:hint="eastAsia"/>
          <w:b w:val="0"/>
          <w:bCs/>
          <w:color w:val="auto"/>
          <w:sz w:val="28"/>
          <w:szCs w:val="28"/>
        </w:rPr>
        <w:t>（一）乙方负责免费运输、安装、调试、培训和服务保障等。</w:t>
      </w:r>
    </w:p>
    <w:p>
      <w:pPr>
        <w:pageBreakBefore w:val="0"/>
        <w:widowControl w:val="0"/>
        <w:kinsoku/>
        <w:wordWrap/>
        <w:overflowPunct/>
        <w:topLinePunct w:val="0"/>
        <w:autoSpaceDE/>
        <w:autoSpaceDN/>
        <w:bidi w:val="0"/>
        <w:spacing w:line="560" w:lineRule="exact"/>
        <w:ind w:firstLine="560" w:firstLineChars="200"/>
        <w:textAlignment w:val="auto"/>
        <w:rPr>
          <w:b w:val="0"/>
          <w:bCs/>
          <w:color w:val="auto"/>
          <w:sz w:val="28"/>
          <w:szCs w:val="28"/>
        </w:rPr>
      </w:pPr>
      <w:r>
        <w:rPr>
          <w:rFonts w:hint="eastAsia"/>
          <w:b w:val="0"/>
          <w:bCs/>
          <w:color w:val="auto"/>
          <w:sz w:val="28"/>
          <w:szCs w:val="28"/>
        </w:rPr>
        <w:t>（二）自货物验收完毕之日起，货物免费质保期   年。在免费质保期内，出现产品质量问题，甲方提出后，乙方维修到达现场时间**小时内（本地）；乙方维修到达现场时间**小时内（外地）提供相关的维修、更换等服务。</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（三）长期提供免费优良的技术支持及备品备件优惠供应，备件价格不超过本合同价格。配件供应时间≥**年。</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（四）乙方需提供在投标文件中承诺的所有售后服务项目。</w:t>
      </w:r>
    </w:p>
    <w:p>
      <w:pPr>
        <w:pageBreakBefore w:val="0"/>
        <w:widowControl w:val="0"/>
        <w:kinsoku/>
        <w:wordWrap/>
        <w:overflowPunct/>
        <w:topLinePunct w:val="0"/>
        <w:autoSpaceDE/>
        <w:autoSpaceDN/>
        <w:bidi w:val="0"/>
        <w:spacing w:line="560" w:lineRule="exact"/>
        <w:ind w:firstLine="540"/>
        <w:textAlignment w:val="auto"/>
        <w:rPr>
          <w:rFonts w:hint="eastAsia"/>
          <w:b w:val="0"/>
          <w:bCs/>
          <w:color w:val="auto"/>
          <w:sz w:val="28"/>
          <w:szCs w:val="28"/>
        </w:rPr>
      </w:pPr>
      <w:r>
        <w:rPr>
          <w:rFonts w:hint="eastAsia"/>
          <w:b w:val="0"/>
          <w:bCs/>
          <w:color w:val="auto"/>
          <w:sz w:val="28"/>
          <w:szCs w:val="28"/>
        </w:rPr>
        <w:t>（五）免费提供技术培训，包括交装培训、安装服务、试运行指导服务；乙方在现场根据客户要求提供设备安装，安装完毕后提供详细的中文技术文档，同时提供跟产培训。</w:t>
      </w:r>
    </w:p>
    <w:p>
      <w:pPr>
        <w:pageBreakBefore w:val="0"/>
        <w:widowControl w:val="0"/>
        <w:kinsoku/>
        <w:wordWrap/>
        <w:overflowPunct/>
        <w:topLinePunct w:val="0"/>
        <w:autoSpaceDE/>
        <w:autoSpaceDN/>
        <w:bidi w:val="0"/>
        <w:spacing w:line="560" w:lineRule="exact"/>
        <w:ind w:firstLine="540"/>
        <w:textAlignment w:val="auto"/>
        <w:rPr>
          <w:b w:val="0"/>
          <w:bCs/>
          <w:color w:val="FF0000"/>
          <w:sz w:val="28"/>
          <w:szCs w:val="28"/>
        </w:rPr>
      </w:pPr>
      <w:r>
        <w:rPr>
          <w:rFonts w:hint="eastAsia"/>
          <w:b w:val="0"/>
          <w:bCs/>
          <w:color w:val="auto"/>
          <w:sz w:val="28"/>
          <w:szCs w:val="28"/>
        </w:rPr>
        <w:t>（六）提供终生维护保障。在质保期内因设备自身设计、制造缺陷造成的各种故障，乙方承诺进行免费技术服务、维修或更换。在质保期后，乙方继续提供技术支持服务和系统软件升级换代，备件和服务的价格不超过本次投标价格，终身维护保障。</w:t>
      </w:r>
    </w:p>
    <w:p>
      <w:pPr>
        <w:spacing w:line="520" w:lineRule="exact"/>
        <w:ind w:firstLine="540" w:firstLineChars="0"/>
        <w:outlineLvl w:val="2"/>
        <w:rPr>
          <w:rFonts w:hint="eastAsia" w:ascii="黑体" w:hAnsi="Times New Roman" w:eastAsia="黑体" w:cs="Times New Roman"/>
          <w:sz w:val="28"/>
          <w:szCs w:val="28"/>
        </w:rPr>
      </w:pPr>
      <w:bookmarkStart w:id="597" w:name="_Toc22422"/>
      <w:bookmarkStart w:id="598" w:name="_Toc14600"/>
      <w:r>
        <w:rPr>
          <w:rFonts w:hint="eastAsia" w:ascii="黑体" w:eastAsia="黑体" w:cs="Times New Roman"/>
          <w:sz w:val="28"/>
          <w:szCs w:val="28"/>
          <w:lang w:val="en-US" w:eastAsia="zh-CN"/>
        </w:rPr>
        <w:t>九</w:t>
      </w:r>
      <w:r>
        <w:rPr>
          <w:rFonts w:hint="eastAsia" w:ascii="黑体" w:hAnsi="Times New Roman" w:eastAsia="黑体" w:cs="Times New Roman"/>
          <w:sz w:val="28"/>
          <w:szCs w:val="28"/>
        </w:rPr>
        <w:t>、资金结算</w:t>
      </w:r>
      <w:bookmarkEnd w:id="597"/>
      <w:bookmarkEnd w:id="598"/>
    </w:p>
    <w:p>
      <w:pPr>
        <w:pageBreakBefore w:val="0"/>
        <w:widowControl w:val="0"/>
        <w:kinsoku/>
        <w:wordWrap/>
        <w:overflowPunct/>
        <w:topLinePunct w:val="0"/>
        <w:autoSpaceDE/>
        <w:autoSpaceDN/>
        <w:bidi w:val="0"/>
        <w:spacing w:line="560" w:lineRule="exact"/>
        <w:ind w:firstLine="548" w:firstLineChars="196"/>
        <w:textAlignment w:val="auto"/>
        <w:rPr>
          <w:b w:val="0"/>
          <w:bCs/>
          <w:color w:val="auto"/>
          <w:sz w:val="28"/>
          <w:szCs w:val="28"/>
        </w:rPr>
      </w:pPr>
      <w:r>
        <w:rPr>
          <w:rFonts w:hint="eastAsia"/>
          <w:b w:val="0"/>
          <w:bCs/>
          <w:color w:val="auto"/>
          <w:sz w:val="28"/>
          <w:szCs w:val="28"/>
        </w:rPr>
        <w:t>本项目不预付货款，货物运达指定地点验收合格后，合同乙方收集发运接收单、发票、验收报告等资料，提交采购单位办理结算手续，采购单位在</w:t>
      </w:r>
      <w:r>
        <w:rPr>
          <w:b w:val="0"/>
          <w:bCs/>
          <w:color w:val="auto"/>
          <w:sz w:val="28"/>
          <w:szCs w:val="28"/>
        </w:rPr>
        <w:t>30</w:t>
      </w:r>
      <w:r>
        <w:rPr>
          <w:rFonts w:hint="eastAsia"/>
          <w:b w:val="0"/>
          <w:bCs/>
          <w:color w:val="auto"/>
          <w:sz w:val="28"/>
          <w:szCs w:val="28"/>
        </w:rPr>
        <w:t>天内向乙方支付货款。</w:t>
      </w:r>
    </w:p>
    <w:p>
      <w:pPr>
        <w:spacing w:line="520" w:lineRule="exact"/>
        <w:ind w:firstLine="540" w:firstLineChars="0"/>
        <w:outlineLvl w:val="2"/>
        <w:rPr>
          <w:rFonts w:hint="eastAsia" w:ascii="黑体" w:hAnsi="Times New Roman" w:eastAsia="黑体" w:cs="Times New Roman"/>
          <w:sz w:val="28"/>
          <w:szCs w:val="28"/>
        </w:rPr>
      </w:pPr>
      <w:bookmarkStart w:id="599" w:name="_Toc13062"/>
      <w:bookmarkStart w:id="600" w:name="_Toc19990"/>
      <w:bookmarkStart w:id="601" w:name="_Toc2447"/>
      <w:r>
        <w:rPr>
          <w:rFonts w:hint="eastAsia" w:ascii="黑体" w:hAnsi="Times New Roman" w:eastAsia="黑体" w:cs="Times New Roman"/>
          <w:sz w:val="28"/>
          <w:szCs w:val="28"/>
          <w:lang w:val="en-US" w:eastAsia="zh-CN"/>
        </w:rPr>
        <w:t>十、</w:t>
      </w:r>
      <w:r>
        <w:rPr>
          <w:rFonts w:hint="eastAsia" w:ascii="黑体" w:hAnsi="Times New Roman" w:eastAsia="黑体" w:cs="Times New Roman"/>
          <w:sz w:val="28"/>
          <w:szCs w:val="28"/>
        </w:rPr>
        <w:t>履约保证金和质量保证金</w:t>
      </w:r>
      <w:bookmarkEnd w:id="599"/>
      <w:bookmarkEnd w:id="600"/>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b w:val="0"/>
          <w:bCs/>
          <w:snapToGrid w:val="0"/>
          <w:sz w:val="28"/>
          <w:szCs w:val="28"/>
          <w:lang w:eastAsia="zh-CN"/>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5"/>
        <w:spacing w:before="0" w:after="0" w:line="560" w:lineRule="exact"/>
        <w:ind w:firstLine="560" w:firstLineChars="200"/>
        <w:rPr>
          <w:rFonts w:ascii="黑体" w:hAnsi="黑体" w:cs="黑体"/>
          <w:b w:val="0"/>
          <w:sz w:val="28"/>
          <w:szCs w:val="28"/>
        </w:rPr>
      </w:pPr>
      <w:bookmarkStart w:id="602" w:name="_Toc27655"/>
      <w:bookmarkStart w:id="603" w:name="_Toc6689"/>
      <w:bookmarkStart w:id="604" w:name="_Toc27543"/>
      <w:r>
        <w:rPr>
          <w:rFonts w:hint="eastAsia" w:ascii="黑体" w:hAnsi="黑体" w:cs="黑体"/>
          <w:b w:val="0"/>
          <w:sz w:val="28"/>
          <w:szCs w:val="28"/>
          <w:lang w:eastAsia="zh-CN"/>
        </w:rPr>
        <w:t>十一</w:t>
      </w:r>
      <w:r>
        <w:rPr>
          <w:rFonts w:hint="eastAsia" w:ascii="黑体" w:hAnsi="黑体" w:cs="黑体"/>
          <w:b w:val="0"/>
          <w:sz w:val="28"/>
          <w:szCs w:val="28"/>
        </w:rPr>
        <w:t>、保密条款</w:t>
      </w:r>
      <w:bookmarkEnd w:id="60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hint="eastAsia"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hint="eastAsia" w:ascii="黑体" w:eastAsia="黑体" w:cs="Times New Roman"/>
          <w:sz w:val="28"/>
          <w:szCs w:val="28"/>
          <w:lang w:val="en-US" w:eastAsia="zh-CN"/>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spacing w:line="520" w:lineRule="exact"/>
        <w:ind w:firstLine="548" w:firstLineChars="196"/>
        <w:outlineLvl w:val="2"/>
        <w:rPr>
          <w:rFonts w:ascii="黑体" w:hAnsi="Times New Roman" w:eastAsia="黑体" w:cs="Times New Roman"/>
          <w:sz w:val="28"/>
          <w:szCs w:val="28"/>
        </w:rPr>
      </w:pPr>
      <w:bookmarkStart w:id="605" w:name="_Toc6613"/>
      <w:r>
        <w:rPr>
          <w:rFonts w:hint="eastAsia" w:ascii="黑体" w:eastAsia="黑体" w:cs="Times New Roman"/>
          <w:sz w:val="28"/>
          <w:szCs w:val="28"/>
          <w:lang w:val="en-US" w:eastAsia="zh-CN"/>
        </w:rPr>
        <w:t>十二</w:t>
      </w:r>
      <w:r>
        <w:rPr>
          <w:rFonts w:hint="eastAsia" w:ascii="黑体" w:hAnsi="Times New Roman" w:eastAsia="黑体" w:cs="Times New Roman"/>
          <w:sz w:val="28"/>
          <w:szCs w:val="28"/>
        </w:rPr>
        <w:t>、知识产权</w:t>
      </w:r>
      <w:bookmarkEnd w:id="601"/>
      <w:bookmarkEnd w:id="603"/>
      <w:bookmarkEnd w:id="604"/>
      <w:bookmarkEnd w:id="605"/>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b w:val="0"/>
          <w:bCs/>
          <w:color w:val="auto"/>
          <w:sz w:val="28"/>
          <w:szCs w:val="28"/>
        </w:rPr>
        <w:t>乙方应当保证</w:t>
      </w:r>
      <w:r>
        <w:rPr>
          <w:rFonts w:hint="eastAsia" w:ascii="仿宋_GB2312"/>
          <w:b w:val="0"/>
          <w:bCs/>
          <w:color w:val="auto"/>
          <w:sz w:val="28"/>
          <w:szCs w:val="28"/>
          <w:lang w:val="en-US" w:eastAsia="zh-CN"/>
        </w:rPr>
        <w:t>甲</w:t>
      </w:r>
      <w:r>
        <w:rPr>
          <w:rFonts w:hint="eastAsia" w:ascii="仿宋_GB2312"/>
          <w:b w:val="0"/>
          <w:bCs/>
          <w:color w:val="auto"/>
          <w:sz w:val="28"/>
          <w:szCs w:val="28"/>
        </w:rPr>
        <w:t>方在使用货物和服务时不受第三方提出侵犯其专利权、商标权和工业设计权的起诉，</w:t>
      </w:r>
      <w:r>
        <w:rPr>
          <w:rFonts w:hint="eastAsia" w:ascii="仿宋_GB2312" w:hAnsi="宋体"/>
          <w:b w:val="0"/>
          <w:bCs/>
          <w:color w:val="auto"/>
          <w:sz w:val="28"/>
          <w:szCs w:val="28"/>
        </w:rPr>
        <w:t>甲方不承担任何连带责任和赔偿责任。</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hAnsi="宋体"/>
          <w:b w:val="0"/>
          <w:bCs/>
          <w:color w:val="auto"/>
          <w:sz w:val="28"/>
          <w:szCs w:val="28"/>
        </w:rPr>
        <w:t>基于项目合同履行形成的知识产权和其他权益，其权属归需求单位所有，法律另有规定的除外。</w:t>
      </w:r>
    </w:p>
    <w:p>
      <w:pPr>
        <w:spacing w:line="520" w:lineRule="exact"/>
        <w:ind w:firstLine="560" w:firstLineChars="200"/>
        <w:outlineLvl w:val="2"/>
        <w:rPr>
          <w:rFonts w:hint="eastAsia" w:ascii="黑体" w:hAnsi="宋体" w:eastAsia="黑体" w:cs="Times New Roman"/>
          <w:sz w:val="28"/>
          <w:szCs w:val="28"/>
        </w:rPr>
      </w:pPr>
      <w:bookmarkStart w:id="606" w:name="_Toc12653"/>
      <w:bookmarkStart w:id="607" w:name="_Toc17397"/>
      <w:bookmarkStart w:id="608" w:name="_Toc23741"/>
      <w:bookmarkStart w:id="609" w:name="_Toc23742"/>
      <w:r>
        <w:rPr>
          <w:rFonts w:hint="eastAsia" w:ascii="黑体" w:hAnsi="宋体" w:eastAsia="黑体" w:cs="Times New Roman"/>
          <w:sz w:val="28"/>
          <w:szCs w:val="28"/>
          <w:lang w:eastAsia="zh-CN"/>
        </w:rPr>
        <w:t>十</w:t>
      </w:r>
      <w:r>
        <w:rPr>
          <w:rFonts w:hint="eastAsia" w:ascii="黑体" w:hAnsi="宋体" w:eastAsia="黑体" w:cs="Times New Roman"/>
          <w:sz w:val="28"/>
          <w:szCs w:val="28"/>
          <w:lang w:val="en-US" w:eastAsia="zh-CN"/>
        </w:rPr>
        <w:t>三</w:t>
      </w:r>
      <w:r>
        <w:rPr>
          <w:rFonts w:hint="eastAsia" w:ascii="黑体" w:hAnsi="宋体" w:eastAsia="黑体" w:cs="Times New Roman"/>
          <w:sz w:val="28"/>
          <w:szCs w:val="28"/>
        </w:rPr>
        <w:t>、合同的变更和解除</w:t>
      </w:r>
      <w:bookmarkEnd w:id="606"/>
      <w:bookmarkEnd w:id="607"/>
      <w:bookmarkEnd w:id="608"/>
      <w:bookmarkEnd w:id="609"/>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（一）因合同变更、解除造成损失的，过错方应当承担赔偿责任，双方都有过错的，甲乙双方应当各自承担相应的责任。</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（二）合同履行中，经甲乙双方协商一致，并由甲方按照军队有关规定办理审批后，可以变更合同。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auto"/>
          <w:sz w:val="28"/>
          <w:szCs w:val="28"/>
        </w:rPr>
        <w:t>（三）合同履行中，存在以下情形之一的，甲方有权解除合同：①因不可抗力无法履行合同，不能实现合同目的</w:t>
      </w:r>
      <w:r>
        <w:rPr>
          <w:rFonts w:hint="eastAsia" w:ascii="仿宋_GB2312" w:hAnsi="宋体"/>
          <w:b w:val="0"/>
          <w:bCs/>
          <w:color w:val="000000"/>
          <w:sz w:val="28"/>
          <w:szCs w:val="28"/>
        </w:rPr>
        <w:t>；②继续履行合同将损害国家或者军队利益，且无法通过合同变更或者中止方式解决；③采购任务调整或者取消，不能通过合同变更方式达成新协议；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 w:val="0"/>
          <w:bCs/>
          <w:color w:val="000000"/>
          <w:sz w:val="28"/>
          <w:szCs w:val="28"/>
          <w:lang w:val="zh-CN"/>
        </w:rPr>
        <w:t>发生控股关系、经营范围等重大实质性变化，不符合合同约定的；⑧</w:t>
      </w:r>
      <w:r>
        <w:rPr>
          <w:rFonts w:hint="eastAsia" w:ascii="仿宋_GB2312" w:hAnsi="宋体"/>
          <w:b w:val="0"/>
          <w:bCs/>
          <w:color w:val="000000"/>
          <w:sz w:val="28"/>
          <w:szCs w:val="28"/>
        </w:rPr>
        <w:t>国家法律法规规定或者合同约定的其他情形。</w:t>
      </w:r>
    </w:p>
    <w:p>
      <w:pPr>
        <w:snapToGrid w:val="0"/>
        <w:spacing w:line="520" w:lineRule="exact"/>
        <w:ind w:firstLine="560" w:firstLineChars="200"/>
        <w:jc w:val="left"/>
        <w:rPr>
          <w:rFonts w:hint="eastAsia" w:ascii="仿宋_GB2312" w:hAnsi="宋体" w:eastAsia="宋体" w:cs="Times New Roman"/>
          <w:sz w:val="28"/>
          <w:szCs w:val="28"/>
        </w:rPr>
      </w:pPr>
      <w:r>
        <w:rPr>
          <w:rFonts w:hint="eastAsia" w:ascii="仿宋_GB2312" w:hAnsi="宋体"/>
          <w:b w:val="0"/>
          <w:bCs/>
          <w:color w:val="000000"/>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560" w:firstLineChars="200"/>
        <w:outlineLvl w:val="2"/>
        <w:rPr>
          <w:rFonts w:hint="eastAsia" w:ascii="黑体" w:hAnsi="宋体" w:eastAsia="黑体" w:cs="Times New Roman"/>
          <w:sz w:val="28"/>
          <w:szCs w:val="28"/>
        </w:rPr>
      </w:pPr>
      <w:bookmarkStart w:id="610" w:name="_Toc12763"/>
      <w:bookmarkStart w:id="611" w:name="_Toc16528"/>
      <w:bookmarkStart w:id="612" w:name="_Toc26595"/>
      <w:bookmarkStart w:id="613" w:name="_Toc17786"/>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四</w:t>
      </w:r>
      <w:r>
        <w:rPr>
          <w:rFonts w:hint="eastAsia" w:ascii="黑体" w:hAnsi="宋体" w:eastAsia="黑体" w:cs="Times New Roman"/>
          <w:sz w:val="28"/>
          <w:szCs w:val="28"/>
        </w:rPr>
        <w:t>、履约监督</w:t>
      </w:r>
      <w:bookmarkEnd w:id="610"/>
      <w:bookmarkEnd w:id="611"/>
      <w:bookmarkEnd w:id="612"/>
      <w:bookmarkEnd w:id="613"/>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（一）乙方承诺接受甲方对其资质和履约能力进行监管，并保证在其资质和履约能力发生变化时向甲方通报，乙方存在法律规定的丧失或者可能丧失合同履行能力有关情形时，甲方有权中止合同。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（二）在不妨碍乙方正常生产、作业的情况下，甲方有关不定期对货物生产进度和过程质量管控情况进行监督检查，乙方承诺予以配合，如实反映情况，提供相关资料。</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（三）乙方对于军队采购管理部门、纪检监察部门、审计部门等职能部门开展的调查，承诺予以配合，如实反映情况，提供相关资料。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000000"/>
          <w:sz w:val="28"/>
          <w:szCs w:val="28"/>
        </w:rPr>
      </w:pPr>
      <w:r>
        <w:rPr>
          <w:rFonts w:hint="eastAsia" w:ascii="仿宋_GB2312" w:hAnsi="宋体"/>
          <w:b w:val="0"/>
          <w:bCs/>
          <w:color w:val="000000"/>
          <w:sz w:val="28"/>
          <w:szCs w:val="28"/>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ind w:firstLine="560" w:firstLineChars="200"/>
        <w:outlineLvl w:val="2"/>
        <w:rPr>
          <w:rFonts w:hint="eastAsia" w:ascii="黑体" w:hAnsi="宋体" w:eastAsia="黑体" w:cs="Times New Roman"/>
          <w:sz w:val="28"/>
          <w:szCs w:val="28"/>
        </w:rPr>
      </w:pPr>
      <w:bookmarkStart w:id="614" w:name="_Toc4713"/>
      <w:bookmarkStart w:id="615" w:name="_Toc6101"/>
      <w:bookmarkStart w:id="616" w:name="_Toc22065"/>
      <w:bookmarkStart w:id="617" w:name="_Toc29584"/>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五</w:t>
      </w:r>
      <w:r>
        <w:rPr>
          <w:rFonts w:hint="eastAsia" w:ascii="黑体" w:hAnsi="宋体" w:eastAsia="黑体" w:cs="Times New Roman"/>
          <w:sz w:val="28"/>
          <w:szCs w:val="28"/>
        </w:rPr>
        <w:t>、违约责任</w:t>
      </w:r>
      <w:bookmarkEnd w:id="614"/>
      <w:bookmarkEnd w:id="615"/>
      <w:bookmarkEnd w:id="616"/>
      <w:bookmarkEnd w:id="617"/>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eastAsia="仿宋_GB2312"/>
          <w:b w:val="0"/>
          <w:bCs/>
          <w:color w:val="auto"/>
          <w:sz w:val="28"/>
          <w:szCs w:val="28"/>
        </w:rPr>
      </w:pPr>
      <w:r>
        <w:rPr>
          <w:rFonts w:hint="eastAsia" w:ascii="仿宋_GB2312" w:hAnsi="宋体"/>
          <w:b w:val="0"/>
          <w:bCs/>
          <w:color w:val="auto"/>
          <w:sz w:val="28"/>
          <w:szCs w:val="28"/>
        </w:rPr>
        <w:t>（一）乙方未经甲方、需求方同意而延期交货时，应当向甲方偿付违约金，违约金每天按违约货物金额的</w:t>
      </w:r>
      <w:r>
        <w:rPr>
          <w:rFonts w:hint="eastAsia" w:ascii="仿宋_GB2312" w:hAnsi="宋体" w:cs="Times New Roman"/>
          <w:color w:val="auto"/>
          <w:sz w:val="28"/>
          <w:szCs w:val="28"/>
          <w:highlight w:val="none"/>
          <w:u w:val="none"/>
          <w:lang w:val="en-US" w:eastAsia="zh-CN"/>
        </w:rPr>
        <w:t>1</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rPr>
        <w:t>计算，违约金最高限额为违约总金额的</w:t>
      </w:r>
      <w:r>
        <w:rPr>
          <w:rFonts w:ascii="仿宋_GB2312" w:hAnsi="宋体"/>
          <w:b w:val="0"/>
          <w:bCs/>
          <w:color w:val="auto"/>
          <w:sz w:val="28"/>
          <w:szCs w:val="28"/>
        </w:rPr>
        <w:t>5%</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highlight w:val="none"/>
        </w:rPr>
        <w:t>如</w:t>
      </w:r>
      <w:r>
        <w:rPr>
          <w:rFonts w:hint="eastAsia" w:ascii="仿宋_GB2312" w:hAnsi="宋体"/>
          <w:b w:val="0"/>
          <w:bCs/>
          <w:color w:val="auto"/>
          <w:sz w:val="28"/>
          <w:szCs w:val="28"/>
        </w:rPr>
        <w:t>果达到违约金最高限额时仍不能交货，或交货时间影响需求方任务实施，甲方及需求方可以终止合同，而由此给甲方、需求方造成的实际损失，乙方应当给予足额赔偿。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（二）乙方未按合同约定履行服务义务或产品技术性能指标不达标而给使用单位造成损失的，乙方要按损失金额予以赔偿。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（三）甲方有义务协助需求方按约定及时足额支付货款，未按约定及时足额支付货款时，每迟付一天按违约金额</w:t>
      </w:r>
      <w:r>
        <w:rPr>
          <w:rFonts w:ascii="仿宋_GB2312" w:hAnsi="宋体"/>
          <w:b w:val="0"/>
          <w:bCs/>
          <w:color w:val="auto"/>
          <w:sz w:val="28"/>
          <w:szCs w:val="28"/>
        </w:rPr>
        <w:t>1</w:t>
      </w:r>
      <w:r>
        <w:rPr>
          <w:rFonts w:hint="eastAsia" w:ascii="仿宋_GB2312" w:hAnsi="宋体"/>
          <w:b w:val="0"/>
          <w:bCs/>
          <w:color w:val="auto"/>
          <w:sz w:val="28"/>
          <w:szCs w:val="28"/>
        </w:rPr>
        <w:t>‰向乙方偿付违约金，违约金最高限额为违约总金额的</w:t>
      </w:r>
      <w:r>
        <w:rPr>
          <w:rFonts w:ascii="仿宋_GB2312" w:hAnsi="宋体"/>
          <w:b w:val="0"/>
          <w:bCs/>
          <w:color w:val="auto"/>
          <w:sz w:val="28"/>
          <w:szCs w:val="28"/>
        </w:rPr>
        <w:t>5%</w:t>
      </w:r>
      <w:r>
        <w:rPr>
          <w:rFonts w:hint="eastAsia" w:ascii="仿宋_GB2312" w:hAnsi="宋体"/>
          <w:b w:val="0"/>
          <w:bCs/>
          <w:color w:val="auto"/>
          <w:sz w:val="28"/>
          <w:szCs w:val="28"/>
        </w:rPr>
        <w:t>。</w:t>
      </w:r>
    </w:p>
    <w:p>
      <w:pPr>
        <w:spacing w:line="520" w:lineRule="exact"/>
        <w:ind w:firstLine="560" w:firstLineChars="200"/>
        <w:outlineLvl w:val="2"/>
        <w:rPr>
          <w:rFonts w:hint="eastAsia" w:ascii="黑体" w:hAnsi="宋体" w:eastAsia="黑体" w:cs="Times New Roman"/>
          <w:sz w:val="28"/>
          <w:szCs w:val="28"/>
        </w:rPr>
      </w:pPr>
      <w:bookmarkStart w:id="618" w:name="_Toc14521"/>
      <w:bookmarkStart w:id="619" w:name="_Toc31327"/>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六</w:t>
      </w:r>
      <w:r>
        <w:rPr>
          <w:rFonts w:hint="eastAsia" w:ascii="黑体" w:hAnsi="宋体" w:eastAsia="黑体" w:cs="Times New Roman"/>
          <w:sz w:val="28"/>
          <w:szCs w:val="28"/>
        </w:rPr>
        <w:t>、争议解决方式</w:t>
      </w:r>
      <w:bookmarkEnd w:id="618"/>
      <w:bookmarkEnd w:id="619"/>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合同履行过程中，发生争议时，按照下列方式解决：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（一）甲方和乙方协商解决。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（二）协商不一致的，甲方或者乙方向</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采购人的</w:t>
      </w:r>
      <w:r>
        <w:rPr>
          <w:rFonts w:hint="eastAsia" w:ascii="仿宋_GB2312" w:hAnsi="宋体" w:eastAsia="宋体" w:cs="Times New Roman"/>
          <w:sz w:val="28"/>
          <w:szCs w:val="28"/>
          <w:u w:val="single"/>
          <w:lang w:eastAsia="zh-CN"/>
        </w:rPr>
        <w:t>物资采购中心</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反映情况，请求第一次调解处理；第一次调解不成功的，向</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eastAsia="zh-CN"/>
        </w:rPr>
        <w:t>采购人的采购管理部门</w:t>
      </w:r>
      <w:r>
        <w:rPr>
          <w:rFonts w:hint="eastAsia" w:ascii="仿宋_GB2312" w:hAnsi="宋体" w:eastAsia="宋体" w:cs="Times New Roman"/>
          <w:sz w:val="28"/>
          <w:szCs w:val="28"/>
        </w:rPr>
        <w:t>请求第二次调解处理。</w:t>
      </w:r>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ind w:firstLine="560" w:firstLineChars="200"/>
        <w:outlineLvl w:val="2"/>
        <w:rPr>
          <w:rFonts w:hint="eastAsia" w:ascii="黑体" w:hAnsi="宋体" w:eastAsia="黑体" w:cs="Times New Roman"/>
          <w:sz w:val="28"/>
          <w:szCs w:val="28"/>
        </w:rPr>
      </w:pPr>
      <w:bookmarkStart w:id="620" w:name="_Toc24793"/>
      <w:bookmarkStart w:id="621" w:name="_Toc5412"/>
      <w:bookmarkStart w:id="622" w:name="_Toc26110"/>
      <w:bookmarkStart w:id="623" w:name="_Toc5354"/>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七</w:t>
      </w:r>
      <w:r>
        <w:rPr>
          <w:rFonts w:hint="eastAsia" w:ascii="黑体" w:hAnsi="宋体" w:eastAsia="黑体" w:cs="Times New Roman"/>
          <w:sz w:val="28"/>
          <w:szCs w:val="28"/>
        </w:rPr>
        <w:t>、其他约定事项</w:t>
      </w:r>
      <w:bookmarkEnd w:id="620"/>
      <w:bookmarkEnd w:id="621"/>
      <w:bookmarkEnd w:id="622"/>
      <w:bookmarkEnd w:id="623"/>
    </w:p>
    <w:p>
      <w:pPr>
        <w:spacing w:line="520" w:lineRule="exact"/>
        <w:rPr>
          <w:rFonts w:ascii="仿宋_GB2312" w:hAnsi="宋体" w:eastAsia="仿宋_GB2312" w:cs="Times New Roman"/>
          <w:sz w:val="28"/>
          <w:szCs w:val="28"/>
        </w:rPr>
      </w:pPr>
      <w:r>
        <w:rPr>
          <w:rFonts w:hint="eastAsia" w:ascii="仿宋_GB2312" w:hAnsi="宋体" w:eastAsia="宋体" w:cs="Times New Roman"/>
          <w:sz w:val="28"/>
          <w:szCs w:val="28"/>
        </w:rPr>
        <w:t xml:space="preserve"> </w:t>
      </w:r>
      <w:r>
        <w:rPr>
          <w:rFonts w:hint="eastAsia" w:ascii="仿宋_GB2312" w:hAnsi="宋体" w:cs="Times New Roman"/>
          <w:sz w:val="28"/>
          <w:szCs w:val="28"/>
          <w:lang w:val="en-US" w:eastAsia="zh-CN"/>
        </w:rPr>
        <w:t xml:space="preserve">   </w:t>
      </w:r>
      <w:r>
        <w:rPr>
          <w:rFonts w:hint="eastAsia" w:ascii="仿宋_GB2312" w:hAnsi="宋体" w:cs="Times New Roman"/>
          <w:sz w:val="28"/>
          <w:szCs w:val="28"/>
          <w:lang w:eastAsia="zh-CN"/>
        </w:rPr>
        <w:t>（</w:t>
      </w:r>
      <w:r>
        <w:rPr>
          <w:rFonts w:hint="eastAsia" w:ascii="仿宋_GB2312" w:hAnsi="宋体" w:cs="Times New Roman"/>
          <w:sz w:val="28"/>
          <w:szCs w:val="28"/>
          <w:lang w:val="en-US" w:eastAsia="zh-CN"/>
        </w:rPr>
        <w:t>一</w:t>
      </w:r>
      <w:r>
        <w:rPr>
          <w:rFonts w:hint="eastAsia" w:ascii="仿宋_GB2312" w:hAnsi="宋体" w:eastAsia="宋体" w:cs="Times New Roman"/>
          <w:sz w:val="28"/>
          <w:szCs w:val="28"/>
        </w:rPr>
        <w:t>）由于不可抗力因素影响合同履行时，未能履约的一方要在事发后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36</w:t>
      </w:r>
      <w:r>
        <w:rPr>
          <w:rFonts w:hint="eastAsia" w:ascii="仿宋_GB2312" w:hAnsi="宋体" w:eastAsia="宋体" w:cs="Times New Roman"/>
          <w:sz w:val="28"/>
          <w:szCs w:val="28"/>
        </w:rPr>
        <w:t>小时内将情况通知对方，并在事发后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14</w:t>
      </w:r>
      <w:r>
        <w:rPr>
          <w:rFonts w:hint="eastAsia" w:ascii="仿宋_GB2312" w:hAnsi="宋体" w:eastAsia="宋体" w:cs="Times New Roman"/>
          <w:sz w:val="28"/>
          <w:szCs w:val="28"/>
        </w:rPr>
        <w:t>日内向对方出具权威部门的证明文件。如果不可抗力影响持续</w:t>
      </w:r>
      <w:r>
        <w:rPr>
          <w:rFonts w:hint="eastAsia" w:ascii="仿宋_GB2312" w:hAnsi="宋体" w:eastAsia="宋体" w:cs="Times New Roman"/>
          <w:sz w:val="28"/>
          <w:szCs w:val="28"/>
          <w:u w:val="single"/>
          <w:lang w:val="en-US" w:eastAsia="zh-CN"/>
        </w:rPr>
        <w:t>120</w:t>
      </w:r>
      <w:r>
        <w:rPr>
          <w:rFonts w:hint="eastAsia" w:ascii="仿宋_GB2312" w:hAnsi="宋体" w:eastAsia="宋体" w:cs="Times New Roman"/>
          <w:sz w:val="28"/>
          <w:szCs w:val="28"/>
        </w:rPr>
        <w:t>日以上，甲乙双方可以重新商定合同履行问题。</w:t>
      </w:r>
    </w:p>
    <w:p>
      <w:pPr>
        <w:numPr>
          <w:ilvl w:val="0"/>
          <w:numId w:val="0"/>
        </w:numPr>
        <w:spacing w:line="520" w:lineRule="exact"/>
        <w:ind w:left="560" w:firstLine="0" w:firstLineChars="0"/>
        <w:rPr>
          <w:rFonts w:hint="eastAsia" w:ascii="仿宋_GB2312" w:hAnsi="宋体" w:eastAsia="宋体" w:cs="Times New Roman"/>
          <w:color w:val="auto"/>
          <w:sz w:val="28"/>
          <w:szCs w:val="28"/>
          <w:highlight w:val="none"/>
        </w:rPr>
      </w:pPr>
      <w:r>
        <w:rPr>
          <w:rFonts w:hint="eastAsia" w:ascii="仿宋_GB2312" w:hAnsi="宋体" w:eastAsia="宋体" w:cs="Times New Roman"/>
          <w:color w:val="auto"/>
          <w:sz w:val="28"/>
          <w:szCs w:val="28"/>
          <w:lang w:eastAsia="zh-CN"/>
        </w:rPr>
        <w:t>（</w:t>
      </w:r>
      <w:r>
        <w:rPr>
          <w:rFonts w:hint="eastAsia" w:ascii="仿宋_GB2312" w:hAnsi="宋体" w:cs="Times New Roman"/>
          <w:color w:val="auto"/>
          <w:sz w:val="28"/>
          <w:szCs w:val="28"/>
          <w:lang w:val="en-US" w:eastAsia="zh-CN"/>
        </w:rPr>
        <w:t>二</w:t>
      </w:r>
      <w:r>
        <w:rPr>
          <w:rFonts w:hint="eastAsia" w:ascii="仿宋_GB2312" w:hAnsi="宋体" w:eastAsia="宋体" w:cs="Times New Roman"/>
          <w:color w:val="auto"/>
          <w:sz w:val="28"/>
          <w:szCs w:val="28"/>
          <w:lang w:eastAsia="zh-CN"/>
        </w:rPr>
        <w:t>）</w:t>
      </w:r>
      <w:r>
        <w:rPr>
          <w:rFonts w:hint="eastAsia" w:ascii="仿宋_GB2312" w:hAnsi="宋体" w:eastAsia="宋体" w:cs="Times New Roman"/>
          <w:color w:val="auto"/>
          <w:sz w:val="28"/>
          <w:szCs w:val="28"/>
          <w:highlight w:val="none"/>
        </w:rPr>
        <w:t>未尽事宜，甲方、乙方协商解决。</w:t>
      </w:r>
    </w:p>
    <w:p>
      <w:pPr>
        <w:spacing w:line="520" w:lineRule="exact"/>
        <w:ind w:left="0" w:firstLine="560" w:firstLineChars="200"/>
        <w:jc w:val="left"/>
        <w:rPr>
          <w:rFonts w:hint="eastAsia" w:ascii="仿宋_GB2312" w:hAnsi="宋体" w:eastAsia="宋体" w:cs="Times New Roman"/>
          <w:snapToGrid/>
          <w:color w:val="auto"/>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u w:val="single"/>
          <w:lang w:val="en-US" w:eastAsia="zh-CN"/>
        </w:rPr>
        <w:t>三</w:t>
      </w:r>
      <w:r>
        <w:rPr>
          <w:rFonts w:hint="eastAsia" w:ascii="仿宋_GB2312" w:hAnsi="宋体" w:eastAsia="宋体" w:cs="Times New Roman"/>
          <w:snapToGrid/>
          <w:color w:val="auto"/>
          <w:sz w:val="28"/>
          <w:szCs w:val="28"/>
          <w:highlight w:val="none"/>
          <w:lang w:val="en-US" w:eastAsia="zh-CN"/>
        </w:rPr>
        <w:t>）若本设备使用耗材（试剂）</w:t>
      </w:r>
      <w:r>
        <w:rPr>
          <w:rFonts w:hint="eastAsia" w:ascii="仿宋_GB2312" w:hAnsi="宋体" w:eastAsia="宋体" w:cs="Times New Roman"/>
          <w:snapToGrid/>
          <w:color w:val="auto"/>
          <w:sz w:val="28"/>
          <w:szCs w:val="28"/>
          <w:highlight w:val="none"/>
        </w:rPr>
        <w:t>必须符合医院耗材（试剂）引进相关规定，与本合同无关；该设备确需使用耗材（试剂）或更换配件，则耗材（耗材）或配件价格应按市场价格进行调整，但不得高于本合同约定价格，且保证稳定供货。</w:t>
      </w:r>
    </w:p>
    <w:p>
      <w:pPr>
        <w:spacing w:line="520" w:lineRule="exact"/>
        <w:ind w:firstLine="560" w:firstLineChars="200"/>
        <w:jc w:val="left"/>
        <w:rPr>
          <w:rFonts w:hint="eastAsia" w:ascii="仿宋_GB2312" w:hAnsi="宋体" w:eastAsia="宋体" w:cs="Times New Roman"/>
          <w:snapToGrid/>
          <w:color w:val="auto"/>
          <w:sz w:val="28"/>
          <w:szCs w:val="28"/>
          <w:highlight w:val="none"/>
          <w:lang w:val="en-US" w:eastAsia="zh-CN"/>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四</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lang w:eastAsia="zh-CN"/>
        </w:rPr>
        <w:t>若乙方不遵从上述第（三）条约定而导致相应试剂（耗材）无法顺利引进的，乙方应按设备</w:t>
      </w:r>
      <w:r>
        <w:rPr>
          <w:rFonts w:hint="eastAsia" w:ascii="仿宋_GB2312" w:hAnsi="宋体" w:eastAsia="宋体" w:cs="Times New Roman"/>
          <w:snapToGrid/>
          <w:color w:val="auto"/>
          <w:sz w:val="28"/>
          <w:szCs w:val="28"/>
          <w:highlight w:val="none"/>
          <w:lang w:val="en-US" w:eastAsia="zh-CN"/>
        </w:rPr>
        <w:t>5年折旧计算设备剩余价值，并在试剂（耗材）停供一个月之内，按设备折旧剩余价值的2倍向甲方一次性支付赔偿款。</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五</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rPr>
        <w:t>鉴于签订合同时，乙方</w:t>
      </w:r>
      <w:r>
        <w:rPr>
          <w:rFonts w:hint="eastAsia" w:ascii="仿宋_GB2312" w:hAnsi="宋体" w:eastAsia="宋体" w:cs="Times New Roman"/>
          <w:snapToGrid/>
          <w:sz w:val="28"/>
          <w:szCs w:val="28"/>
          <w:highlight w:val="none"/>
        </w:rPr>
        <w:t>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eastAsia="zh-CN"/>
        </w:rPr>
      </w:pP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六</w:t>
      </w: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甲方</w:t>
      </w:r>
      <w:r>
        <w:rPr>
          <w:rFonts w:hint="eastAsia" w:ascii="仿宋_GB2312" w:hAnsi="宋体" w:eastAsia="宋体" w:cs="Times New Roman"/>
          <w:snapToGrid/>
          <w:sz w:val="28"/>
          <w:szCs w:val="28"/>
          <w:highlight w:val="none"/>
        </w:rPr>
        <w:t>可追加按规定产品采购数量，采购价格、服务保障等事宜以此合同为准</w:t>
      </w:r>
      <w:r>
        <w:rPr>
          <w:rFonts w:hint="eastAsia" w:ascii="仿宋_GB2312" w:hAnsi="宋体" w:eastAsia="宋体" w:cs="Times New Roman"/>
          <w:snapToGrid/>
          <w:sz w:val="28"/>
          <w:szCs w:val="28"/>
          <w:highlight w:val="none"/>
          <w:lang w:eastAsia="zh-CN"/>
        </w:rPr>
        <w:t>。</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val="en-US" w:eastAsia="zh-CN"/>
        </w:rPr>
      </w:pPr>
      <w:r>
        <w:rPr>
          <w:rFonts w:hint="eastAsia" w:ascii="仿宋_GB2312" w:hAnsi="宋体" w:eastAsia="宋体" w:cs="Times New Roman"/>
          <w:snapToGrid/>
          <w:sz w:val="28"/>
          <w:szCs w:val="28"/>
          <w:highlight w:val="none"/>
          <w:lang w:val="en-US" w:eastAsia="zh-CN"/>
        </w:rPr>
        <w:t>（七）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spacing w:line="520" w:lineRule="exact"/>
        <w:ind w:firstLine="560" w:firstLineChars="200"/>
        <w:outlineLvl w:val="2"/>
        <w:rPr>
          <w:rFonts w:hint="eastAsia" w:ascii="黑体" w:hAnsi="宋体" w:eastAsia="黑体" w:cs="Times New Roman"/>
          <w:sz w:val="28"/>
          <w:szCs w:val="28"/>
        </w:rPr>
      </w:pPr>
      <w:bookmarkStart w:id="624" w:name="_Toc14100"/>
      <w:bookmarkStart w:id="625" w:name="_Toc26893"/>
      <w:bookmarkStart w:id="626" w:name="_Toc6322"/>
      <w:bookmarkStart w:id="627" w:name="_Toc20946"/>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八</w:t>
      </w:r>
      <w:r>
        <w:rPr>
          <w:rFonts w:hint="eastAsia" w:ascii="黑体" w:hAnsi="宋体" w:eastAsia="黑体" w:cs="Times New Roman"/>
          <w:sz w:val="28"/>
          <w:szCs w:val="28"/>
        </w:rPr>
        <w:t>、合同生效</w:t>
      </w:r>
      <w:bookmarkEnd w:id="624"/>
      <w:bookmarkEnd w:id="625"/>
      <w:bookmarkEnd w:id="626"/>
      <w:bookmarkEnd w:id="627"/>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548" w:firstLineChars="196"/>
        <w:rPr>
          <w:rFonts w:ascii="仿宋_GB2312" w:hAnsi="宋体" w:eastAsia="宋体" w:cs="Times New Roman"/>
          <w:sz w:val="28"/>
          <w:szCs w:val="28"/>
        </w:rPr>
      </w:pPr>
      <w:r>
        <w:rPr>
          <w:rFonts w:hint="eastAsia" w:ascii="仿宋_GB2312" w:hAnsi="宋体" w:eastAsia="宋体" w:cs="Times New Roman"/>
          <w:sz w:val="28"/>
          <w:szCs w:val="28"/>
        </w:rPr>
        <w:t>（二）本合同一式</w:t>
      </w:r>
      <w:r>
        <w:rPr>
          <w:rFonts w:hint="eastAsia" w:ascii="仿宋_GB2312" w:hAnsi="宋体" w:eastAsia="宋体" w:cs="Times New Roman"/>
          <w:sz w:val="28"/>
          <w:szCs w:val="28"/>
          <w:u w:val="single"/>
        </w:rPr>
        <w:t xml:space="preserve"> </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份，甲</w:t>
      </w:r>
      <w:r>
        <w:rPr>
          <w:rFonts w:hint="eastAsia" w:ascii="仿宋_GB2312" w:hAnsi="宋体" w:eastAsia="宋体" w:cs="Times New Roman"/>
          <w:sz w:val="28"/>
          <w:szCs w:val="28"/>
          <w:lang w:eastAsia="zh-CN"/>
        </w:rPr>
        <w:t>方</w:t>
      </w:r>
      <w:r>
        <w:rPr>
          <w:rFonts w:hint="eastAsia" w:ascii="仿宋_GB2312" w:hAnsi="宋体" w:eastAsia="宋体" w:cs="Times New Roman"/>
          <w:sz w:val="28"/>
          <w:szCs w:val="28"/>
          <w:u w:val="single"/>
          <w:lang w:val="en-US" w:eastAsia="zh-CN"/>
        </w:rPr>
        <w:t xml:space="preserve">  </w:t>
      </w:r>
      <w:r>
        <w:rPr>
          <w:rFonts w:hint="eastAsia" w:ascii="仿宋_GB2312" w:hAnsi="宋体" w:eastAsia="宋体" w:cs="Times New Roman"/>
          <w:sz w:val="28"/>
          <w:szCs w:val="28"/>
          <w:u w:val="none"/>
          <w:lang w:val="en-US" w:eastAsia="zh-CN"/>
        </w:rPr>
        <w:t>份，乙方壹份，</w:t>
      </w:r>
      <w:r>
        <w:rPr>
          <w:rFonts w:hint="eastAsia" w:ascii="仿宋_GB2312" w:hAnsi="宋体" w:eastAsia="宋体" w:cs="Times New Roman"/>
          <w:sz w:val="28"/>
          <w:szCs w:val="28"/>
        </w:rPr>
        <w:t>具有同等法律效力。</w:t>
      </w:r>
    </w:p>
    <w:p>
      <w:pPr>
        <w:spacing w:line="520" w:lineRule="exact"/>
        <w:ind w:firstLine="560" w:firstLineChars="200"/>
        <w:outlineLvl w:val="2"/>
        <w:rPr>
          <w:rFonts w:hint="eastAsia" w:ascii="黑体" w:hAnsi="宋体" w:eastAsia="黑体" w:cs="Times New Roman"/>
          <w:sz w:val="28"/>
          <w:szCs w:val="28"/>
        </w:rPr>
      </w:pPr>
      <w:bookmarkStart w:id="628" w:name="_Toc7563"/>
      <w:bookmarkStart w:id="629" w:name="_Toc32385"/>
      <w:bookmarkStart w:id="630" w:name="_Toc83738992"/>
      <w:bookmarkStart w:id="631" w:name="_Toc8213"/>
      <w:bookmarkStart w:id="632" w:name="_Toc26929"/>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九</w:t>
      </w:r>
      <w:r>
        <w:rPr>
          <w:rFonts w:hint="eastAsia" w:ascii="黑体" w:hAnsi="宋体" w:eastAsia="黑体" w:cs="Times New Roman"/>
          <w:sz w:val="28"/>
          <w:szCs w:val="28"/>
        </w:rPr>
        <w:t>、合同附件</w:t>
      </w:r>
      <w:bookmarkEnd w:id="628"/>
      <w:bookmarkEnd w:id="629"/>
      <w:bookmarkEnd w:id="630"/>
      <w:bookmarkEnd w:id="631"/>
      <w:bookmarkEnd w:id="632"/>
    </w:p>
    <w:p>
      <w:pPr>
        <w:spacing w:line="520" w:lineRule="exact"/>
        <w:ind w:firstLine="548" w:firstLineChars="196"/>
        <w:rPr>
          <w:rFonts w:ascii="仿宋_GB2312"/>
          <w:sz w:val="28"/>
          <w:szCs w:val="28"/>
        </w:rPr>
      </w:pPr>
      <w:r>
        <w:rPr>
          <w:rFonts w:hint="eastAsia" w:ascii="仿宋_GB2312"/>
          <w:sz w:val="28"/>
          <w:szCs w:val="28"/>
        </w:rPr>
        <w:t>（一）分项报价表</w:t>
      </w:r>
    </w:p>
    <w:p>
      <w:pPr>
        <w:spacing w:line="520" w:lineRule="exact"/>
        <w:ind w:firstLine="548" w:firstLineChars="196"/>
        <w:rPr>
          <w:rFonts w:ascii="仿宋_GB2312"/>
          <w:sz w:val="28"/>
          <w:szCs w:val="28"/>
        </w:rPr>
      </w:pPr>
      <w:r>
        <w:rPr>
          <w:rFonts w:hint="eastAsia" w:ascii="仿宋_GB2312"/>
          <w:sz w:val="28"/>
          <w:szCs w:val="28"/>
        </w:rPr>
        <w:t>（二）主要产品技术性能参数表</w:t>
      </w:r>
    </w:p>
    <w:p>
      <w:pPr>
        <w:spacing w:line="520" w:lineRule="exact"/>
        <w:ind w:firstLine="548" w:firstLineChars="196"/>
        <w:rPr>
          <w:rFonts w:ascii="仿宋_GB2312"/>
          <w:sz w:val="28"/>
          <w:szCs w:val="28"/>
        </w:rPr>
      </w:pPr>
      <w:r>
        <w:rPr>
          <w:rFonts w:hint="eastAsia" w:ascii="仿宋_GB2312"/>
          <w:sz w:val="28"/>
          <w:szCs w:val="28"/>
        </w:rPr>
        <w:t>（三）交货清单</w:t>
      </w:r>
    </w:p>
    <w:p>
      <w:pPr>
        <w:spacing w:line="520" w:lineRule="exact"/>
        <w:ind w:firstLine="548" w:firstLineChars="196"/>
        <w:rPr>
          <w:rFonts w:ascii="仿宋_GB2312"/>
          <w:sz w:val="28"/>
          <w:szCs w:val="28"/>
        </w:rPr>
      </w:pPr>
      <w:r>
        <w:rPr>
          <w:rFonts w:hint="eastAsia" w:ascii="仿宋_GB2312"/>
          <w:sz w:val="28"/>
          <w:szCs w:val="28"/>
        </w:rPr>
        <w:t>（四）易损易耗件清单</w:t>
      </w:r>
    </w:p>
    <w:p>
      <w:pPr>
        <w:spacing w:line="520" w:lineRule="exact"/>
        <w:ind w:firstLine="548" w:firstLineChars="196"/>
        <w:rPr>
          <w:rFonts w:ascii="仿宋_GB2312"/>
          <w:sz w:val="28"/>
          <w:szCs w:val="28"/>
        </w:rPr>
      </w:pPr>
      <w:r>
        <w:rPr>
          <w:rFonts w:hint="eastAsia" w:ascii="仿宋_GB2312"/>
          <w:sz w:val="28"/>
          <w:szCs w:val="28"/>
        </w:rPr>
        <w:t>（五）售后服务承诺</w:t>
      </w:r>
    </w:p>
    <w:p>
      <w:pPr>
        <w:spacing w:line="520" w:lineRule="exact"/>
        <w:ind w:firstLine="548" w:firstLineChars="196"/>
        <w:rPr>
          <w:rFonts w:ascii="仿宋_GB2312"/>
          <w:sz w:val="28"/>
          <w:szCs w:val="28"/>
          <w:lang w:val="zh-CN"/>
        </w:rPr>
      </w:pPr>
      <w:r>
        <w:rPr>
          <w:rFonts w:hint="eastAsia" w:ascii="仿宋_GB2312"/>
          <w:sz w:val="28"/>
          <w:szCs w:val="28"/>
        </w:rPr>
        <w:t>（六）</w:t>
      </w:r>
      <w:r>
        <w:rPr>
          <w:rFonts w:hint="eastAsia" w:ascii="仿宋_GB2312"/>
          <w:sz w:val="28"/>
          <w:szCs w:val="28"/>
          <w:lang w:val="zh-CN"/>
        </w:rPr>
        <w:t>供应商承诺及书面声明</w:t>
      </w:r>
    </w:p>
    <w:p>
      <w:pPr>
        <w:spacing w:line="520" w:lineRule="exact"/>
        <w:ind w:firstLine="548" w:firstLineChars="196"/>
        <w:rPr>
          <w:rFonts w:hint="eastAsia" w:ascii="仿宋_GB2312"/>
          <w:sz w:val="28"/>
          <w:szCs w:val="28"/>
        </w:rPr>
      </w:pPr>
      <w:r>
        <w:rPr>
          <w:rFonts w:hint="eastAsia" w:ascii="仿宋_GB2312"/>
          <w:sz w:val="28"/>
          <w:szCs w:val="28"/>
        </w:rPr>
        <w:t>（七）厂家对报价产品的授权委托书</w:t>
      </w:r>
    </w:p>
    <w:p>
      <w:pPr>
        <w:spacing w:line="520" w:lineRule="exact"/>
        <w:ind w:firstLine="548" w:firstLineChars="196"/>
        <w:rPr>
          <w:rFonts w:hint="eastAsia" w:ascii="仿宋_GB2312" w:hAnsi="Times New Roman" w:cs="Times New Roman"/>
          <w:sz w:val="28"/>
          <w:szCs w:val="28"/>
        </w:rPr>
      </w:pPr>
      <w:r>
        <w:rPr>
          <w:rFonts w:hint="eastAsia" w:ascii="仿宋_GB2312" w:hAnsi="Times New Roman" w:cs="Times New Roman"/>
          <w:sz w:val="28"/>
          <w:szCs w:val="28"/>
          <w:lang w:val="en-US" w:eastAsia="zh-CN"/>
        </w:rPr>
        <w:t>（八）试剂耗材价格表</w:t>
      </w:r>
    </w:p>
    <w:p>
      <w:pPr>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b w:val="0"/>
          <w:bCs/>
          <w:sz w:val="28"/>
          <w:szCs w:val="28"/>
        </w:rPr>
      </w:pPr>
      <w:r>
        <w:rPr>
          <w:rFonts w:hint="eastAsia" w:ascii="仿宋_GB2312"/>
          <w:sz w:val="28"/>
          <w:szCs w:val="28"/>
        </w:rPr>
        <w:t>注释：本合同样本中的条款仅作为双方签订合同的参考，为阐明各方的权利和义务，经协商可增加新的条款。但不得与招标文件、中标供应商投标文件的实质性内容相背离。</w:t>
      </w:r>
    </w:p>
    <w:bookmarkEnd w:id="583"/>
    <w:bookmarkEnd w:id="584"/>
    <w:p>
      <w:pPr>
        <w:rPr>
          <w:rFonts w:hint="eastAsia" w:ascii="Arial" w:hAnsi="Arial" w:eastAsia="方正小标宋简体" w:cs="Times New Roman"/>
          <w:b w:val="0"/>
          <w:bCs/>
          <w:kern w:val="2"/>
          <w:sz w:val="44"/>
          <w:szCs w:val="44"/>
          <w:lang w:val="zh-CN" w:eastAsia="zh-CN" w:bidi="ar-SA"/>
        </w:rPr>
      </w:pPr>
      <w:bookmarkStart w:id="633" w:name="_Toc29652"/>
      <w:bookmarkStart w:id="634" w:name="_Toc21997"/>
      <w:bookmarkStart w:id="635" w:name="_Toc2924"/>
      <w:bookmarkStart w:id="636" w:name="_Toc25740"/>
      <w:bookmarkStart w:id="637" w:name="_Toc9670"/>
      <w:bookmarkStart w:id="638" w:name="_Toc30854"/>
      <w:bookmarkStart w:id="639" w:name="_Toc8827"/>
      <w:r>
        <w:rPr>
          <w:rFonts w:hint="eastAsia" w:ascii="Arial" w:hAnsi="Arial" w:eastAsia="方正小标宋简体" w:cs="Times New Roman"/>
          <w:b w:val="0"/>
          <w:bCs/>
          <w:kern w:val="2"/>
          <w:sz w:val="44"/>
          <w:szCs w:val="44"/>
          <w:lang w:val="zh-CN" w:eastAsia="zh-CN" w:bidi="ar-SA"/>
        </w:rPr>
        <w:br w:type="page"/>
      </w: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default" w:ascii="Times New Roman" w:hAnsi="Times New Roman" w:eastAsia="宋体" w:cs="Times New Roman"/>
          <w:b w:val="0"/>
          <w:bCs/>
          <w:kern w:val="2"/>
          <w:sz w:val="44"/>
          <w:szCs w:val="44"/>
          <w:lang w:val="en-US" w:eastAsia="zh-CN" w:bidi="ar-SA"/>
        </w:rPr>
      </w:pPr>
      <w:bookmarkStart w:id="640" w:name="_Toc7622"/>
      <w:r>
        <w:rPr>
          <w:rFonts w:hint="eastAsia" w:ascii="Arial" w:hAnsi="Arial" w:eastAsia="方正小标宋简体" w:cs="Times New Roman"/>
          <w:b w:val="0"/>
          <w:bCs/>
          <w:kern w:val="2"/>
          <w:sz w:val="44"/>
          <w:szCs w:val="44"/>
          <w:lang w:val="zh-CN" w:eastAsia="zh-CN" w:bidi="ar-SA"/>
        </w:rPr>
        <w:t xml:space="preserve">第七章 </w:t>
      </w:r>
      <w:r>
        <w:rPr>
          <w:rFonts w:hint="eastAsia" w:ascii="Arial" w:hAnsi="Arial" w:eastAsia="方正小标宋简体" w:cs="Times New Roman"/>
          <w:b w:val="0"/>
          <w:bCs/>
          <w:kern w:val="2"/>
          <w:sz w:val="44"/>
          <w:szCs w:val="44"/>
          <w:lang w:val="en-US" w:eastAsia="zh-CN" w:bidi="ar-SA"/>
        </w:rPr>
        <w:t>商务技术</w:t>
      </w:r>
      <w:bookmarkEnd w:id="633"/>
      <w:r>
        <w:rPr>
          <w:rFonts w:hint="eastAsia" w:ascii="Arial" w:hAnsi="Arial" w:eastAsia="方正小标宋简体" w:cs="Times New Roman"/>
          <w:b w:val="0"/>
          <w:bCs/>
          <w:kern w:val="2"/>
          <w:sz w:val="44"/>
          <w:szCs w:val="44"/>
          <w:lang w:val="en-US" w:eastAsia="zh-CN" w:bidi="ar-SA"/>
        </w:rPr>
        <w:t>文件</w:t>
      </w:r>
      <w:bookmarkEnd w:id="634"/>
      <w:bookmarkEnd w:id="635"/>
      <w:bookmarkEnd w:id="636"/>
      <w:bookmarkEnd w:id="640"/>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eastAsia" w:ascii="黑体" w:hAnsi="黑体" w:eastAsia="黑体"/>
          <w:b w:val="0"/>
          <w:bCs/>
          <w:sz w:val="28"/>
          <w:szCs w:val="28"/>
        </w:rPr>
      </w:pPr>
      <w:bookmarkStart w:id="641" w:name="_Toc32587"/>
      <w:bookmarkStart w:id="642" w:name="_Toc29031"/>
      <w:bookmarkStart w:id="643" w:name="_Toc4777"/>
      <w:bookmarkStart w:id="644" w:name="_Toc8478"/>
      <w:r>
        <w:rPr>
          <w:rFonts w:hint="eastAsia" w:ascii="黑体" w:hAnsi="黑体" w:eastAsia="黑体"/>
          <w:b w:val="0"/>
          <w:bCs/>
          <w:sz w:val="28"/>
          <w:szCs w:val="28"/>
        </w:rPr>
        <w:t>附表1 资格性审查表</w:t>
      </w:r>
      <w:bookmarkEnd w:id="637"/>
      <w:bookmarkEnd w:id="638"/>
      <w:bookmarkEnd w:id="639"/>
      <w:bookmarkEnd w:id="641"/>
      <w:bookmarkEnd w:id="642"/>
      <w:bookmarkEnd w:id="643"/>
      <w:bookmarkEnd w:id="644"/>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645" w:name="_Hlk112524014"/>
      <w:r>
        <w:rPr>
          <w:rFonts w:hint="eastAsia" w:ascii="黑体" w:hAnsi="黑体" w:eastAsia="黑体"/>
          <w:b w:val="0"/>
          <w:bCs/>
          <w:sz w:val="36"/>
          <w:szCs w:val="36"/>
        </w:rPr>
        <w:t>资格性审查表</w:t>
      </w:r>
    </w:p>
    <w:bookmarkEnd w:id="645"/>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676"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一、一般资格审查</w:t>
            </w:r>
          </w:p>
        </w:tc>
      </w:tr>
      <w:tr>
        <w:tblPrEx>
          <w:tblCellMar>
            <w:top w:w="0" w:type="dxa"/>
            <w:left w:w="108" w:type="dxa"/>
            <w:bottom w:w="0" w:type="dxa"/>
            <w:right w:w="108" w:type="dxa"/>
          </w:tblCellMar>
        </w:tblPrEx>
        <w:trPr>
          <w:trHeight w:val="2113"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1.营业执照或事业单位法人证书满足招标文件要求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2.法定代表人资格证明书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117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 xml:space="preserve">3. </w:t>
            </w:r>
            <w:r>
              <w:rPr>
                <w:rFonts w:hint="eastAsia" w:ascii="宋体" w:hAnsi="宋体"/>
                <w:b w:val="0"/>
                <w:bCs/>
                <w:szCs w:val="21"/>
              </w:rPr>
              <w:t>法定代表人授权书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b w:val="0"/>
                <w:bCs/>
                <w:color w:val="auto"/>
                <w:szCs w:val="21"/>
                <w:lang w:val="en-US" w:eastAsia="zh-CN"/>
              </w:rPr>
              <w:t>提供授权代表投标前4个月内（不含投标当月）连续3个月由投标供应商缴纳的社保证明材料。代缴社保证明材料不予认可。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cs="宋体"/>
                <w:b w:val="0"/>
                <w:bCs/>
                <w:szCs w:val="21"/>
              </w:rPr>
              <w:t>4.</w:t>
            </w:r>
            <w:r>
              <w:rPr>
                <w:b w:val="0"/>
                <w:bCs/>
              </w:rPr>
              <w:t xml:space="preserve"> </w:t>
            </w:r>
            <w:r>
              <w:rPr>
                <w:rFonts w:hint="eastAsia" w:ascii="宋体" w:hAnsi="宋体" w:cs="宋体"/>
                <w:b w:val="0"/>
                <w:bCs/>
                <w:szCs w:val="21"/>
              </w:rPr>
              <w:t>申领招标文件</w:t>
            </w:r>
            <w:bookmarkStart w:id="646" w:name="_Hlk112258452"/>
            <w:r>
              <w:rPr>
                <w:rFonts w:hint="eastAsia" w:ascii="宋体" w:hAnsi="宋体" w:cs="宋体"/>
                <w:b w:val="0"/>
                <w:bCs/>
                <w:szCs w:val="21"/>
              </w:rPr>
              <w:t>截止</w:t>
            </w:r>
            <w:r>
              <w:rPr>
                <w:rFonts w:hint="eastAsia" w:ascii="宋体" w:hAnsi="宋体"/>
                <w:b w:val="0"/>
                <w:bCs/>
                <w:szCs w:val="21"/>
              </w:rPr>
              <w:t>时间</w:t>
            </w:r>
            <w:bookmarkEnd w:id="646"/>
            <w:r>
              <w:rPr>
                <w:rFonts w:hint="eastAsia" w:ascii="宋体" w:hAnsi="宋体" w:cs="宋体"/>
                <w:b w:val="0"/>
                <w:bCs/>
                <w:szCs w:val="21"/>
              </w:rPr>
              <w:t>，供应商成立时间不少于</w:t>
            </w:r>
            <w:r>
              <w:rPr>
                <w:rFonts w:ascii="宋体" w:hAnsi="宋体" w:cs="宋体"/>
                <w:b w:val="0"/>
                <w:bCs/>
                <w:szCs w:val="21"/>
                <w:highlight w:val="none"/>
              </w:rPr>
              <w:t>3年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国有企业、事业单位、军队单位除外</w:t>
            </w:r>
          </w:p>
        </w:tc>
      </w:tr>
      <w:tr>
        <w:tblPrEx>
          <w:tblCellMar>
            <w:top w:w="0" w:type="dxa"/>
            <w:left w:w="108" w:type="dxa"/>
            <w:bottom w:w="0" w:type="dxa"/>
            <w:right w:w="108" w:type="dxa"/>
          </w:tblCellMar>
        </w:tblPrEx>
        <w:trPr>
          <w:trHeight w:val="1999"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5.供应商承诺及书面声明</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val="0"/>
                <w:bCs/>
                <w:szCs w:val="21"/>
                <w:lang w:eastAsia="zh-CN"/>
              </w:rPr>
            </w:pPr>
            <w:r>
              <w:rPr>
                <w:rFonts w:hint="eastAsia" w:ascii="宋体" w:hAnsi="宋体"/>
                <w:b w:val="0"/>
                <w:bCs/>
                <w:szCs w:val="21"/>
              </w:rPr>
              <w:t>承诺及书面声明应当</w:t>
            </w:r>
            <w:r>
              <w:rPr>
                <w:rFonts w:hint="eastAsia" w:ascii="宋体" w:hAnsi="宋体" w:cs="宋体"/>
                <w:b w:val="0"/>
                <w:bCs/>
                <w:szCs w:val="21"/>
              </w:rPr>
              <w:t>包含供应商诚信承诺、保密承诺、诚信责任保证金承诺、未被列入失信名单承诺、</w:t>
            </w:r>
            <w:r>
              <w:rPr>
                <w:rFonts w:hint="eastAsia" w:ascii="宋体" w:hAnsi="宋体" w:cs="宋体"/>
                <w:b w:val="0"/>
                <w:bCs/>
                <w:szCs w:val="21"/>
                <w:lang w:eastAsia="zh-CN"/>
              </w:rPr>
              <w:t>关联</w:t>
            </w:r>
            <w:r>
              <w:rPr>
                <w:rFonts w:hint="eastAsia" w:ascii="宋体" w:hAnsi="宋体" w:cs="宋体"/>
                <w:b w:val="0"/>
                <w:bCs/>
                <w:szCs w:val="21"/>
              </w:rPr>
              <w:t>关系企业不参与采购活动承诺、没有重大违法记录、没有发生过重大质量安全事故、非外资独资企业或外资控股企业的书面声明</w:t>
            </w:r>
            <w:r>
              <w:rPr>
                <w:rFonts w:hint="eastAsia" w:ascii="宋体" w:hAnsi="宋体" w:cs="宋体"/>
                <w:b w:val="0"/>
                <w:bCs/>
                <w:szCs w:val="21"/>
                <w:lang w:eastAsia="zh-CN"/>
              </w:rPr>
              <w:t>。</w:t>
            </w:r>
          </w:p>
        </w:tc>
      </w:tr>
      <w:tr>
        <w:tblPrEx>
          <w:tblCellMar>
            <w:top w:w="0" w:type="dxa"/>
            <w:left w:w="108" w:type="dxa"/>
            <w:bottom w:w="0" w:type="dxa"/>
            <w:right w:w="108" w:type="dxa"/>
          </w:tblCellMar>
        </w:tblPrEx>
        <w:trPr>
          <w:trHeight w:val="1356"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6.投标供应商最近一年内（投标时间截止前）</w:t>
            </w:r>
            <w:r>
              <w:rPr>
                <w:rFonts w:hint="eastAsia" w:ascii="宋体" w:hAnsi="宋体"/>
                <w:b w:val="0"/>
                <w:bCs/>
                <w:szCs w:val="21"/>
              </w:rPr>
              <w:t>任意</w:t>
            </w:r>
            <w:r>
              <w:rPr>
                <w:rFonts w:ascii="宋体" w:hAnsi="宋体"/>
                <w:b w:val="0"/>
                <w:bCs/>
                <w:szCs w:val="21"/>
              </w:rPr>
              <w:t>6个月纳税的证明材料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7.投标供应商最近一年内（投标时间截止前）任意6个月缴纳社会保障金的证明材料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2576" w:hRule="exact"/>
          <w:jc w:val="center"/>
        </w:trPr>
        <w:tc>
          <w:tcPr>
            <w:tcW w:w="3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ascii="宋体" w:hAnsi="宋体"/>
                <w:b w:val="0"/>
                <w:bCs/>
                <w:szCs w:val="21"/>
              </w:rPr>
              <w:t>8.投标供应商提供会计师事务所出具的近3年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ascii="宋体" w:hAnsi="宋体"/>
                <w:b w:val="0"/>
                <w:bCs/>
                <w:szCs w:val="21"/>
              </w:rPr>
              <w:t>审计报告</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审计报告应当包含报告正文、资产负债表、利润表、现金流量表及所有者权益变动表（无所有者权益表的提供书面说明）、附注和会计师事务所营业执照，报告正文应当有会计师事务所公章，</w:t>
            </w:r>
            <w:r>
              <w:rPr>
                <w:rFonts w:ascii="宋体" w:hAnsi="宋体" w:cs="宋体"/>
                <w:b w:val="0"/>
                <w:bCs/>
                <w:szCs w:val="21"/>
              </w:rPr>
              <w:t>2个注册会计师的签字和盖章。军队单位、事业单位无法提供审计报告的，可由上级管理部门批复的决算（或内部会计报表）代替。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916"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9.投标保证金满足招标文件要求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sz w:val="21"/>
                <w:szCs w:val="21"/>
              </w:rPr>
              <w:t>根据投标人缴纳情况，采购机构进行现场核查缴纳情况</w:t>
            </w:r>
          </w:p>
        </w:tc>
      </w:tr>
      <w:tr>
        <w:tblPrEx>
          <w:tblCellMar>
            <w:top w:w="0" w:type="dxa"/>
            <w:left w:w="108" w:type="dxa"/>
            <w:bottom w:w="0" w:type="dxa"/>
            <w:right w:w="108" w:type="dxa"/>
          </w:tblCellMar>
        </w:tblPrEx>
        <w:trPr>
          <w:trHeight w:val="708"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highlight w:val="none"/>
              </w:rPr>
            </w:pPr>
            <w:r>
              <w:rPr>
                <w:rFonts w:hint="eastAsia" w:ascii="宋体" w:hAnsi="宋体" w:cs="宋体"/>
                <w:b w:val="0"/>
                <w:bCs/>
                <w:szCs w:val="21"/>
                <w:highlight w:val="none"/>
              </w:rPr>
              <w:t>二、特定资质审查</w:t>
            </w:r>
          </w:p>
        </w:tc>
      </w:tr>
      <w:tr>
        <w:tblPrEx>
          <w:tblCellMar>
            <w:top w:w="0" w:type="dxa"/>
            <w:left w:w="108" w:type="dxa"/>
            <w:bottom w:w="0" w:type="dxa"/>
            <w:right w:w="108" w:type="dxa"/>
          </w:tblCellMar>
        </w:tblPrEx>
        <w:trPr>
          <w:trHeight w:val="116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hint="eastAsia" w:ascii="宋体" w:hAnsi="宋体"/>
                <w:b w:val="0"/>
                <w:bCs/>
                <w:szCs w:val="21"/>
                <w:lang w:val="en-US" w:eastAsia="zh-CN"/>
              </w:rPr>
              <w:t>1.</w:t>
            </w:r>
            <w:r>
              <w:rPr>
                <w:rFonts w:hint="eastAsia" w:ascii="宋体" w:hAnsi="宋体"/>
                <w:sz w:val="21"/>
                <w:szCs w:val="21"/>
              </w:rPr>
              <w:t>投标产品属于投标人主营或主营范围。</w:t>
            </w:r>
            <w:r>
              <w:rPr>
                <w:rFonts w:hint="eastAsia" w:ascii="宋体" w:hAnsi="宋体"/>
                <w:sz w:val="21"/>
                <w:szCs w:val="21"/>
                <w:lang w:eastAsia="zh-CN"/>
              </w:rPr>
              <w:t>（</w:t>
            </w:r>
            <w:r>
              <w:rPr>
                <w:rFonts w:hint="eastAsia" w:ascii="宋体" w:hAnsi="宋体" w:cs="宋体"/>
                <w:sz w:val="21"/>
                <w:szCs w:val="21"/>
              </w:rPr>
              <w:t>以投标人提供的营业执照（事业单位法人证书）或生产许可证或经营许可证或备案凭证等证明材料为准。</w:t>
            </w:r>
            <w:r>
              <w:rPr>
                <w:rFonts w:hint="eastAsia" w:ascii="宋体" w:hAnsi="宋体"/>
                <w:sz w:val="21"/>
                <w:szCs w:val="21"/>
                <w:lang w:eastAsia="zh-CN"/>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根据特定资质证明材料判定</w:t>
            </w:r>
          </w:p>
        </w:tc>
      </w:tr>
      <w:tr>
        <w:tblPrEx>
          <w:tblCellMar>
            <w:top w:w="0" w:type="dxa"/>
            <w:left w:w="108" w:type="dxa"/>
            <w:bottom w:w="0" w:type="dxa"/>
            <w:right w:w="108" w:type="dxa"/>
          </w:tblCellMar>
        </w:tblPrEx>
        <w:trPr>
          <w:trHeight w:val="413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Times New Roman"/>
                <w:sz w:val="21"/>
                <w:szCs w:val="21"/>
              </w:rPr>
            </w:pPr>
            <w:r>
              <w:rPr>
                <w:rFonts w:hint="eastAsia" w:ascii="宋体" w:hAnsi="宋体" w:cs="Times New Roman"/>
                <w:sz w:val="21"/>
                <w:szCs w:val="21"/>
                <w:lang w:val="en-US" w:eastAsia="zh-CN"/>
              </w:rPr>
              <w:t>2.1</w:t>
            </w:r>
            <w:r>
              <w:rPr>
                <w:rFonts w:hint="eastAsia" w:ascii="宋体" w:hAnsi="宋体" w:eastAsia="宋体" w:cs="Times New Roman"/>
                <w:sz w:val="21"/>
                <w:szCs w:val="21"/>
              </w:rPr>
              <w:t>投标人如为生产厂家，则须提供营业执照，医疗器械生产许可证或医疗器械生产备案凭证，以及医疗器械经营许可证或医疗器械经营备案凭证；</w:t>
            </w:r>
          </w:p>
          <w:p>
            <w:pPr>
              <w:spacing w:line="240" w:lineRule="exact"/>
              <w:rPr>
                <w:rFonts w:hint="eastAsia" w:ascii="宋体" w:hAnsi="宋体" w:eastAsia="宋体" w:cs="Times New Roman"/>
                <w:sz w:val="21"/>
                <w:szCs w:val="21"/>
                <w:lang w:eastAsia="zh-CN"/>
              </w:rPr>
            </w:pPr>
            <w:r>
              <w:rPr>
                <w:rFonts w:hint="eastAsia" w:ascii="宋体" w:hAnsi="宋体" w:cs="Times New Roman"/>
                <w:sz w:val="21"/>
                <w:szCs w:val="21"/>
                <w:lang w:val="en-US" w:eastAsia="zh-CN"/>
              </w:rPr>
              <w:t>2</w:t>
            </w:r>
            <w:r>
              <w:rPr>
                <w:rFonts w:hint="eastAsia" w:ascii="宋体" w:hAnsi="宋体" w:eastAsia="宋体" w:cs="Times New Roman"/>
                <w:sz w:val="21"/>
                <w:szCs w:val="21"/>
              </w:rPr>
              <w:t>.2投标人如为产品代理商，须提供所投产品生产厂家的营业执照、医疗器械生产许可证或医疗器械生产备案凭证（</w:t>
            </w:r>
            <w:r>
              <w:rPr>
                <w:rFonts w:hint="eastAsia" w:ascii="宋体" w:hAnsi="宋体" w:eastAsia="宋体" w:cs="Times New Roman"/>
                <w:sz w:val="21"/>
                <w:szCs w:val="21"/>
                <w:lang w:eastAsia="zh-CN"/>
              </w:rPr>
              <w:t>进口产品除外</w:t>
            </w:r>
            <w:r>
              <w:rPr>
                <w:rFonts w:hint="eastAsia" w:ascii="宋体" w:hAnsi="宋体" w:eastAsia="宋体" w:cs="Times New Roman"/>
                <w:sz w:val="21"/>
                <w:szCs w:val="21"/>
              </w:rPr>
              <w:t>）</w:t>
            </w:r>
            <w:r>
              <w:rPr>
                <w:rFonts w:hint="eastAsia" w:ascii="宋体" w:hAnsi="宋体" w:eastAsia="宋体" w:cs="Times New Roman"/>
                <w:sz w:val="21"/>
                <w:szCs w:val="21"/>
                <w:lang w:eastAsia="zh-CN"/>
              </w:rPr>
              <w:t>，</w:t>
            </w:r>
            <w:r>
              <w:rPr>
                <w:rFonts w:hint="eastAsia" w:ascii="宋体" w:hAnsi="宋体" w:eastAsia="宋体" w:cs="Times New Roman"/>
                <w:sz w:val="21"/>
                <w:szCs w:val="21"/>
              </w:rPr>
              <w:t>各级代理商及投标人还须提供营业执照、医疗器械经营许可证（备案凭证）</w:t>
            </w:r>
            <w:r>
              <w:rPr>
                <w:rFonts w:hint="eastAsia" w:ascii="宋体" w:hAnsi="宋体" w:eastAsia="宋体" w:cs="Times New Roman"/>
                <w:sz w:val="21"/>
                <w:szCs w:val="21"/>
                <w:lang w:eastAsia="zh-CN"/>
              </w:rPr>
              <w:t>。</w:t>
            </w:r>
          </w:p>
          <w:p>
            <w:pPr>
              <w:spacing w:line="240" w:lineRule="exact"/>
              <w:rPr>
                <w:rFonts w:ascii="宋体" w:hAnsi="宋体"/>
                <w:b w:val="0"/>
                <w:bCs/>
                <w:szCs w:val="21"/>
              </w:rPr>
            </w:pPr>
            <w:r>
              <w:rPr>
                <w:rFonts w:hint="eastAsia" w:ascii="宋体" w:hAnsi="宋体" w:cs="Times New Roman"/>
                <w:sz w:val="21"/>
                <w:szCs w:val="21"/>
                <w:lang w:val="en-US" w:eastAsia="zh-CN"/>
              </w:rPr>
              <w:t>2</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1"/>
                <w:szCs w:val="21"/>
                <w:lang w:eastAsia="zh-CN"/>
              </w:rPr>
              <w:t>，资质证明材料需追溯至国内总代</w:t>
            </w:r>
            <w:r>
              <w:rPr>
                <w:rFonts w:hint="eastAsia" w:ascii="宋体" w:hAnsi="宋体" w:eastAsia="宋体" w:cs="Times New Roman"/>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941"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hint="eastAsia" w:ascii="宋体" w:hAnsi="宋体" w:cs="Times New Roman"/>
                <w:sz w:val="21"/>
                <w:szCs w:val="21"/>
                <w:lang w:val="en-US" w:eastAsia="zh-CN"/>
              </w:rPr>
              <w:t>3.</w:t>
            </w:r>
            <w:r>
              <w:rPr>
                <w:rFonts w:hint="eastAsia" w:ascii="宋体" w:hAnsi="宋体" w:eastAsia="宋体" w:cs="Times New Roman"/>
                <w:sz w:val="21"/>
                <w:szCs w:val="21"/>
              </w:rPr>
              <w:t>所投产品还需提供医疗器械注册登记表或医疗器械生产产品登记表或医疗器械注册（备案）证。</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772"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rPr>
          <w:rFonts w:hint="eastAsia"/>
          <w:b w:val="0"/>
          <w:bCs/>
          <w:szCs w:val="21"/>
        </w:rPr>
      </w:pPr>
      <w:r>
        <w:rPr>
          <w:rFonts w:hint="eastAsia"/>
          <w:b w:val="0"/>
          <w:bCs/>
          <w:szCs w:val="21"/>
        </w:rPr>
        <w:t>审查人员签名：</w:t>
      </w:r>
      <w:r>
        <w:rPr>
          <w:b w:val="0"/>
          <w:bCs/>
          <w:szCs w:val="21"/>
        </w:rPr>
        <w:t xml:space="preserve">                                                       </w:t>
      </w:r>
      <w:r>
        <w:rPr>
          <w:rFonts w:hint="eastAsia"/>
          <w:b w:val="0"/>
          <w:bCs/>
          <w:szCs w:val="21"/>
        </w:rPr>
        <w:t>年　　月　　日</w:t>
      </w:r>
    </w:p>
    <w:p>
      <w:pPr>
        <w:rPr>
          <w:rFonts w:hint="eastAsia"/>
          <w:b w:val="0"/>
          <w:bCs/>
          <w:szCs w:val="21"/>
        </w:rPr>
      </w:pPr>
      <w:r>
        <w:rPr>
          <w:rFonts w:hint="eastAsia"/>
          <w:b w:val="0"/>
          <w:bCs/>
          <w:szCs w:val="21"/>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647" w:name="_Toc2883"/>
      <w:bookmarkStart w:id="648" w:name="_Toc11331"/>
      <w:bookmarkStart w:id="649" w:name="_Toc14164"/>
      <w:bookmarkStart w:id="650" w:name="_Toc25852"/>
      <w:bookmarkStart w:id="651" w:name="_Toc20480"/>
      <w:bookmarkStart w:id="652" w:name="_Toc3310"/>
      <w:bookmarkStart w:id="653" w:name="_Toc16444"/>
      <w:r>
        <w:rPr>
          <w:rFonts w:hint="eastAsia" w:ascii="黑体" w:hAnsi="黑体" w:eastAsia="黑体"/>
          <w:b w:val="0"/>
          <w:bCs/>
          <w:sz w:val="28"/>
          <w:szCs w:val="28"/>
        </w:rPr>
        <w:t>附表</w:t>
      </w:r>
      <w:r>
        <w:rPr>
          <w:rFonts w:ascii="黑体" w:hAnsi="黑体" w:eastAsia="黑体"/>
          <w:b w:val="0"/>
          <w:bCs/>
          <w:sz w:val="28"/>
          <w:szCs w:val="28"/>
        </w:rPr>
        <w:t xml:space="preserve">2 </w:t>
      </w:r>
      <w:r>
        <w:rPr>
          <w:rFonts w:hint="eastAsia" w:ascii="黑体" w:hAnsi="黑体" w:eastAsia="黑体"/>
          <w:b w:val="0"/>
          <w:bCs/>
          <w:sz w:val="28"/>
          <w:szCs w:val="28"/>
        </w:rPr>
        <w:t>符合性审查表</w:t>
      </w:r>
      <w:bookmarkEnd w:id="647"/>
      <w:bookmarkEnd w:id="648"/>
      <w:bookmarkEnd w:id="649"/>
      <w:bookmarkEnd w:id="650"/>
      <w:bookmarkEnd w:id="651"/>
      <w:bookmarkEnd w:id="652"/>
      <w:bookmarkEnd w:id="653"/>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654" w:name="_Hlk112524041"/>
      <w:r>
        <w:rPr>
          <w:rFonts w:hint="eastAsia" w:ascii="黑体" w:hAnsi="黑体" w:eastAsia="黑体"/>
          <w:b w:val="0"/>
          <w:bCs/>
          <w:sz w:val="36"/>
          <w:szCs w:val="36"/>
        </w:rPr>
        <w:t>符合性审查表</w:t>
      </w:r>
    </w:p>
    <w:bookmarkEnd w:id="654"/>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570"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1.</w:t>
            </w:r>
            <w:r>
              <w:rPr>
                <w:rFonts w:hint="eastAsia" w:ascii="宋体" w:hAnsi="宋体"/>
                <w:b w:val="0"/>
                <w:bCs/>
                <w:szCs w:val="21"/>
              </w:rPr>
              <w:t>投标文件签署、盖章齐全完整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49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2.</w:t>
            </w:r>
            <w:r>
              <w:rPr>
                <w:rFonts w:hint="eastAsia" w:ascii="宋体" w:hAnsi="宋体"/>
                <w:b w:val="0"/>
                <w:bCs/>
                <w:szCs w:val="21"/>
              </w:rPr>
              <w:t>投标文件有效期满足招标文件要求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817"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3.</w:t>
            </w:r>
            <w:r>
              <w:rPr>
                <w:rFonts w:hint="eastAsia" w:ascii="宋体" w:hAnsi="宋体"/>
                <w:b w:val="0"/>
                <w:bCs/>
                <w:szCs w:val="21"/>
              </w:rPr>
              <w:t>结算方式、交货方式等</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商务</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r>
              <w:rPr>
                <w:rFonts w:hint="eastAsia" w:ascii="宋体" w:hAnsi="宋体" w:cs="宋体"/>
                <w:b w:val="0"/>
                <w:bCs/>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7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4.</w:t>
            </w:r>
            <w:r>
              <w:rPr>
                <w:rFonts w:hint="eastAsia" w:ascii="宋体" w:hAnsi="宋体"/>
                <w:b w:val="0"/>
                <w:bCs/>
                <w:szCs w:val="21"/>
              </w:rPr>
              <w:t>技术要求</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技术</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5482"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ascii="宋体" w:hAnsi="宋体"/>
                <w:b w:val="0"/>
                <w:bCs/>
                <w:szCs w:val="21"/>
              </w:rPr>
              <w:t>5.其他实质性内容（招标文件中明确的其他无效投标情形）</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highlight w:val="none"/>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1.</w:t>
            </w:r>
            <w:r>
              <w:rPr>
                <w:rFonts w:hint="eastAsia" w:ascii="宋体" w:hAnsi="宋体" w:cs="宋体"/>
                <w:b w:val="0"/>
                <w:bCs/>
                <w:szCs w:val="21"/>
              </w:rPr>
              <w:t>投标产品满足招标文件配置清单要求（名称不一致时需在备注中提供情况说明）。</w:t>
            </w:r>
          </w:p>
          <w:p>
            <w:pPr>
              <w:widowControl/>
              <w:spacing w:line="240" w:lineRule="exact"/>
              <w:jc w:val="left"/>
              <w:rPr>
                <w:rFonts w:hint="eastAsia" w:ascii="宋体" w:hAnsi="宋体" w:cs="宋体"/>
                <w:b w:val="0"/>
                <w:bCs/>
                <w:szCs w:val="21"/>
              </w:rPr>
            </w:pPr>
            <w:r>
              <w:rPr>
                <w:rFonts w:hint="eastAsia" w:ascii="宋体" w:hAnsi="宋体" w:cs="宋体"/>
                <w:b w:val="0"/>
                <w:bCs/>
                <w:szCs w:val="21"/>
              </w:rPr>
              <w:t>【《商务技术文件》中“交货清单”满足招标文件《采购项目技术和商务要求》“（二）技术要求”中配置清单要求；投标产品对应交货清单名称不一致时可在备注中进行说明】</w:t>
            </w:r>
          </w:p>
          <w:p>
            <w:pPr>
              <w:widowControl/>
              <w:spacing w:line="240" w:lineRule="exact"/>
              <w:jc w:val="left"/>
              <w:rPr>
                <w:rFonts w:hint="eastAsia" w:ascii="宋体" w:hAnsi="宋体" w:cs="宋体"/>
                <w:b w:val="0"/>
                <w:bCs/>
                <w:szCs w:val="21"/>
                <w:lang w:val="en-US" w:eastAsia="zh-CN"/>
              </w:rPr>
            </w:pPr>
            <w:r>
              <w:rPr>
                <w:rFonts w:hint="eastAsia" w:ascii="宋体" w:hAnsi="宋体" w:cs="宋体"/>
                <w:b w:val="0"/>
                <w:bCs/>
                <w:szCs w:val="21"/>
                <w:lang w:val="en-US" w:eastAsia="zh-CN"/>
              </w:rPr>
              <w:t>2.</w:t>
            </w:r>
            <w:r>
              <w:rPr>
                <w:rFonts w:hint="eastAsia" w:ascii="宋体" w:hAnsi="宋体" w:cs="宋体"/>
                <w:b w:val="0"/>
                <w:bCs/>
                <w:szCs w:val="21"/>
              </w:rPr>
              <w:t>本文件“第五章--技术要求”中产品用途及使用范围</w:t>
            </w:r>
            <w:r>
              <w:rPr>
                <w:rFonts w:hint="eastAsia" w:ascii="宋体" w:hAnsi="宋体" w:cs="宋体"/>
                <w:b w:val="0"/>
                <w:bCs/>
                <w:szCs w:val="21"/>
                <w:lang w:eastAsia="zh-CN"/>
              </w:rPr>
              <w:t>、</w:t>
            </w:r>
            <w:r>
              <w:rPr>
                <w:rFonts w:hint="eastAsia" w:ascii="宋体" w:hAnsi="宋体" w:cs="宋体"/>
                <w:b w:val="0"/>
                <w:bCs/>
                <w:szCs w:val="21"/>
                <w:lang w:val="en-US" w:eastAsia="zh-CN"/>
              </w:rPr>
              <w:t>安装场地、使用环境均需逐条响应，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3.</w:t>
            </w:r>
            <w:r>
              <w:rPr>
                <w:rFonts w:hint="eastAsia" w:ascii="宋体" w:hAnsi="宋体" w:cs="宋体"/>
                <w:b w:val="0"/>
                <w:bCs/>
                <w:szCs w:val="21"/>
              </w:rPr>
              <w:t>“第五章--技术要求”</w:t>
            </w:r>
            <w:r>
              <w:rPr>
                <w:rFonts w:hint="eastAsia" w:ascii="宋体" w:hAnsi="宋体" w:cs="宋体"/>
                <w:b w:val="0"/>
                <w:bCs/>
                <w:szCs w:val="21"/>
                <w:lang w:val="en-US" w:eastAsia="zh-CN"/>
              </w:rPr>
              <w:t>中技术参数要求均需逐条响应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lang w:eastAsia="zh-CN"/>
              </w:rPr>
            </w:pPr>
            <w:r>
              <w:rPr>
                <w:rFonts w:hint="eastAsia" w:ascii="宋体" w:hAnsi="宋体" w:cs="宋体"/>
                <w:b w:val="0"/>
                <w:bCs/>
                <w:szCs w:val="21"/>
                <w:lang w:val="en-US" w:eastAsia="zh-CN"/>
              </w:rPr>
              <w:t>4.</w:t>
            </w:r>
            <w:r>
              <w:rPr>
                <w:rFonts w:hint="eastAsia" w:ascii="宋体" w:hAnsi="宋体" w:cs="宋体"/>
                <w:b w:val="0"/>
                <w:bCs/>
                <w:szCs w:val="21"/>
              </w:rPr>
              <w:t>招标文件中明确的其他无效投标情形</w:t>
            </w:r>
            <w:r>
              <w:rPr>
                <w:rFonts w:hint="eastAsia" w:ascii="宋体" w:hAnsi="宋体" w:cs="宋体"/>
                <w:b w:val="0"/>
                <w:bCs/>
                <w:szCs w:val="21"/>
                <w:lang w:eastAsia="zh-CN"/>
              </w:rPr>
              <w:t>。</w:t>
            </w:r>
          </w:p>
          <w:p>
            <w:pPr>
              <w:widowControl/>
              <w:spacing w:line="240" w:lineRule="exact"/>
              <w:jc w:val="left"/>
              <w:rPr>
                <w:rFonts w:hint="default" w:ascii="宋体" w:hAnsi="宋体" w:cs="宋体"/>
                <w:b w:val="0"/>
                <w:bCs/>
                <w:szCs w:val="21"/>
                <w:lang w:val="en-US" w:eastAsia="zh-CN"/>
              </w:rPr>
            </w:pPr>
            <w:r>
              <w:rPr>
                <w:rFonts w:hint="eastAsia" w:ascii="宋体" w:hAnsi="宋体" w:cs="宋体"/>
                <w:b w:val="0"/>
                <w:bCs/>
                <w:szCs w:val="21"/>
                <w:lang w:val="en-US" w:eastAsia="zh-CN"/>
              </w:rPr>
              <w:t>5.</w:t>
            </w:r>
            <w:r>
              <w:rPr>
                <w:rFonts w:hint="eastAsia" w:ascii="宋体" w:hAnsi="宋体" w:cs="宋体"/>
                <w:b w:val="0"/>
                <w:bCs/>
                <w:szCs w:val="21"/>
              </w:rPr>
              <w:t>投标文件组成完整</w:t>
            </w:r>
            <w:r>
              <w:rPr>
                <w:rFonts w:hint="eastAsia" w:ascii="宋体" w:hAnsi="宋体" w:cs="宋体"/>
                <w:b w:val="0"/>
                <w:bCs/>
                <w:szCs w:val="21"/>
                <w:lang w:eastAsia="zh-CN"/>
              </w:rPr>
              <w:t>。（</w:t>
            </w:r>
            <w:r>
              <w:rPr>
                <w:rFonts w:hint="eastAsia" w:ascii="宋体" w:hAnsi="宋体" w:cs="宋体"/>
                <w:b w:val="0"/>
                <w:bCs/>
                <w:szCs w:val="21"/>
              </w:rPr>
              <w:t>投标文件组成含</w:t>
            </w:r>
            <w:r>
              <w:rPr>
                <w:rFonts w:hint="eastAsia" w:ascii="宋体" w:hAnsi="宋体" w:cs="宋体"/>
                <w:b w:val="0"/>
                <w:bCs/>
                <w:szCs w:val="21"/>
                <w:lang w:eastAsia="zh-CN"/>
              </w:rPr>
              <w:t>价格文件、商务技术文件、资格证明文件）</w:t>
            </w:r>
          </w:p>
        </w:tc>
      </w:tr>
      <w:tr>
        <w:tblPrEx>
          <w:tblCellMar>
            <w:top w:w="0" w:type="dxa"/>
            <w:left w:w="108" w:type="dxa"/>
            <w:bottom w:w="0" w:type="dxa"/>
            <w:right w:w="108" w:type="dxa"/>
          </w:tblCellMar>
        </w:tblPrEx>
        <w:trPr>
          <w:trHeight w:val="523"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综合评定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ind w:left="420" w:hanging="420" w:hangingChars="200"/>
        <w:rPr>
          <w:b w:val="0"/>
          <w:bCs/>
          <w:szCs w:val="21"/>
        </w:rPr>
      </w:pPr>
      <w:r>
        <w:rPr>
          <w:rFonts w:hint="eastAsia"/>
          <w:b w:val="0"/>
          <w:bCs/>
          <w:szCs w:val="21"/>
        </w:rPr>
        <w:t>评审委员会成员签名：</w:t>
      </w:r>
      <w:r>
        <w:rPr>
          <w:b w:val="0"/>
          <w:bCs/>
          <w:szCs w:val="21"/>
        </w:rPr>
        <w:t xml:space="preserve">                                                 </w:t>
      </w:r>
      <w:r>
        <w:rPr>
          <w:rFonts w:hint="eastAsia"/>
          <w:b w:val="0"/>
          <w:bCs/>
          <w:szCs w:val="21"/>
        </w:rPr>
        <w:t>年　　月　　日</w:t>
      </w:r>
    </w:p>
    <w:p>
      <w:pPr>
        <w:rPr>
          <w:rFonts w:ascii="黑体" w:hAnsi="黑体" w:eastAsia="黑体"/>
          <w:b w:val="0"/>
          <w:bCs/>
          <w:sz w:val="28"/>
          <w:szCs w:val="28"/>
        </w:rPr>
      </w:pPr>
    </w:p>
    <w:p>
      <w:pPr>
        <w:rPr>
          <w:rFonts w:ascii="黑体" w:hAnsi="黑体" w:eastAsia="黑体"/>
          <w:b w:val="0"/>
          <w:bCs/>
          <w:sz w:val="28"/>
          <w:szCs w:val="28"/>
        </w:rPr>
      </w:pPr>
      <w:r>
        <w:rPr>
          <w:rFonts w:ascii="黑体" w:hAnsi="黑体" w:eastAsia="黑体"/>
          <w:b w:val="0"/>
          <w:bCs/>
          <w:sz w:val="28"/>
          <w:szCs w:val="28"/>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655" w:name="_Toc25541"/>
      <w:bookmarkStart w:id="656" w:name="_Toc7326"/>
      <w:bookmarkStart w:id="657" w:name="_Toc27221"/>
      <w:bookmarkStart w:id="658" w:name="_Toc11188"/>
      <w:bookmarkStart w:id="659" w:name="_Toc8196"/>
      <w:bookmarkStart w:id="660" w:name="_Toc16091"/>
      <w:bookmarkStart w:id="661" w:name="_Toc542"/>
      <w:r>
        <w:rPr>
          <w:rFonts w:hint="eastAsia" w:ascii="黑体" w:hAnsi="黑体" w:eastAsia="黑体"/>
          <w:b w:val="0"/>
          <w:bCs/>
          <w:sz w:val="28"/>
          <w:szCs w:val="28"/>
        </w:rPr>
        <w:t>附表</w:t>
      </w:r>
      <w:r>
        <w:rPr>
          <w:rFonts w:ascii="黑体" w:hAnsi="黑体" w:eastAsia="黑体"/>
          <w:b w:val="0"/>
          <w:bCs/>
          <w:sz w:val="28"/>
          <w:szCs w:val="28"/>
        </w:rPr>
        <w:t xml:space="preserve">3 </w:t>
      </w:r>
      <w:r>
        <w:rPr>
          <w:rFonts w:hint="eastAsia" w:ascii="黑体" w:hAnsi="黑体" w:eastAsia="黑体"/>
          <w:b w:val="0"/>
          <w:bCs/>
          <w:sz w:val="28"/>
          <w:szCs w:val="28"/>
        </w:rPr>
        <w:t>商务评审标准表</w:t>
      </w:r>
      <w:bookmarkEnd w:id="655"/>
      <w:bookmarkEnd w:id="656"/>
      <w:bookmarkEnd w:id="657"/>
      <w:bookmarkEnd w:id="658"/>
      <w:bookmarkEnd w:id="659"/>
      <w:bookmarkEnd w:id="660"/>
      <w:bookmarkEnd w:id="661"/>
    </w:p>
    <w:p>
      <w:pPr>
        <w:jc w:val="center"/>
        <w:outlineLvl w:val="9"/>
        <w:rPr>
          <w:rFonts w:hint="eastAsia" w:ascii="Times New Roman" w:hAnsi="Times New Roman" w:eastAsia="宋体" w:cs="Times New Roman"/>
          <w:b/>
          <w:bCs/>
          <w:color w:val="000000"/>
          <w:sz w:val="28"/>
          <w:szCs w:val="36"/>
        </w:rPr>
      </w:pPr>
      <w:bookmarkStart w:id="662" w:name="_Toc23219"/>
      <w:r>
        <w:rPr>
          <w:rFonts w:hint="eastAsia" w:ascii="Times New Roman" w:hAnsi="Times New Roman" w:eastAsia="宋体" w:cs="Times New Roman"/>
          <w:b/>
          <w:bCs/>
          <w:color w:val="000000"/>
          <w:sz w:val="28"/>
          <w:szCs w:val="36"/>
        </w:rPr>
        <w:t>商务评审标准表</w:t>
      </w:r>
      <w:bookmarkEnd w:id="662"/>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4"/>
        <w:tblW w:w="0" w:type="auto"/>
        <w:jc w:val="center"/>
        <w:tblLayout w:type="fixed"/>
        <w:tblCellMar>
          <w:top w:w="0" w:type="dxa"/>
          <w:left w:w="108" w:type="dxa"/>
          <w:bottom w:w="0" w:type="dxa"/>
          <w:right w:w="108" w:type="dxa"/>
        </w:tblCellMar>
      </w:tblPr>
      <w:tblGrid>
        <w:gridCol w:w="646"/>
        <w:gridCol w:w="1060"/>
        <w:gridCol w:w="6260"/>
        <w:gridCol w:w="1077"/>
      </w:tblGrid>
      <w:tr>
        <w:tblPrEx>
          <w:tblCellMar>
            <w:top w:w="0" w:type="dxa"/>
            <w:left w:w="108" w:type="dxa"/>
            <w:bottom w:w="0" w:type="dxa"/>
            <w:right w:w="108" w:type="dxa"/>
          </w:tblCellMar>
        </w:tblPrEx>
        <w:trPr>
          <w:trHeight w:val="45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10858"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highlight w:val="none"/>
              </w:rPr>
              <w:t>价格</w:t>
            </w:r>
            <w:r>
              <w:rPr>
                <w:rFonts w:hint="eastAsia" w:ascii="宋体" w:hAnsi="宋体" w:cs="宋体"/>
                <w:b/>
                <w:bCs/>
                <w:color w:val="000000"/>
                <w:sz w:val="21"/>
                <w:szCs w:val="21"/>
                <w:highlight w:val="none"/>
                <w:lang w:eastAsia="zh-CN"/>
              </w:rPr>
              <w:t>（带耗材）</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w:t>
            </w:r>
            <w:r>
              <w:rPr>
                <w:rFonts w:hint="eastAsia" w:ascii="宋体" w:hAnsi="宋体" w:eastAsia="宋体" w:cs="宋体"/>
                <w:sz w:val="21"/>
                <w:szCs w:val="21"/>
              </w:rPr>
              <w:t>（经价格计算公式测算后的设备和</w:t>
            </w:r>
            <w:r>
              <w:rPr>
                <w:rFonts w:hint="eastAsia" w:ascii="宋体" w:hAnsi="宋体" w:eastAsia="宋体" w:cs="宋体"/>
                <w:sz w:val="21"/>
                <w:szCs w:val="21"/>
                <w:lang w:eastAsia="zh-CN"/>
              </w:rPr>
              <w:t>配套</w:t>
            </w:r>
            <w:r>
              <w:rPr>
                <w:rFonts w:hint="eastAsia" w:ascii="宋体" w:hAnsi="宋体" w:eastAsia="宋体" w:cs="宋体"/>
                <w:sz w:val="21"/>
                <w:szCs w:val="21"/>
              </w:rPr>
              <w:t>试剂耗材综合报价）</w:t>
            </w:r>
            <w:r>
              <w:rPr>
                <w:rFonts w:hint="eastAsia" w:ascii="宋体" w:hAnsi="宋体" w:eastAsia="宋体" w:cs="宋体"/>
                <w:color w:val="000000"/>
                <w:sz w:val="21"/>
                <w:szCs w:val="21"/>
              </w:rPr>
              <w:t>为评审基准价。价格得分=评审基准价÷报价×标准分值</w:t>
            </w:r>
          </w:p>
          <w:p>
            <w:pPr>
              <w:keepNext w:val="0"/>
              <w:keepLines w:val="0"/>
              <w:pageBreakBefore w:val="0"/>
              <w:kinsoku/>
              <w:wordWrap/>
              <w:overflowPunct/>
              <w:topLinePunct w:val="0"/>
              <w:autoSpaceDE/>
              <w:autoSpaceDN/>
              <w:bidi w:val="0"/>
              <w:adjustRightInd/>
              <w:spacing w:after="120" w:line="360" w:lineRule="exact"/>
              <w:ind w:firstLine="211" w:firstLineChars="100"/>
              <w:rPr>
                <w:rFonts w:hint="eastAsia" w:ascii="宋体" w:hAnsi="宋体" w:eastAsia="宋体" w:cs="宋体"/>
                <w:color w:val="000000"/>
                <w:sz w:val="21"/>
                <w:szCs w:val="21"/>
              </w:rPr>
            </w:pPr>
            <w:r>
              <w:rPr>
                <w:rFonts w:hint="eastAsia" w:ascii="宋体" w:hAnsi="宋体" w:eastAsia="宋体" w:cs="宋体"/>
                <w:b/>
                <w:bCs/>
                <w:color w:val="000000"/>
                <w:sz w:val="21"/>
                <w:szCs w:val="21"/>
              </w:rPr>
              <w:t>注：1.</w:t>
            </w:r>
            <w:r>
              <w:rPr>
                <w:rFonts w:hint="eastAsia" w:ascii="宋体" w:hAnsi="宋体" w:eastAsia="宋体" w:cs="宋体"/>
                <w:color w:val="000000"/>
                <w:sz w:val="21"/>
                <w:szCs w:val="21"/>
              </w:rPr>
              <w:t xml:space="preserve">综合报价计算公式为: </w:t>
            </w:r>
          </w:p>
          <w:p>
            <w:pPr>
              <w:pStyle w:val="17"/>
              <w:rPr>
                <w:rFonts w:hint="eastAsia" w:ascii="宋体" w:hAnsi="宋体" w:eastAsia="宋体" w:cs="宋体"/>
                <w:sz w:val="21"/>
                <w:szCs w:val="21"/>
              </w:rPr>
            </w:pPr>
            <w:r>
              <w:rPr>
                <w:rFonts w:hint="eastAsia" w:ascii="宋体" w:hAnsi="宋体" w:eastAsia="宋体" w:cs="宋体"/>
                <w:color w:val="000000"/>
                <w:sz w:val="21"/>
                <w:szCs w:val="21"/>
                <w:lang w:eastAsia="zh-CN"/>
              </w:rPr>
              <w:drawing>
                <wp:inline distT="0" distB="0" distL="114300" distR="114300">
                  <wp:extent cx="2339340" cy="411480"/>
                  <wp:effectExtent l="0" t="0" r="9525" b="0"/>
                  <wp:docPr id="6" name="图片 1" descr="1624798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624798351(1)"/>
                          <pic:cNvPicPr>
                            <a:picLocks noChangeAspect="1"/>
                          </pic:cNvPicPr>
                        </pic:nvPicPr>
                        <pic:blipFill>
                          <a:blip r:embed="rId19"/>
                          <a:stretch>
                            <a:fillRect/>
                          </a:stretch>
                        </pic:blipFill>
                        <pic:spPr>
                          <a:xfrm>
                            <a:off x="0" y="0"/>
                            <a:ext cx="2339340" cy="41148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color w:val="000000"/>
                <w:sz w:val="21"/>
                <w:szCs w:val="21"/>
              </w:rPr>
            </w:pPr>
            <w:r>
              <w:rPr>
                <w:rFonts w:hint="eastAsia" w:ascii="宋体" w:hAnsi="宋体" w:eastAsia="宋体" w:cs="宋体"/>
                <w:sz w:val="21"/>
                <w:szCs w:val="21"/>
              </w:rPr>
              <w:t>（备注：k为项目拟开展诊疗项目总数量（如拟开展诊疗项目有3种，则k=3）；P为设备报价；Q为对应诊疗项目预估年使用量；F为对应诊疗项目单人份试剂报价；W为对应诊疗项目预估年使用量在全部诊疗项目中预估年使用量占比；i为对应报价公司（如投标公司3家，则i为公司1，公司2，公司3），j为对应诊疗项目（如诊疗项目有3种，则j对应为诊疗1，诊疗2，诊疗3）。</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rPr>
              <w:t>2.若投标人所投产品涉及使用</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的，须在《价格文件》中提供配套</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及价格等信息，且必须提供其单人份报价的核算依据（必须根据药交所挂网价或其他医院合同或发票价得出，列出核算过程并提供药交所挂网价截图或其他医院合同或发票复印件）。必须提供重庆地区药交所挂网价；若无重庆地区药交所挂网价，则提供全国其他地区的药交所挂网价；若没有提供核算依据</w:t>
            </w:r>
            <w:r>
              <w:rPr>
                <w:rFonts w:hint="eastAsia" w:ascii="宋体" w:hAnsi="宋体" w:cs="宋体"/>
                <w:sz w:val="21"/>
                <w:szCs w:val="21"/>
                <w:lang w:eastAsia="zh-CN"/>
              </w:rPr>
              <w:t>或</w:t>
            </w:r>
            <w:r>
              <w:rPr>
                <w:rFonts w:hint="eastAsia" w:ascii="宋体" w:hAnsi="宋体" w:eastAsia="宋体" w:cs="宋体"/>
                <w:sz w:val="21"/>
                <w:szCs w:val="21"/>
              </w:rPr>
              <w:t>药交所挂网价的相应价格得分为0分。以相应</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的“单人份报价”为评分依据。</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若投标人所</w:t>
            </w:r>
            <w:r>
              <w:rPr>
                <w:rFonts w:hint="eastAsia" w:ascii="宋体" w:hAnsi="宋体" w:eastAsia="宋体" w:cs="宋体"/>
                <w:sz w:val="21"/>
                <w:szCs w:val="21"/>
                <w:lang w:eastAsia="zh-CN"/>
              </w:rPr>
              <w:t>报价的</w:t>
            </w:r>
            <w:r>
              <w:rPr>
                <w:rFonts w:hint="eastAsia" w:ascii="宋体" w:hAnsi="宋体" w:eastAsia="宋体" w:cs="宋体"/>
                <w:sz w:val="21"/>
                <w:szCs w:val="21"/>
              </w:rPr>
              <w:t>配套试剂（耗材）</w:t>
            </w:r>
            <w:r>
              <w:rPr>
                <w:rFonts w:hint="eastAsia" w:ascii="宋体" w:hAnsi="宋体" w:eastAsia="宋体" w:cs="宋体"/>
                <w:sz w:val="21"/>
                <w:szCs w:val="21"/>
                <w:lang w:eastAsia="zh-CN"/>
              </w:rPr>
              <w:t>不能完全响应诊疗</w:t>
            </w:r>
            <w:r>
              <w:rPr>
                <w:rFonts w:hint="eastAsia" w:ascii="宋体" w:hAnsi="宋体" w:eastAsia="宋体" w:cs="宋体"/>
                <w:sz w:val="21"/>
                <w:szCs w:val="21"/>
              </w:rPr>
              <w:t>项目，价格分整体为0分，且不得推荐为中标人。</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.若投标人承诺终身免费提供配套专用</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，须在投标文件中进行承诺（格式附后），则单人份</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报价部分按0元计算；未提供承诺函的，整体价格分为0分。</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若投标人提供试剂耗材类别与招标文件《试剂耗材调查表》中类别不一致，整体价格分为0分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pacing w:line="360" w:lineRule="exact"/>
              <w:ind w:firstLine="402"/>
              <w:rPr>
                <w:rFonts w:hint="default"/>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4071"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sz w:val="21"/>
                <w:szCs w:val="21"/>
              </w:rPr>
              <w:t>比较近三年（截止开标时间）所投产品在三甲医院或高等科研院所的销售业绩。</w:t>
            </w:r>
            <w:r>
              <w:rPr>
                <w:rFonts w:hint="eastAsia" w:ascii="宋体" w:hAnsi="宋体" w:cs="宋体"/>
                <w:color w:val="000000"/>
                <w:sz w:val="21"/>
                <w:szCs w:val="21"/>
              </w:rPr>
              <w:t>以提供的销售合同复印件为准，</w:t>
            </w:r>
            <w:r>
              <w:rPr>
                <w:rFonts w:hint="eastAsia" w:ascii="宋体" w:hAnsi="宋体" w:cs="宋体"/>
                <w:color w:val="000000"/>
                <w:sz w:val="21"/>
                <w:szCs w:val="21"/>
                <w:lang w:val="en-US" w:eastAsia="zh-CN"/>
              </w:rPr>
              <w:t>最多</w:t>
            </w:r>
            <w:r>
              <w:rPr>
                <w:rFonts w:hint="eastAsia" w:ascii="宋体" w:hAnsi="宋体" w:cs="宋体"/>
                <w:color w:val="000000"/>
                <w:sz w:val="21"/>
                <w:szCs w:val="21"/>
              </w:rPr>
              <w:t>提供10份销售合同并附对应的银行存款进账凭证或往来货款结算证明为准。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业绩得分=（所投产品业绩/基准业绩）×标准分值</w:t>
            </w:r>
          </w:p>
          <w:p>
            <w:pPr>
              <w:spacing w:line="360" w:lineRule="exact"/>
              <w:rPr>
                <w:rFonts w:hint="eastAsia" w:ascii="宋体" w:hAnsi="宋体" w:eastAsia="宋体" w:cs="宋体"/>
                <w:color w:val="000000"/>
                <w:sz w:val="21"/>
                <w:szCs w:val="21"/>
                <w:highlight w:val="yellow"/>
                <w:lang w:eastAsia="zh-CN"/>
              </w:rPr>
            </w:pPr>
            <w:r>
              <w:rPr>
                <w:rFonts w:hint="eastAsia" w:ascii="宋体" w:hAnsi="宋体" w:cs="宋体"/>
                <w:color w:val="000000"/>
                <w:sz w:val="21"/>
                <w:szCs w:val="21"/>
              </w:rPr>
              <w:t>基准业绩=近三年（截止开标时间）有效合同</w:t>
            </w:r>
            <w:r>
              <w:rPr>
                <w:rFonts w:hint="eastAsia" w:ascii="宋体" w:hAnsi="宋体" w:cs="宋体"/>
                <w:color w:val="000000"/>
                <w:sz w:val="21"/>
                <w:szCs w:val="21"/>
                <w:lang w:eastAsia="zh-CN"/>
              </w:rPr>
              <w:t>中</w:t>
            </w:r>
            <w:r>
              <w:rPr>
                <w:rFonts w:hint="eastAsia" w:ascii="宋体" w:hAnsi="宋体" w:cs="宋体"/>
                <w:color w:val="000000"/>
                <w:sz w:val="21"/>
                <w:szCs w:val="21"/>
              </w:rPr>
              <w:t>所投产品累计销售</w:t>
            </w:r>
            <w:r>
              <w:rPr>
                <w:rFonts w:hint="eastAsia" w:ascii="宋体" w:hAnsi="宋体" w:cs="宋体"/>
                <w:color w:val="000000"/>
                <w:sz w:val="21"/>
                <w:szCs w:val="21"/>
                <w:highlight w:val="none"/>
                <w:lang w:eastAsia="zh-CN"/>
              </w:rPr>
              <w:t>总数量（累计销售总数量是指单个投标人所投产品最高数量）</w:t>
            </w:r>
            <w:r>
              <w:rPr>
                <w:rFonts w:hint="eastAsia" w:ascii="宋体" w:hAnsi="宋体" w:cs="宋体"/>
                <w:color w:val="000000"/>
                <w:sz w:val="21"/>
                <w:szCs w:val="21"/>
                <w:lang w:eastAsia="zh-CN"/>
              </w:rPr>
              <w:t>。</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1.根据投标人近</w:t>
            </w:r>
            <w:r>
              <w:rPr>
                <w:rFonts w:hint="eastAsia" w:ascii="宋体" w:hAnsi="宋体" w:cs="宋体"/>
                <w:color w:val="000000"/>
                <w:sz w:val="21"/>
                <w:szCs w:val="21"/>
                <w:lang w:eastAsia="zh-CN"/>
              </w:rPr>
              <w:t>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资产总额进行评分，第一名得1分，依次递减0.2分。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2.根据投标人缴纳社保人数由大至小排名，第一名得1分，依次递减0.2分。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四</w:t>
            </w:r>
          </w:p>
        </w:tc>
        <w:tc>
          <w:tcPr>
            <w:tcW w:w="1060"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000000"/>
                <w:sz w:val="21"/>
                <w:szCs w:val="21"/>
              </w:rPr>
            </w:pPr>
            <w:r>
              <w:rPr>
                <w:rFonts w:hint="eastAsia" w:ascii="宋体" w:hAnsi="宋体" w:cs="宋体"/>
                <w:color w:val="000000"/>
                <w:sz w:val="21"/>
                <w:szCs w:val="21"/>
              </w:rPr>
              <w:t>1.投标人近</w:t>
            </w:r>
            <w:r>
              <w:rPr>
                <w:rFonts w:hint="eastAsia" w:ascii="宋体" w:hAnsi="宋体" w:cs="宋体"/>
                <w:color w:val="000000"/>
                <w:sz w:val="21"/>
                <w:szCs w:val="21"/>
                <w:lang w:eastAsia="zh-CN"/>
              </w:rPr>
              <w:t>两</w:t>
            </w:r>
            <w:r>
              <w:rPr>
                <w:rFonts w:hint="eastAsia" w:ascii="宋体" w:hAnsi="宋体" w:cs="宋体"/>
                <w:color w:val="000000"/>
                <w:sz w:val="21"/>
                <w:szCs w:val="21"/>
              </w:rPr>
              <w:t>年</w:t>
            </w:r>
            <w:r>
              <w:rPr>
                <w:rFonts w:hint="eastAsia" w:ascii="宋体" w:hAnsi="宋体" w:cs="宋体"/>
                <w:sz w:val="21"/>
                <w:szCs w:val="21"/>
              </w:rPr>
              <w:t>（</w:t>
            </w:r>
            <w:r>
              <w:rPr>
                <w:rFonts w:hint="eastAsia" w:ascii="宋体" w:hAnsi="宋体" w:cs="宋体"/>
                <w:sz w:val="21"/>
                <w:szCs w:val="21"/>
                <w:lang w:val="en-US" w:eastAsia="zh-CN"/>
              </w:rPr>
              <w:t>2021-2022年</w:t>
            </w:r>
            <w:r>
              <w:rPr>
                <w:rFonts w:hint="eastAsia" w:ascii="宋体" w:hAnsi="宋体" w:cs="宋体"/>
                <w:sz w:val="21"/>
                <w:szCs w:val="21"/>
              </w:rPr>
              <w:t>）</w:t>
            </w:r>
            <w:r>
              <w:rPr>
                <w:rFonts w:hint="eastAsia" w:ascii="宋体" w:hAnsi="宋体" w:cs="宋体"/>
                <w:color w:val="000000"/>
                <w:sz w:val="21"/>
                <w:szCs w:val="21"/>
              </w:rPr>
              <w:t>连续获得税务部门颁发的纳税信用A级证书的得0.5分，其他得0分。</w:t>
            </w:r>
          </w:p>
          <w:p>
            <w:pPr>
              <w:pStyle w:val="161"/>
              <w:spacing w:line="360" w:lineRule="exact"/>
              <w:jc w:val="left"/>
              <w:rPr>
                <w:rFonts w:hint="eastAsia" w:ascii="宋体" w:hAnsi="宋体" w:cs="宋体"/>
                <w:color w:val="000000"/>
                <w:sz w:val="21"/>
                <w:szCs w:val="21"/>
              </w:rPr>
            </w:pPr>
            <w:r>
              <w:rPr>
                <w:rFonts w:hint="eastAsia" w:ascii="宋体" w:hAnsi="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816"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2.投标人近一年（截止开标时间）获得银行颁发的资信（信用）等级证明，级别最高的得0.5分，其他得0分。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3.近三年（截止开标时间）参加军队采购未通过首检的，每次得-1分。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4.近三年（</w:t>
            </w:r>
            <w:r>
              <w:rPr>
                <w:rFonts w:hint="eastAsia" w:ascii="宋体" w:hAnsi="宋体" w:eastAsia="宋体" w:cs="宋体"/>
                <w:color w:val="000000"/>
                <w:sz w:val="21"/>
                <w:szCs w:val="21"/>
                <w:lang w:val="en-US" w:eastAsia="zh-CN"/>
              </w:rPr>
              <w:t>2020-2022年</w:t>
            </w:r>
            <w:r>
              <w:rPr>
                <w:rFonts w:hint="eastAsia" w:ascii="宋体" w:hAnsi="宋体" w:eastAsia="宋体" w:cs="宋体"/>
                <w:color w:val="000000"/>
                <w:sz w:val="21"/>
                <w:szCs w:val="21"/>
              </w:rPr>
              <w:t>）参加军队采购产品出现重要质量问题的，每次得-2分。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215" w:hRule="atLeast"/>
          <w:jc w:val="center"/>
        </w:trPr>
        <w:tc>
          <w:tcPr>
            <w:tcW w:w="646"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5.近</w:t>
            </w: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年（截止开标时间）内参与大学及上级采购活动中存在不良记录的，每次得-1分。（每次违规计-1分，当年累计扣满3分暂停参加大学采购活动1年）（由采购机构提供违规供应商名单）。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66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color w:val="000000"/>
                <w:sz w:val="21"/>
                <w:szCs w:val="21"/>
              </w:rPr>
              <w:t>根据投标人</w:t>
            </w:r>
            <w:r>
              <w:rPr>
                <w:rFonts w:hint="eastAsia" w:ascii="宋体" w:hAnsi="宋体" w:cs="宋体"/>
                <w:color w:val="000000"/>
                <w:sz w:val="21"/>
                <w:szCs w:val="21"/>
                <w:lang w:eastAsia="zh-CN"/>
              </w:rPr>
              <w:t>近三年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净利润金额排名进行评审：第一名得1分，依次递减0.2分，净利润为负值的得0分。</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投标人性质</w:t>
            </w:r>
          </w:p>
        </w:tc>
        <w:tc>
          <w:tcPr>
            <w:tcW w:w="6260" w:type="dxa"/>
            <w:tcBorders>
              <w:top w:val="single" w:color="auto" w:sz="4" w:space="0"/>
              <w:left w:val="nil"/>
              <w:bottom w:val="single" w:color="auto" w:sz="4" w:space="0"/>
              <w:right w:val="single" w:color="auto" w:sz="4" w:space="0"/>
            </w:tcBorders>
            <w:noWrap w:val="0"/>
            <w:vAlign w:val="center"/>
          </w:tcPr>
          <w:p>
            <w:pPr>
              <w:pStyle w:val="161"/>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投标人是本项目所投产品的生产企业或进口产品全国（大区）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highlight w:val="none"/>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以</w:t>
            </w:r>
            <w:r>
              <w:rPr>
                <w:rFonts w:hint="eastAsia" w:ascii="宋体" w:hAnsi="宋体" w:eastAsia="宋体" w:cs="宋体"/>
                <w:color w:val="000000"/>
                <w:sz w:val="21"/>
                <w:szCs w:val="21"/>
                <w:highlight w:val="none"/>
              </w:rPr>
              <w:t>投标人提供的“生产厂家出具的授权文件”</w:t>
            </w:r>
            <w:r>
              <w:rPr>
                <w:rFonts w:hint="eastAsia" w:ascii="宋体" w:hAnsi="宋体" w:eastAsia="宋体" w:cs="宋体"/>
                <w:color w:val="000000"/>
                <w:sz w:val="21"/>
                <w:szCs w:val="21"/>
                <w:highlight w:val="none"/>
                <w:lang w:val="en-US" w:eastAsia="zh-CN"/>
              </w:rPr>
              <w:t>为准</w:t>
            </w:r>
            <w:r>
              <w:rPr>
                <w:rFonts w:hint="eastAsia" w:ascii="宋体" w:hAnsi="宋体" w:eastAsia="宋体" w:cs="宋体"/>
                <w:color w:val="000000"/>
                <w:sz w:val="21"/>
                <w:szCs w:val="21"/>
                <w:highlight w:val="none"/>
              </w:rPr>
              <w:t>】</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340" w:hRule="atLeast"/>
          <w:jc w:val="center"/>
        </w:trPr>
        <w:tc>
          <w:tcPr>
            <w:tcW w:w="7966" w:type="dxa"/>
            <w:gridSpan w:val="3"/>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color w:val="000000"/>
              </w:rPr>
              <w:t>40分</w:t>
            </w:r>
          </w:p>
        </w:tc>
      </w:tr>
    </w:tbl>
    <w:p>
      <w:pPr>
        <w:rPr>
          <w:rFonts w:hint="eastAsia" w:ascii="黑体" w:hAnsi="黑体" w:eastAsia="黑体"/>
          <w:sz w:val="32"/>
          <w:szCs w:val="32"/>
          <w:highlight w:val="green"/>
        </w:rPr>
      </w:pPr>
    </w:p>
    <w:p>
      <w:pPr>
        <w:rPr>
          <w:rFonts w:hint="eastAsia"/>
          <w:color w:val="000000"/>
        </w:rPr>
      </w:pPr>
    </w:p>
    <w:p>
      <w:pPr>
        <w:pStyle w:val="17"/>
        <w:rPr>
          <w:rFonts w:hint="eastAsia"/>
          <w:color w:val="000000"/>
        </w:rPr>
      </w:pPr>
    </w:p>
    <w:p>
      <w:pPr>
        <w:rPr>
          <w:rFonts w:hint="eastAsia"/>
          <w:color w:val="000000"/>
        </w:rPr>
      </w:pPr>
    </w:p>
    <w:p>
      <w:pPr>
        <w:rPr>
          <w:rFonts w:hint="eastAsia" w:ascii="黑体" w:hAnsi="黑体" w:eastAsia="黑体" w:cs="Times New Roman"/>
          <w:b w:val="0"/>
          <w:bCs/>
          <w:kern w:val="2"/>
          <w:sz w:val="28"/>
          <w:szCs w:val="28"/>
          <w:lang w:val="en-US" w:eastAsia="zh-CN" w:bidi="ar-SA"/>
        </w:rPr>
      </w:pPr>
      <w:bookmarkStart w:id="663" w:name="_Toc22710"/>
      <w:r>
        <w:rPr>
          <w:rFonts w:hint="eastAsia" w:ascii="黑体" w:hAnsi="黑体" w:eastAsia="黑体" w:cs="Times New Roman"/>
          <w:b w:val="0"/>
          <w:bCs/>
          <w:kern w:val="2"/>
          <w:sz w:val="28"/>
          <w:szCs w:val="28"/>
          <w:lang w:val="en-US" w:eastAsia="zh-CN" w:bidi="ar-SA"/>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default" w:ascii="黑体" w:hAnsi="黑体" w:eastAsia="黑体"/>
          <w:b w:val="0"/>
          <w:bCs/>
          <w:sz w:val="28"/>
          <w:szCs w:val="28"/>
          <w:lang w:val="en-US" w:eastAsia="zh-CN"/>
        </w:rPr>
      </w:pPr>
      <w:bookmarkStart w:id="664" w:name="_Toc20150"/>
      <w:r>
        <w:rPr>
          <w:rFonts w:hint="eastAsia" w:ascii="黑体" w:hAnsi="黑体" w:eastAsia="黑体"/>
          <w:b w:val="0"/>
          <w:bCs/>
          <w:sz w:val="28"/>
          <w:szCs w:val="28"/>
          <w:lang w:val="en-US" w:eastAsia="zh-CN"/>
        </w:rPr>
        <w:t>附表4 技术评审标准表</w:t>
      </w:r>
      <w:bookmarkEnd w:id="663"/>
      <w:bookmarkEnd w:id="664"/>
    </w:p>
    <w:p>
      <w:pPr>
        <w:jc w:val="center"/>
        <w:outlineLvl w:val="9"/>
        <w:rPr>
          <w:rFonts w:hint="eastAsia"/>
          <w:b/>
          <w:bCs/>
          <w:color w:val="000000"/>
          <w:sz w:val="28"/>
          <w:szCs w:val="36"/>
        </w:rPr>
      </w:pPr>
      <w:bookmarkStart w:id="665" w:name="_Toc527"/>
    </w:p>
    <w:p>
      <w:pPr>
        <w:jc w:val="center"/>
        <w:outlineLvl w:val="9"/>
        <w:rPr>
          <w:rFonts w:hint="eastAsia"/>
          <w:b/>
          <w:bCs/>
          <w:color w:val="000000"/>
          <w:sz w:val="28"/>
          <w:szCs w:val="36"/>
        </w:rPr>
      </w:pPr>
      <w:r>
        <w:rPr>
          <w:rFonts w:hint="eastAsia"/>
          <w:b/>
          <w:bCs/>
          <w:color w:val="000000"/>
          <w:sz w:val="28"/>
          <w:szCs w:val="36"/>
        </w:rPr>
        <w:t>技术评审标准表</w:t>
      </w:r>
      <w:bookmarkEnd w:id="665"/>
    </w:p>
    <w:p>
      <w:pPr>
        <w:pStyle w:val="162"/>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033"/>
        <w:gridCol w:w="196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61"/>
              <w:spacing w:line="360" w:lineRule="atLeast"/>
              <w:jc w:val="center"/>
              <w:rPr>
                <w:b/>
                <w:bCs/>
                <w:color w:val="000000"/>
              </w:rPr>
            </w:pPr>
            <w:r>
              <w:rPr>
                <w:rFonts w:hint="eastAsia"/>
                <w:b/>
                <w:bCs/>
                <w:color w:val="000000"/>
              </w:rPr>
              <w:t>序号</w:t>
            </w:r>
          </w:p>
        </w:tc>
        <w:tc>
          <w:tcPr>
            <w:tcW w:w="1149" w:type="dxa"/>
            <w:noWrap/>
            <w:vAlign w:val="center"/>
          </w:tcPr>
          <w:p>
            <w:pPr>
              <w:pStyle w:val="161"/>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61"/>
              <w:spacing w:line="360" w:lineRule="atLeast"/>
              <w:jc w:val="center"/>
              <w:rPr>
                <w:b/>
                <w:bCs/>
                <w:color w:val="000000"/>
              </w:rPr>
            </w:pPr>
            <w:r>
              <w:rPr>
                <w:rFonts w:hint="eastAsia"/>
                <w:b/>
                <w:bCs/>
                <w:color w:val="000000"/>
              </w:rPr>
              <w:t>评审内容及规则</w:t>
            </w:r>
          </w:p>
        </w:tc>
        <w:tc>
          <w:tcPr>
            <w:tcW w:w="1389" w:type="dxa"/>
            <w:noWrap/>
            <w:vAlign w:val="center"/>
          </w:tcPr>
          <w:p>
            <w:pPr>
              <w:pStyle w:val="161"/>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1.提供所投产品技术专利证书（不包括外观专利）的，每提供1项得0.2分，最多得1分。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2.所投产品具有CE或EC认证的得1分，否则得0分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3.所投产品具有FDA认证的得1分，否则得0分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4.所投产品的同种产品投放市场时间最早的得2分，依次递减0.5分。【提供医疗器械注册证，并以生产企业生产该种产品首次获得国家药品监督部门出具的医疗器械注册证有效期起始时间为准。未提供的得0分】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5.所投产品品牌入围最近年度‘中国医疗设备行业数据及售后服务调查’三级甲等医院推荐品牌，排名最靠前的得标准分值，依次递减0.5分，最低得0分。（提供证明材料）</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6.所投产品入围最近年度“中国医学装备协会发布优秀国产医疗设备产品目录”得1分，其他得0分。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3" w:hRule="atLeast"/>
          <w:jc w:val="center"/>
        </w:trPr>
        <w:tc>
          <w:tcPr>
            <w:tcW w:w="678" w:type="dxa"/>
            <w:noWrap/>
            <w:vAlign w:val="center"/>
          </w:tcPr>
          <w:p>
            <w:pPr>
              <w:pStyle w:val="161"/>
              <w:spacing w:line="360" w:lineRule="atLeast"/>
              <w:jc w:val="center"/>
              <w:rPr>
                <w:rFonts w:hint="eastAsia"/>
                <w:color w:val="000000"/>
              </w:rPr>
            </w:pPr>
            <w:r>
              <w:rPr>
                <w:rFonts w:hint="eastAsia"/>
                <w:color w:val="000000"/>
              </w:rPr>
              <w:t>二</w:t>
            </w:r>
          </w:p>
        </w:tc>
        <w:tc>
          <w:tcPr>
            <w:tcW w:w="1149" w:type="dxa"/>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说明：若技术指标存在范围或数值，评审时应考虑投标人响应指标的优劣进行量化排名，按可量化排名指标进行评审。</w:t>
            </w:r>
            <w:r>
              <w:rPr>
                <w:rFonts w:hint="eastAsia" w:ascii="宋体" w:hAnsi="宋体" w:cs="宋体"/>
                <w:sz w:val="21"/>
                <w:szCs w:val="21"/>
              </w:rPr>
              <w:t>【本项评审正偏离认定时以投标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43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033" w:type="dxa"/>
            <w:noWrap w:val="0"/>
            <w:vAlign w:val="center"/>
          </w:tcPr>
          <w:p>
            <w:pPr>
              <w:spacing w:line="360" w:lineRule="atLeast"/>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965"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61"/>
              <w:spacing w:line="360" w:lineRule="atLeast"/>
              <w:jc w:val="cente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0"/>
                <w:sz w:val="21"/>
                <w:szCs w:val="21"/>
                <w:lang w:val="en-US" w:eastAsia="zh-CN" w:bidi="zh-CN"/>
              </w:rPr>
            </w:pPr>
            <w:r>
              <w:rPr>
                <w:rFonts w:hint="eastAsia" w:ascii="宋体" w:hAnsi="宋体" w:eastAsia="宋体" w:cs="宋体"/>
                <w:sz w:val="21"/>
                <w:szCs w:val="21"/>
                <w:lang w:val="en-US" w:eastAsia="zh-CN"/>
              </w:rPr>
              <w:t>★1.1液晶屏显示，输入功率≤200VA</w:t>
            </w:r>
          </w:p>
        </w:tc>
        <w:tc>
          <w:tcPr>
            <w:tcW w:w="1965" w:type="dxa"/>
            <w:noWrap w:val="0"/>
            <w:vAlign w:val="center"/>
          </w:tcPr>
          <w:p>
            <w:pPr>
              <w:spacing w:line="360" w:lineRule="atLeas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9.77分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0"/>
                <w:sz w:val="21"/>
                <w:szCs w:val="21"/>
                <w:lang w:val="zh-CN" w:eastAsia="zh-CN" w:bidi="zh-CN"/>
              </w:rPr>
            </w:pPr>
            <w:r>
              <w:rPr>
                <w:rFonts w:hint="eastAsia" w:ascii="宋体" w:hAnsi="宋体" w:eastAsia="宋体" w:cs="宋体"/>
                <w:sz w:val="21"/>
                <w:szCs w:val="21"/>
                <w:lang w:val="en-US" w:eastAsia="zh-CN"/>
              </w:rPr>
              <w:t>1.2微电脑控制，具有手柄、脚踏连接故障诊断功能，转速可调</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0"/>
                <w:sz w:val="21"/>
                <w:szCs w:val="21"/>
                <w:highlight w:val="yellow"/>
                <w:lang w:val="zh-CN" w:bidi="zh-CN"/>
              </w:rPr>
            </w:pPr>
            <w:r>
              <w:rPr>
                <w:rFonts w:hint="eastAsia" w:ascii="宋体" w:hAnsi="宋体" w:eastAsia="宋体" w:cs="宋体"/>
                <w:sz w:val="21"/>
                <w:szCs w:val="21"/>
                <w:lang w:val="en-US" w:eastAsia="zh-CN"/>
              </w:rPr>
              <w:t>★2.防水等级≥IPX8，无极调速</w:t>
            </w:r>
          </w:p>
        </w:tc>
        <w:tc>
          <w:tcPr>
            <w:tcW w:w="1965" w:type="dxa"/>
            <w:noWrap w:val="0"/>
            <w:vAlign w:val="center"/>
          </w:tcPr>
          <w:p>
            <w:pPr>
              <w:spacing w:line="360" w:lineRule="atLeast"/>
              <w:jc w:val="center"/>
              <w:rPr>
                <w:rFonts w:hint="default" w:ascii="宋体" w:hAnsi="宋体" w:cs="宋体"/>
                <w:sz w:val="21"/>
                <w:szCs w:val="21"/>
                <w:lang w:val="en-US" w:eastAsia="zh-CN"/>
              </w:rPr>
            </w:pPr>
            <w:r>
              <w:rPr>
                <w:rFonts w:hint="eastAsia" w:ascii="宋体" w:hAnsi="宋体" w:eastAsia="宋体" w:cs="宋体"/>
                <w:sz w:val="21"/>
                <w:szCs w:val="21"/>
                <w:lang w:val="en-US" w:eastAsia="zh-CN"/>
              </w:rPr>
              <w:t>越高越好</w:t>
            </w:r>
          </w:p>
        </w:tc>
        <w:tc>
          <w:tcPr>
            <w:tcW w:w="1389" w:type="dxa"/>
            <w:noWrap/>
            <w:vAlign w:val="center"/>
          </w:tcPr>
          <w:p>
            <w:pPr>
              <w:pStyle w:val="161"/>
              <w:spacing w:line="360" w:lineRule="atLeast"/>
              <w:jc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9.77分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0"/>
                <w:sz w:val="21"/>
                <w:szCs w:val="21"/>
                <w:lang w:val="zh-CN" w:eastAsia="zh-CN" w:bidi="zh-CN"/>
              </w:rPr>
            </w:pPr>
            <w:r>
              <w:rPr>
                <w:rFonts w:hint="eastAsia" w:ascii="宋体" w:hAnsi="宋体" w:eastAsia="宋体" w:cs="宋体"/>
                <w:sz w:val="21"/>
                <w:szCs w:val="21"/>
                <w:lang w:val="en-US" w:eastAsia="zh-CN"/>
              </w:rPr>
              <w:t>3.1转速≥50000r/min；外径≤19mm，主体长度≤90mm</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0"/>
                <w:sz w:val="21"/>
                <w:szCs w:val="21"/>
                <w:lang w:val="en-US" w:eastAsia="zh-CN" w:bidi="zh-CN"/>
              </w:rPr>
            </w:pPr>
            <w:r>
              <w:rPr>
                <w:rFonts w:hint="eastAsia" w:ascii="宋体" w:hAnsi="宋体" w:eastAsia="宋体" w:cs="宋体"/>
                <w:sz w:val="21"/>
                <w:szCs w:val="21"/>
                <w:lang w:val="en-US" w:eastAsia="zh-CN"/>
              </w:rPr>
              <w:t>3.2手柄可高温灭菌</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0"/>
                <w:sz w:val="21"/>
                <w:szCs w:val="21"/>
                <w:lang w:val="en-US" w:eastAsia="zh-CN" w:bidi="zh-CN"/>
              </w:rPr>
            </w:pPr>
            <w:r>
              <w:rPr>
                <w:rFonts w:hint="eastAsia" w:ascii="宋体" w:hAnsi="宋体" w:eastAsia="宋体" w:cs="宋体"/>
                <w:sz w:val="21"/>
                <w:szCs w:val="21"/>
                <w:lang w:val="en-US" w:eastAsia="zh-CN"/>
              </w:rPr>
              <w:t>3.3手柄内注水水冷结构，长时间使用，手柄不发热</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3.91分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0"/>
                <w:sz w:val="21"/>
                <w:szCs w:val="21"/>
                <w:lang w:val="zh-CN" w:eastAsia="zh-CN" w:bidi="zh-CN"/>
              </w:rPr>
            </w:pPr>
            <w:r>
              <w:rPr>
                <w:rFonts w:hint="eastAsia" w:ascii="宋体" w:hAnsi="宋体" w:eastAsia="宋体" w:cs="宋体"/>
                <w:sz w:val="21"/>
                <w:szCs w:val="21"/>
                <w:lang w:val="en-US" w:eastAsia="zh-CN"/>
              </w:rPr>
              <w:t>4.1转速≥28000r/min；外径≤22mm，主体长度≤130mm</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3.91分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360" w:lineRule="exact"/>
              <w:jc w:val="left"/>
              <w:rPr>
                <w:rFonts w:hint="eastAsia" w:ascii="宋体" w:hAnsi="宋体" w:eastAsia="宋体" w:cs="宋体"/>
                <w:kern w:val="0"/>
                <w:sz w:val="21"/>
                <w:szCs w:val="21"/>
                <w:lang w:val="zh-CN" w:eastAsia="zh-CN" w:bidi="zh-CN"/>
              </w:rPr>
            </w:pPr>
            <w:r>
              <w:rPr>
                <w:rFonts w:hint="eastAsia" w:ascii="宋体" w:hAnsi="宋体" w:eastAsia="宋体" w:cs="宋体"/>
                <w:sz w:val="21"/>
                <w:szCs w:val="21"/>
                <w:lang w:val="en-US" w:eastAsia="zh-CN"/>
              </w:rPr>
              <w:t>4.2手柄可高压灭菌</w:t>
            </w:r>
          </w:p>
        </w:tc>
        <w:tc>
          <w:tcPr>
            <w:tcW w:w="1965" w:type="dxa"/>
            <w:noWrap w:val="0"/>
            <w:vAlign w:val="center"/>
          </w:tcPr>
          <w:p>
            <w:pPr>
              <w:spacing w:line="360" w:lineRule="atLeast"/>
              <w:jc w:val="center"/>
              <w:rPr>
                <w:rFonts w:hint="eastAsia" w:ascii="宋体" w:hAnsi="宋体" w:cs="宋体"/>
                <w:b/>
                <w:bCs/>
                <w:color w:val="000000"/>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3.91分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1.免费保修期：在满足招标文件要求的基础上，每增加6个月得0.5分，最多得3分，不符合招标文件要求按无效投标处理。（未履行保修承诺的，相关企业将列入黑名单。）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零配件支持：提供零配件全国统一报价，采购单位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3.零配件保证供应时间：按照投标产品制造商承诺的零配件保证供应时间长短排名，时间最长的得1分，依次递减0.2分，最低得0分。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4.到位维修响应：满足招标文件“第</w:t>
            </w:r>
            <w:r>
              <w:rPr>
                <w:rFonts w:hint="eastAsia" w:ascii="宋体" w:hAnsi="宋体" w:cs="宋体"/>
                <w:color w:val="000000"/>
                <w:sz w:val="21"/>
                <w:szCs w:val="21"/>
                <w:highlight w:val="none"/>
                <w:lang w:eastAsia="zh-CN"/>
              </w:rPr>
              <w:t>五章</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三</w:t>
            </w:r>
            <w:r>
              <w:rPr>
                <w:rFonts w:hint="eastAsia" w:ascii="宋体" w:hAnsi="宋体" w:cs="宋体"/>
                <w:color w:val="000000"/>
                <w:sz w:val="21"/>
                <w:szCs w:val="21"/>
                <w:highlight w:val="none"/>
              </w:rPr>
              <w:t>、商务要求”——“</w:t>
            </w:r>
            <w:r>
              <w:rPr>
                <w:rFonts w:hint="eastAsia" w:ascii="宋体" w:hAnsi="宋体" w:cs="宋体"/>
                <w:color w:val="000000"/>
                <w:sz w:val="21"/>
                <w:szCs w:val="21"/>
                <w:highlight w:val="none"/>
                <w:lang w:eastAsia="zh-CN"/>
              </w:rPr>
              <w:t>（二）</w:t>
            </w:r>
            <w:r>
              <w:rPr>
                <w:rFonts w:hint="eastAsia" w:ascii="宋体" w:hAnsi="宋体" w:cs="宋体"/>
                <w:color w:val="000000"/>
                <w:sz w:val="21"/>
                <w:szCs w:val="21"/>
                <w:highlight w:val="none"/>
              </w:rPr>
              <w:t>、售后服务”的第2条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5.保修期外维修费用：保修期外的包修费用及维修工时费计算方法及价格，按投标人自报折扣进行排名，费用最低的得1分，依次按25%递减，最低得0分。未提供得0分。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6.技术支持和服务网点：</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（1）产品和品牌具有较高知名度及广泛普及度，提供指定地点的现场服务支持，具备全国各主要省份的售后服务网络和对应的24小时服务支持热线且技术力量能满足采购单位维修服务需求的得1分，不满足得0分；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61"/>
              <w:spacing w:line="360" w:lineRule="atLeast"/>
              <w:jc w:val="center"/>
              <w:rPr>
                <w:color w:val="000000"/>
              </w:rPr>
            </w:pPr>
          </w:p>
        </w:tc>
        <w:tc>
          <w:tcPr>
            <w:tcW w:w="1149" w:type="dxa"/>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numPr>
                <w:ilvl w:val="0"/>
                <w:numId w:val="4"/>
              </w:numPr>
              <w:spacing w:line="360" w:lineRule="atLeast"/>
              <w:rPr>
                <w:rFonts w:hint="eastAsia" w:ascii="宋体" w:hAnsi="宋体" w:cs="宋体"/>
                <w:sz w:val="21"/>
                <w:szCs w:val="21"/>
              </w:rPr>
            </w:pPr>
            <w:r>
              <w:rPr>
                <w:rFonts w:hint="eastAsia" w:ascii="宋体" w:hAnsi="宋体" w:cs="宋体"/>
                <w:sz w:val="21"/>
                <w:szCs w:val="21"/>
              </w:rPr>
              <w:t>近三年（截止开标时间）企业售后服务未满足用户要求、未按承诺履行义务、被投诉的，每次得-1分。  需求部门或采购机构向采购管理部门提供违规供应商名单</w:t>
            </w:r>
          </w:p>
          <w:p>
            <w:pPr>
              <w:pStyle w:val="17"/>
              <w:spacing w:line="360" w:lineRule="atLeast"/>
              <w:ind w:firstLine="0"/>
              <w:rPr>
                <w:rFonts w:hint="eastAsia" w:ascii="宋体" w:hAnsi="宋体" w:cs="宋体"/>
                <w:sz w:val="21"/>
                <w:szCs w:val="21"/>
              </w:rPr>
            </w:pPr>
            <w:r>
              <w:rPr>
                <w:rFonts w:hint="eastAsia" w:ascii="宋体" w:hAnsi="宋体" w:cs="宋体"/>
                <w:sz w:val="21"/>
                <w:szCs w:val="21"/>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4"/>
            <w:noWrap/>
            <w:vAlign w:val="center"/>
          </w:tcPr>
          <w:p>
            <w:pPr>
              <w:pStyle w:val="161"/>
              <w:spacing w:line="360" w:lineRule="atLeast"/>
              <w:jc w:val="center"/>
              <w:rPr>
                <w:color w:val="000000"/>
              </w:rPr>
            </w:pPr>
            <w:r>
              <w:rPr>
                <w:rFonts w:hint="eastAsia"/>
                <w:b/>
                <w:bCs/>
                <w:color w:val="000000"/>
              </w:rPr>
              <w:t>合    计</w:t>
            </w:r>
          </w:p>
        </w:tc>
        <w:tc>
          <w:tcPr>
            <w:tcW w:w="1389" w:type="dxa"/>
            <w:noWrap/>
            <w:vAlign w:val="center"/>
          </w:tcPr>
          <w:p>
            <w:pPr>
              <w:pStyle w:val="161"/>
              <w:spacing w:line="360" w:lineRule="atLeast"/>
              <w:jc w:val="center"/>
              <w:rPr>
                <w:color w:val="000000"/>
              </w:rPr>
            </w:pPr>
            <w:r>
              <w:rPr>
                <w:rFonts w:hint="eastAsia"/>
                <w:color w:val="000000"/>
              </w:rPr>
              <w:t>60分</w:t>
            </w:r>
          </w:p>
        </w:tc>
      </w:tr>
    </w:tbl>
    <w:p>
      <w:pPr>
        <w:pStyle w:val="17"/>
      </w:pPr>
    </w:p>
    <w:p>
      <w:pPr>
        <w:pStyle w:val="17"/>
      </w:pPr>
    </w:p>
    <w:p>
      <w:pPr>
        <w:rPr>
          <w:sz w:val="28"/>
          <w:szCs w:val="28"/>
        </w:rPr>
      </w:pPr>
    </w:p>
    <w:p>
      <w:pPr>
        <w:pStyle w:val="17"/>
        <w:rPr>
          <w:sz w:val="28"/>
          <w:szCs w:val="28"/>
        </w:rPr>
      </w:pPr>
    </w:p>
    <w:p>
      <w:pPr>
        <w:sectPr>
          <w:headerReference r:id="rId14" w:type="default"/>
          <w:footerReference r:id="rId15" w:type="default"/>
          <w:pgSz w:w="11906" w:h="16838"/>
          <w:pgMar w:top="1247" w:right="1134" w:bottom="1247" w:left="1134" w:header="851" w:footer="851" w:gutter="0"/>
          <w:pgNumType w:fmt="numberInDash"/>
          <w:cols w:space="720" w:num="1"/>
          <w:docGrid w:linePitch="388" w:charSpace="-1260"/>
        </w:sect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eastAsia" w:ascii="Arial" w:hAnsi="Arial" w:eastAsia="方正小标宋简体" w:cs="Times New Roman"/>
          <w:b w:val="0"/>
          <w:bCs/>
          <w:kern w:val="2"/>
          <w:sz w:val="44"/>
          <w:szCs w:val="44"/>
          <w:lang w:val="en-US" w:eastAsia="zh-CN" w:bidi="ar-SA"/>
        </w:rPr>
      </w:pPr>
      <w:bookmarkStart w:id="666" w:name="_Toc10729"/>
      <w:bookmarkStart w:id="667" w:name="_Toc31255"/>
      <w:bookmarkStart w:id="668" w:name="_Toc23790"/>
      <w:bookmarkStart w:id="669" w:name="_Toc27712"/>
      <w:bookmarkStart w:id="670" w:name="_Toc8803"/>
      <w:r>
        <w:rPr>
          <w:rFonts w:hint="eastAsia" w:ascii="Arial" w:hAnsi="Arial" w:eastAsia="方正小标宋简体" w:cs="Times New Roman"/>
          <w:b w:val="0"/>
          <w:bCs/>
          <w:kern w:val="2"/>
          <w:sz w:val="44"/>
          <w:szCs w:val="44"/>
          <w:lang w:val="en-US" w:eastAsia="zh-CN" w:bidi="ar-SA"/>
        </w:rPr>
        <w:t>第八章  投标文件内容及格式</w:t>
      </w:r>
      <w:bookmarkEnd w:id="666"/>
      <w:bookmarkEnd w:id="667"/>
      <w:bookmarkEnd w:id="668"/>
      <w:bookmarkEnd w:id="669"/>
      <w:bookmarkEnd w:id="670"/>
    </w:p>
    <w:p>
      <w:pPr>
        <w:ind w:firstLine="880"/>
        <w:jc w:val="center"/>
        <w:rPr>
          <w:rFonts w:hint="eastAsia" w:eastAsia="方正小标宋简体"/>
          <w:sz w:val="36"/>
          <w:szCs w:val="36"/>
        </w:rPr>
      </w:pPr>
    </w:p>
    <w:p>
      <w:pPr>
        <w:spacing w:line="560" w:lineRule="exact"/>
        <w:ind w:firstLine="560" w:firstLineChars="200"/>
        <w:rPr>
          <w:sz w:val="28"/>
          <w:szCs w:val="28"/>
        </w:rPr>
      </w:pPr>
      <w:r>
        <w:rPr>
          <w:rFonts w:hint="eastAsia"/>
          <w:sz w:val="28"/>
          <w:szCs w:val="28"/>
        </w:rPr>
        <w:t>投标文件分为《价格文件》、《</w:t>
      </w:r>
      <w:r>
        <w:rPr>
          <w:rFonts w:hint="eastAsia"/>
          <w:sz w:val="28"/>
          <w:szCs w:val="28"/>
          <w:lang w:eastAsia="zh-CN"/>
        </w:rPr>
        <w:t>商务技术文件</w:t>
      </w:r>
      <w:r>
        <w:rPr>
          <w:rFonts w:hint="eastAsia"/>
          <w:sz w:val="28"/>
          <w:szCs w:val="28"/>
        </w:rPr>
        <w:t>》和《资格证明文件》，</w:t>
      </w:r>
      <w:r>
        <w:rPr>
          <w:rFonts w:hint="eastAsia"/>
          <w:b/>
          <w:sz w:val="28"/>
          <w:szCs w:val="28"/>
        </w:rPr>
        <w:t>包括但不限于以下组成内容</w:t>
      </w:r>
      <w:r>
        <w:rPr>
          <w:rFonts w:hint="eastAsia"/>
          <w:sz w:val="28"/>
          <w:szCs w:val="28"/>
        </w:rPr>
        <w:t>，本部分有提供格式文件的请按格式要求制作。</w:t>
      </w:r>
    </w:p>
    <w:p>
      <w:pPr>
        <w:spacing w:line="560" w:lineRule="exact"/>
        <w:ind w:firstLine="560" w:firstLineChars="200"/>
        <w:rPr>
          <w:rFonts w:hint="eastAsia"/>
          <w:sz w:val="28"/>
          <w:szCs w:val="28"/>
        </w:rPr>
      </w:pPr>
      <w:r>
        <w:rPr>
          <w:rFonts w:hint="eastAsia"/>
          <w:sz w:val="28"/>
          <w:szCs w:val="28"/>
        </w:rPr>
        <w:t>投标文件提供资料尽可能详细，对照《资格性</w:t>
      </w:r>
      <w:r>
        <w:rPr>
          <w:rFonts w:hint="eastAsia"/>
          <w:sz w:val="28"/>
          <w:szCs w:val="28"/>
          <w:lang w:eastAsia="zh-CN"/>
        </w:rPr>
        <w:t>审查表》</w:t>
      </w:r>
      <w:r>
        <w:rPr>
          <w:rFonts w:hint="eastAsia"/>
          <w:sz w:val="28"/>
          <w:szCs w:val="28"/>
        </w:rPr>
        <w:t>和《符合性审查表》、《商务技术评审表》制作投标文件。</w:t>
      </w:r>
    </w:p>
    <w:p>
      <w:pPr>
        <w:spacing w:line="560" w:lineRule="exact"/>
        <w:ind w:left="560"/>
        <w:rPr>
          <w:sz w:val="28"/>
          <w:szCs w:val="28"/>
        </w:rPr>
      </w:pPr>
      <w:r>
        <w:rPr>
          <w:rFonts w:ascii="宋体" w:hAnsi="宋体"/>
          <w:sz w:val="28"/>
          <w:szCs w:val="28"/>
          <w:lang w:val="zh-CN"/>
        </w:rPr>
        <w:t>★</w:t>
      </w:r>
      <w:r>
        <w:rPr>
          <w:sz w:val="28"/>
          <w:szCs w:val="28"/>
        </w:rPr>
        <w:t>投标文件的格式规定和签署</w:t>
      </w:r>
    </w:p>
    <w:p>
      <w:pPr>
        <w:spacing w:line="560" w:lineRule="exact"/>
        <w:ind w:left="420" w:leftChars="200"/>
        <w:rPr>
          <w:rFonts w:ascii="宋体" w:hAnsi="宋体"/>
          <w:sz w:val="28"/>
          <w:szCs w:val="28"/>
        </w:rPr>
      </w:pPr>
      <w:r>
        <w:rPr>
          <w:rFonts w:hint="eastAsia" w:ascii="宋体" w:hAnsi="宋体"/>
          <w:sz w:val="28"/>
          <w:szCs w:val="28"/>
        </w:rPr>
        <w:t>1.</w:t>
      </w:r>
      <w:r>
        <w:rPr>
          <w:rFonts w:ascii="宋体" w:hAnsi="宋体"/>
          <w:sz w:val="28"/>
          <w:szCs w:val="28"/>
        </w:rPr>
        <w:t>投标文件必须工整、规范、统一、清晰，</w:t>
      </w:r>
      <w:r>
        <w:rPr>
          <w:rFonts w:hint="eastAsia"/>
          <w:sz w:val="28"/>
          <w:szCs w:val="28"/>
          <w:lang w:eastAsia="zh-CN"/>
        </w:rPr>
        <w:t>商务技术文件</w:t>
      </w:r>
      <w:r>
        <w:rPr>
          <w:rFonts w:hint="eastAsia" w:ascii="宋体" w:hAnsi="宋体"/>
          <w:sz w:val="28"/>
          <w:szCs w:val="28"/>
        </w:rPr>
        <w:t>和资格证明文件</w:t>
      </w:r>
      <w:r>
        <w:rPr>
          <w:rFonts w:ascii="宋体" w:hAnsi="宋体"/>
          <w:sz w:val="28"/>
          <w:szCs w:val="28"/>
        </w:rPr>
        <w:t>采用A4幅面纸胶装成册</w:t>
      </w:r>
      <w:r>
        <w:rPr>
          <w:rFonts w:hint="eastAsia" w:ascii="宋体" w:hAnsi="宋体"/>
          <w:sz w:val="28"/>
          <w:szCs w:val="28"/>
        </w:rPr>
        <w:t>，页面不可抽取，不得有活动页</w:t>
      </w:r>
      <w:r>
        <w:rPr>
          <w:rFonts w:ascii="宋体" w:hAnsi="宋体"/>
          <w:sz w:val="28"/>
          <w:szCs w:val="28"/>
        </w:rPr>
        <w:t>。</w:t>
      </w:r>
    </w:p>
    <w:p>
      <w:pPr>
        <w:spacing w:line="560" w:lineRule="exact"/>
        <w:ind w:left="420" w:leftChars="200"/>
        <w:rPr>
          <w:rFonts w:ascii="宋体" w:hAnsi="宋体"/>
          <w:sz w:val="28"/>
          <w:szCs w:val="28"/>
        </w:rPr>
      </w:pPr>
      <w:r>
        <w:rPr>
          <w:rFonts w:hint="eastAsia" w:ascii="宋体" w:hAnsi="宋体"/>
          <w:sz w:val="28"/>
          <w:szCs w:val="28"/>
        </w:rPr>
        <w:t>2.</w:t>
      </w:r>
      <w:r>
        <w:rPr>
          <w:rFonts w:ascii="宋体" w:hAnsi="宋体"/>
          <w:sz w:val="28"/>
          <w:szCs w:val="28"/>
        </w:rPr>
        <w:t>投标文件必须打印或用黑色、蓝黑色墨水填写。</w:t>
      </w:r>
    </w:p>
    <w:p>
      <w:pPr>
        <w:spacing w:line="560" w:lineRule="exact"/>
        <w:ind w:left="420" w:leftChars="200"/>
        <w:rPr>
          <w:rFonts w:ascii="宋体" w:hAnsi="宋体"/>
          <w:sz w:val="28"/>
          <w:szCs w:val="28"/>
        </w:rPr>
      </w:pPr>
      <w:r>
        <w:rPr>
          <w:rFonts w:hint="eastAsia" w:ascii="宋体" w:hAnsi="宋体"/>
          <w:sz w:val="28"/>
          <w:szCs w:val="28"/>
        </w:rPr>
        <w:t>3.</w:t>
      </w:r>
      <w:r>
        <w:rPr>
          <w:rFonts w:ascii="宋体" w:hAnsi="宋体"/>
          <w:sz w:val="28"/>
          <w:szCs w:val="28"/>
        </w:rPr>
        <w:t>开标一览表必须按照规定的格式填写，不得自行增减内容。</w:t>
      </w:r>
    </w:p>
    <w:p>
      <w:pPr>
        <w:spacing w:line="560" w:lineRule="exact"/>
        <w:ind w:left="420" w:leftChars="200"/>
        <w:rPr>
          <w:rFonts w:ascii="宋体" w:hAnsi="宋体"/>
          <w:sz w:val="28"/>
          <w:szCs w:val="28"/>
        </w:rPr>
      </w:pPr>
      <w:r>
        <w:rPr>
          <w:rFonts w:hint="eastAsia" w:ascii="宋体" w:hAnsi="宋体"/>
          <w:sz w:val="28"/>
          <w:szCs w:val="28"/>
        </w:rPr>
        <w:t>4.法定代表人授权书必须由法定代表人签字或盖签名章</w:t>
      </w:r>
      <w:r>
        <w:rPr>
          <w:rFonts w:ascii="宋体" w:hAnsi="宋体"/>
          <w:bCs/>
          <w:sz w:val="28"/>
          <w:szCs w:val="28"/>
        </w:rPr>
        <w:t>。</w:t>
      </w:r>
    </w:p>
    <w:p>
      <w:pPr>
        <w:spacing w:line="560" w:lineRule="exact"/>
        <w:ind w:left="420" w:leftChars="200"/>
        <w:rPr>
          <w:rFonts w:ascii="宋体" w:hAnsi="宋体"/>
          <w:sz w:val="28"/>
          <w:szCs w:val="28"/>
        </w:rPr>
      </w:pPr>
      <w:r>
        <w:rPr>
          <w:rFonts w:hint="eastAsia" w:ascii="宋体" w:hAnsi="宋体"/>
          <w:sz w:val="28"/>
          <w:szCs w:val="28"/>
        </w:rPr>
        <w:t>5.</w:t>
      </w:r>
      <w:r>
        <w:rPr>
          <w:rFonts w:hint="eastAsia"/>
          <w:sz w:val="28"/>
          <w:szCs w:val="28"/>
          <w:lang w:eastAsia="zh-CN"/>
        </w:rPr>
        <w:t>商务技术文件</w:t>
      </w:r>
      <w:r>
        <w:rPr>
          <w:rFonts w:hint="eastAsia" w:ascii="宋体" w:hAnsi="宋体"/>
          <w:sz w:val="28"/>
          <w:szCs w:val="28"/>
        </w:rPr>
        <w:t>和资格证明文件应当加盖骑缝章，</w:t>
      </w:r>
      <w:r>
        <w:rPr>
          <w:rFonts w:ascii="宋体" w:hAnsi="宋体"/>
          <w:sz w:val="28"/>
          <w:szCs w:val="28"/>
        </w:rPr>
        <w:t>不得随意涂改和增删</w:t>
      </w:r>
      <w:r>
        <w:rPr>
          <w:rFonts w:hint="eastAsia" w:ascii="宋体" w:hAnsi="宋体"/>
          <w:sz w:val="28"/>
          <w:szCs w:val="28"/>
        </w:rPr>
        <w:t>（资格证明文件和</w:t>
      </w:r>
      <w:r>
        <w:rPr>
          <w:rFonts w:hint="eastAsia" w:ascii="宋体" w:hAnsi="宋体"/>
          <w:sz w:val="28"/>
          <w:szCs w:val="28"/>
          <w:lang w:eastAsia="zh-CN"/>
        </w:rPr>
        <w:t>商务技术文件</w:t>
      </w:r>
      <w:r>
        <w:rPr>
          <w:rFonts w:hint="eastAsia" w:ascii="宋体" w:hAnsi="宋体"/>
          <w:sz w:val="28"/>
          <w:szCs w:val="28"/>
        </w:rPr>
        <w:t>每页均加盖公章的除外）</w:t>
      </w:r>
      <w:r>
        <w:rPr>
          <w:rFonts w:ascii="宋体" w:hAnsi="宋体"/>
          <w:sz w:val="28"/>
          <w:szCs w:val="28"/>
        </w:rPr>
        <w:t>。如有修改错漏之处，必须由法定代表人或授权代表签字、盖章。</w:t>
      </w:r>
    </w:p>
    <w:p>
      <w:pPr>
        <w:pStyle w:val="17"/>
        <w:rPr>
          <w:rFonts w:hint="eastAsia"/>
        </w:rPr>
      </w:pPr>
    </w:p>
    <w:p>
      <w:pPr>
        <w:spacing w:line="560" w:lineRule="exact"/>
        <w:ind w:firstLine="562" w:firstLineChars="200"/>
        <w:rPr>
          <w:rFonts w:hint="eastAsia"/>
          <w:b/>
          <w:bCs/>
          <w:sz w:val="28"/>
          <w:szCs w:val="28"/>
        </w:rPr>
      </w:pPr>
      <w:r>
        <w:rPr>
          <w:rFonts w:hint="eastAsia"/>
          <w:b/>
          <w:bCs/>
          <w:sz w:val="28"/>
          <w:szCs w:val="28"/>
        </w:rPr>
        <w:t>注意事项：</w:t>
      </w:r>
    </w:p>
    <w:p>
      <w:pPr>
        <w:spacing w:line="560" w:lineRule="exact"/>
        <w:ind w:firstLine="560" w:firstLineChars="200"/>
        <w:rPr>
          <w:rFonts w:hint="eastAsia"/>
          <w:sz w:val="28"/>
          <w:szCs w:val="28"/>
        </w:rPr>
      </w:pPr>
      <w:r>
        <w:rPr>
          <w:rFonts w:hint="eastAsia"/>
          <w:sz w:val="28"/>
          <w:szCs w:val="28"/>
        </w:rPr>
        <w:t>1.编制投标文件前请详尽阅读招标文件投标供应商须知前附表以及第</w:t>
      </w:r>
      <w:r>
        <w:rPr>
          <w:rFonts w:hint="eastAsia"/>
          <w:sz w:val="28"/>
          <w:szCs w:val="28"/>
          <w:lang w:eastAsia="zh-CN"/>
        </w:rPr>
        <w:t>一章</w:t>
      </w:r>
      <w:r>
        <w:rPr>
          <w:rFonts w:hint="eastAsia"/>
          <w:sz w:val="28"/>
          <w:szCs w:val="28"/>
        </w:rPr>
        <w:t>-投标供应商须知。</w:t>
      </w:r>
    </w:p>
    <w:p>
      <w:pPr>
        <w:spacing w:line="560" w:lineRule="exact"/>
        <w:ind w:firstLine="560" w:firstLineChars="200"/>
        <w:rPr>
          <w:rFonts w:hint="eastAsia"/>
          <w:sz w:val="28"/>
          <w:szCs w:val="28"/>
        </w:rPr>
      </w:pPr>
      <w:r>
        <w:rPr>
          <w:rFonts w:hint="eastAsia"/>
          <w:sz w:val="28"/>
          <w:szCs w:val="28"/>
        </w:rPr>
        <w:t>2.投标文件应当工整、规范、统一、清晰，采用A4幅面纸胶装成册、标注页码。</w:t>
      </w:r>
    </w:p>
    <w:p>
      <w:pPr>
        <w:spacing w:line="560" w:lineRule="exact"/>
        <w:ind w:firstLine="560" w:firstLineChars="200"/>
        <w:rPr>
          <w:rFonts w:hint="eastAsia"/>
          <w:sz w:val="28"/>
          <w:szCs w:val="28"/>
        </w:rPr>
      </w:pPr>
      <w:r>
        <w:rPr>
          <w:rFonts w:hint="eastAsia"/>
          <w:sz w:val="28"/>
          <w:szCs w:val="28"/>
        </w:rPr>
        <w:t>3.投标人应当按照招标文件规定的统一格式填写投标文件，投标文件开始部分应当有目录，以及方便评标委员会评审使用的项目索引。</w:t>
      </w:r>
    </w:p>
    <w:p>
      <w:pPr>
        <w:spacing w:line="560" w:lineRule="exact"/>
        <w:ind w:firstLine="560" w:firstLineChars="200"/>
        <w:rPr>
          <w:rFonts w:hint="eastAsia"/>
          <w:sz w:val="28"/>
          <w:szCs w:val="28"/>
        </w:rPr>
      </w:pPr>
      <w:r>
        <w:rPr>
          <w:rFonts w:hint="eastAsia"/>
          <w:sz w:val="28"/>
          <w:szCs w:val="28"/>
        </w:rPr>
        <w:t>4.《价格文件》、《</w:t>
      </w:r>
      <w:r>
        <w:rPr>
          <w:rFonts w:hint="eastAsia"/>
          <w:sz w:val="28"/>
          <w:szCs w:val="28"/>
          <w:lang w:eastAsia="zh-CN"/>
        </w:rPr>
        <w:t>商务技术文件</w:t>
      </w:r>
      <w:r>
        <w:rPr>
          <w:rFonts w:hint="eastAsia"/>
          <w:sz w:val="28"/>
          <w:szCs w:val="28"/>
        </w:rPr>
        <w:t>》、《资格证明文件》须单独封装。《价格文件》、《</w:t>
      </w:r>
      <w:r>
        <w:rPr>
          <w:rFonts w:hint="eastAsia"/>
          <w:sz w:val="28"/>
          <w:szCs w:val="28"/>
          <w:lang w:eastAsia="zh-CN"/>
        </w:rPr>
        <w:t>商务技术文件</w:t>
      </w:r>
      <w:r>
        <w:rPr>
          <w:rFonts w:hint="eastAsia"/>
          <w:sz w:val="28"/>
          <w:szCs w:val="28"/>
        </w:rPr>
        <w:t>》、《资格证明文件》的封装袋加贴标签：项目名称+项目编号+《价格文件》/《</w:t>
      </w:r>
      <w:r>
        <w:rPr>
          <w:rFonts w:hint="eastAsia"/>
          <w:sz w:val="28"/>
          <w:szCs w:val="28"/>
          <w:lang w:eastAsia="zh-CN"/>
        </w:rPr>
        <w:t>商务技术文件</w:t>
      </w:r>
      <w:r>
        <w:rPr>
          <w:rFonts w:hint="eastAsia"/>
          <w:sz w:val="28"/>
          <w:szCs w:val="28"/>
        </w:rPr>
        <w:t>》/《资格证明文件》</w:t>
      </w:r>
    </w:p>
    <w:p>
      <w:pPr>
        <w:spacing w:line="560" w:lineRule="exact"/>
        <w:ind w:firstLine="560" w:firstLineChars="200"/>
        <w:rPr>
          <w:rFonts w:hint="eastAsia"/>
          <w:sz w:val="28"/>
          <w:szCs w:val="28"/>
        </w:rPr>
      </w:pPr>
      <w:r>
        <w:rPr>
          <w:rFonts w:hint="eastAsia"/>
          <w:sz w:val="28"/>
          <w:szCs w:val="28"/>
        </w:rPr>
        <w:t>其中：</w:t>
      </w:r>
    </w:p>
    <w:p>
      <w:pPr>
        <w:spacing w:line="560" w:lineRule="exact"/>
        <w:ind w:firstLine="560" w:firstLineChars="200"/>
        <w:rPr>
          <w:rFonts w:hint="eastAsia"/>
          <w:sz w:val="28"/>
          <w:szCs w:val="28"/>
        </w:rPr>
      </w:pPr>
      <w:r>
        <w:rPr>
          <w:rFonts w:hint="eastAsia"/>
          <w:sz w:val="28"/>
          <w:szCs w:val="28"/>
        </w:rPr>
        <w:t>（1）《价格文件》 ：一式</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 xml:space="preserve">份，副本 </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（2）《</w:t>
      </w:r>
      <w:r>
        <w:rPr>
          <w:rFonts w:hint="eastAsia"/>
          <w:sz w:val="28"/>
          <w:szCs w:val="28"/>
          <w:lang w:eastAsia="zh-CN"/>
        </w:rPr>
        <w:t>商务技术文件</w:t>
      </w:r>
      <w:r>
        <w:rPr>
          <w:rFonts w:hint="eastAsia"/>
          <w:sz w:val="28"/>
          <w:szCs w:val="28"/>
        </w:rPr>
        <w:t>》 ：一式</w:t>
      </w:r>
      <w:r>
        <w:rPr>
          <w:rFonts w:hint="eastAsia"/>
          <w:sz w:val="28"/>
          <w:szCs w:val="28"/>
          <w:u w:val="single"/>
        </w:rPr>
        <w:t xml:space="preserve">  3 </w:t>
      </w:r>
      <w:r>
        <w:rPr>
          <w:rFonts w:hint="eastAsia"/>
          <w:sz w:val="28"/>
          <w:szCs w:val="28"/>
        </w:rPr>
        <w:t xml:space="preserve"> 份，其中正本</w:t>
      </w:r>
      <w:r>
        <w:rPr>
          <w:rFonts w:hint="eastAsia"/>
          <w:sz w:val="28"/>
          <w:szCs w:val="28"/>
          <w:u w:val="single"/>
        </w:rPr>
        <w:t xml:space="preserve">  1 </w:t>
      </w:r>
      <w:r>
        <w:rPr>
          <w:rFonts w:hint="eastAsia"/>
          <w:sz w:val="28"/>
          <w:szCs w:val="28"/>
        </w:rPr>
        <w:t xml:space="preserve"> 份，副本 </w:t>
      </w:r>
      <w:r>
        <w:rPr>
          <w:rFonts w:hint="eastAsia"/>
          <w:sz w:val="28"/>
          <w:szCs w:val="28"/>
          <w:u w:val="single"/>
        </w:rPr>
        <w:t xml:space="preserve"> 2 </w:t>
      </w:r>
      <w:r>
        <w:rPr>
          <w:rFonts w:hint="eastAsia"/>
          <w:sz w:val="28"/>
          <w:szCs w:val="28"/>
        </w:rPr>
        <w:t xml:space="preserve"> 份；</w:t>
      </w:r>
    </w:p>
    <w:p>
      <w:pPr>
        <w:spacing w:line="560" w:lineRule="exact"/>
        <w:ind w:firstLine="560" w:firstLineChars="200"/>
        <w:rPr>
          <w:rFonts w:hint="eastAsia"/>
          <w:sz w:val="28"/>
          <w:szCs w:val="28"/>
        </w:rPr>
      </w:pPr>
      <w:r>
        <w:rPr>
          <w:rFonts w:hint="eastAsia"/>
          <w:sz w:val="28"/>
          <w:szCs w:val="28"/>
        </w:rPr>
        <w:t xml:space="preserve">（3）《资格证明文件》 ：一式 </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份，副本</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（4）《电子投标文件》【必须含：《价格文件》、《</w:t>
      </w:r>
      <w:r>
        <w:rPr>
          <w:rFonts w:hint="eastAsia"/>
          <w:sz w:val="28"/>
          <w:szCs w:val="28"/>
          <w:lang w:eastAsia="zh-CN"/>
        </w:rPr>
        <w:t>商务技术文件</w:t>
      </w:r>
      <w:r>
        <w:rPr>
          <w:rFonts w:hint="eastAsia"/>
          <w:sz w:val="28"/>
          <w:szCs w:val="28"/>
        </w:rPr>
        <w:t>》、《资格证明文件》】：1份（即光盘1张）。</w:t>
      </w:r>
    </w:p>
    <w:p>
      <w:pPr>
        <w:spacing w:line="560" w:lineRule="exact"/>
        <w:ind w:firstLine="560" w:firstLineChars="200"/>
      </w:pPr>
      <w:r>
        <w:rPr>
          <w:rFonts w:hint="eastAsia"/>
          <w:sz w:val="28"/>
          <w:szCs w:val="28"/>
        </w:rPr>
        <w:t>在每一份文件上均要注明“正本”或“副本”字样（《电子投标文件》除外）。如果正本与副本、《电子投标文件》不符，以纸质正本为准。</w:t>
      </w:r>
    </w:p>
    <w:p>
      <w:pPr>
        <w:ind w:firstLine="560" w:firstLineChars="200"/>
        <w:rPr>
          <w:rFonts w:hint="eastAsia" w:ascii="黑体" w:hAnsi="黑体" w:eastAsia="黑体"/>
          <w:sz w:val="28"/>
          <w:szCs w:val="28"/>
        </w:rPr>
      </w:pPr>
      <w:r>
        <w:rPr>
          <w:rFonts w:hint="eastAsia" w:ascii="黑体" w:hAnsi="黑体" w:eastAsia="黑体"/>
          <w:sz w:val="28"/>
          <w:szCs w:val="28"/>
        </w:rPr>
        <w:t>一、价格文件组成（1正、2副，共3份），封面编制内容包含项目名称，项目编号，包号（如无分包统一填写01），投标文件-价格文件-正本/副本，投标人全称并加盖公章。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463"/>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46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1</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开标一览表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宋体" w:hAnsi="宋体"/>
              </w:rPr>
            </w:pPr>
            <w:r>
              <w:rPr>
                <w:rFonts w:hint="eastAsia" w:ascii="宋体" w:hAnsi="宋体"/>
              </w:rPr>
              <w:t>附件1-1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2</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价格构成表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3</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货物材料、部件、工具价格明细表</w:t>
            </w:r>
            <w:r>
              <w:rPr>
                <w:rFonts w:hint="eastAsia" w:ascii="宋体" w:hAnsi="宋体"/>
              </w:rPr>
              <w:t>（生产企业必须提供）</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4</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其他与价格有关的资料、文件</w:t>
            </w:r>
            <w:r>
              <w:rPr>
                <w:rFonts w:hint="eastAsia" w:ascii="宋体" w:hAnsi="宋体"/>
              </w:rPr>
              <w:t>（如有）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5</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报价承诺函</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6</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试剂耗材价格（如有）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rPr>
            </w:pPr>
            <w:r>
              <w:rPr>
                <w:rFonts w:hint="eastAsia" w:ascii="宋体" w:hAnsi="宋体"/>
                <w:sz w:val="24"/>
                <w:szCs w:val="24"/>
                <w:lang w:eastAsia="zh-CN"/>
              </w:rPr>
              <w:t>7</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分项报价表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附件1-7</w:t>
            </w:r>
          </w:p>
        </w:tc>
      </w:tr>
    </w:tbl>
    <w:p>
      <w:pPr>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二、商务技术文件组成（1正、2副，共3份）；封面内容包含项目名称，项目编号，包号（如无分包统一填写01），投标文件-商务技术文件-正本/副本，投标人全称并加盖公章。</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153"/>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rPr>
            </w:pPr>
            <w:r>
              <w:rPr>
                <w:rFonts w:hint="eastAsia"/>
                <w:b w:val="0"/>
                <w:bCs/>
              </w:rPr>
              <w:t>符合性审查索引表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rPr>
            </w:pPr>
            <w:r>
              <w:rPr>
                <w:rFonts w:hint="eastAsia"/>
              </w:rPr>
              <w:t>商务评审索引表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lang w:val="en-US" w:eastAsia="zh-CN"/>
              </w:rPr>
              <w:t>附件2-2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技术评审索引表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rPr>
            </w:pPr>
            <w:r>
              <w:rPr>
                <w:rFonts w:hint="eastAsia" w:ascii="宋体" w:hAnsi="宋体"/>
                <w:lang w:val="en-US" w:eastAsia="zh-CN"/>
              </w:rPr>
              <w:t>附件2-3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投标函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技术指标参数响应偏离表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主要商务条款响应偏离表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财务社保数据统计表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售后服务方案</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ascii="宋体" w:hAnsi="宋体"/>
              </w:rPr>
              <w:t>易损易耗件清单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技术方案和所投标产品技术支持资料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bCs/>
              </w:rPr>
              <w:t>投标产品关键生产设备统计表</w:t>
            </w:r>
            <w:r>
              <w:rPr>
                <w:rFonts w:hint="eastAsia" w:ascii="宋体" w:hAnsi="宋体"/>
                <w:bCs/>
                <w:lang w:eastAsia="zh-CN"/>
              </w:rPr>
              <w:t>（</w:t>
            </w:r>
            <w:r>
              <w:rPr>
                <w:rFonts w:hint="eastAsia" w:ascii="宋体" w:hAnsi="宋体"/>
                <w:bCs/>
                <w:lang w:val="en-US" w:eastAsia="zh-CN"/>
              </w:rPr>
              <w:t>如有</w:t>
            </w:r>
            <w:r>
              <w:rPr>
                <w:rFonts w:hint="eastAsia" w:ascii="宋体" w:hAnsi="宋体"/>
                <w:bCs/>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b w:val="0"/>
                <w:color w:val="auto"/>
              </w:rPr>
              <w:t>商务评审表要求的内容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技术力量清单及证明材料</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3"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投标供应商专利技术证书，包括发明专利、实用新型专利</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投标供应商认为需要加以说明的其他内容</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ascii="宋体" w:hAnsi="宋体"/>
              </w:rPr>
              <w:t>交货清单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highlight w:val="none"/>
              </w:rPr>
            </w:pPr>
            <w:r>
              <w:rPr>
                <w:rFonts w:hint="eastAsia"/>
                <w:b w:val="0"/>
                <w:bCs/>
                <w:highlight w:val="none"/>
                <w:lang w:val="en-US" w:eastAsia="zh-CN"/>
              </w:rPr>
              <w:t>零配件全国统一报价表（如有）</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highlight w:val="none"/>
                <w:lang w:val="en-US" w:eastAsia="zh-CN"/>
              </w:rPr>
            </w:pPr>
            <w:r>
              <w:rPr>
                <w:rFonts w:hint="eastAsia" w:ascii="宋体" w:hAnsi="宋体"/>
                <w:highlight w:val="none"/>
                <w:lang w:val="en-US" w:eastAsia="zh-CN"/>
              </w:rPr>
              <w:t xml:space="preserve">附件2-17 </w:t>
            </w:r>
          </w:p>
        </w:tc>
      </w:tr>
    </w:tbl>
    <w:p>
      <w:pPr>
        <w:ind w:firstLine="560" w:firstLineChars="200"/>
        <w:rPr>
          <w:rFonts w:hint="eastAsia" w:ascii="黑体" w:eastAsia="黑体"/>
          <w:spacing w:val="-20"/>
          <w:kern w:val="18"/>
          <w:sz w:val="28"/>
          <w:szCs w:val="28"/>
        </w:rPr>
      </w:pPr>
      <w:r>
        <w:rPr>
          <w:rFonts w:hint="eastAsia" w:ascii="黑体" w:hAnsi="黑体" w:eastAsia="黑体" w:cs="Times New Roman"/>
          <w:sz w:val="28"/>
          <w:szCs w:val="28"/>
        </w:rPr>
        <w:t>三、资格证明文件组成（按照《资格和符合性审查表》要求提供证明材料）组成（1正、2副，共3份）；封面内容包含项目名称，项目编号，包号（如无分包统一填写01），投标文件-资格证明文件-正本/副本，投标人全称并加盖公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721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序号</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内容</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lang w:val="en-US" w:eastAsia="zh-CN"/>
              </w:rPr>
            </w:pPr>
            <w:r>
              <w:rPr>
                <w:rFonts w:hint="eastAsia" w:ascii="宋体" w:hAnsi="宋体"/>
                <w:b w:val="0"/>
                <w:bCs/>
                <w:lang w:val="en-US" w:eastAsia="zh-CN"/>
              </w:rPr>
              <w:t>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left"/>
              <w:rPr>
                <w:rFonts w:ascii="宋体" w:hAnsi="宋体"/>
                <w:b/>
              </w:rPr>
            </w:pPr>
            <w:r>
              <w:rPr>
                <w:rFonts w:hint="eastAsia" w:ascii="宋体" w:hAnsi="宋体"/>
                <w:bCs/>
              </w:rPr>
              <w:t>资格证明文件索引表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default" w:ascii="宋体" w:hAnsi="宋体" w:eastAsia="宋体"/>
                <w:b/>
                <w:lang w:val="en-US" w:eastAsia="zh-CN"/>
              </w:rPr>
            </w:pPr>
            <w:r>
              <w:rPr>
                <w:rFonts w:hint="eastAsia" w:ascii="宋体" w:hAnsi="宋体"/>
                <w:bCs/>
              </w:rPr>
              <w:t>附件</w:t>
            </w:r>
            <w:r>
              <w:rPr>
                <w:rFonts w:hint="eastAsia" w:ascii="宋体" w:hAnsi="宋体"/>
                <w:bCs/>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eastAsia" w:ascii="宋体" w:hAnsi="宋体" w:eastAsia="宋体"/>
                <w:b w:val="0"/>
                <w:bCs/>
                <w:sz w:val="24"/>
                <w:szCs w:val="24"/>
                <w:lang w:val="en-US" w:eastAsia="zh-CN"/>
              </w:rPr>
            </w:pPr>
            <w:r>
              <w:rPr>
                <w:rFonts w:hint="eastAsia" w:ascii="宋体" w:hAnsi="宋体"/>
                <w:b w:val="0"/>
                <w:bCs/>
                <w:sz w:val="24"/>
                <w:szCs w:val="24"/>
                <w:lang w:val="en-US" w:eastAsia="zh-CN"/>
              </w:rPr>
              <w:t>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lang w:val="zh-CN"/>
              </w:rPr>
              <w:t>工商营业执照、组织机构代码证、税务登记证</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bCs/>
              </w:rPr>
              <w:t>附件</w:t>
            </w:r>
            <w:r>
              <w:rPr>
                <w:rFonts w:hint="eastAsia" w:ascii="宋体" w:hAnsi="宋体"/>
                <w:bCs/>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法定代表人资格证明书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4</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法定代表人授权书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5</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供应商承诺声明</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6</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投标供应商近三年会计师事务所出具完整的审计报告</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7</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lang w:val="zh-CN"/>
              </w:rPr>
            </w:pPr>
            <w:r>
              <w:rPr>
                <w:rFonts w:hint="eastAsia" w:ascii="宋体" w:hAnsi="宋体" w:eastAsia="宋体"/>
                <w:lang w:val="zh-CN"/>
              </w:rPr>
              <w:t>纳税的证明材料</w:t>
            </w:r>
          </w:p>
          <w:p>
            <w:pPr>
              <w:spacing w:line="400" w:lineRule="exact"/>
              <w:rPr>
                <w:rFonts w:ascii="宋体" w:hAnsi="宋体" w:eastAsia="宋体" w:cs="Times New Roman"/>
                <w:kern w:val="2"/>
                <w:sz w:val="21"/>
                <w:szCs w:val="24"/>
                <w:lang w:val="en-US" w:eastAsia="zh-CN" w:bidi="ar-SA"/>
              </w:rPr>
            </w:pPr>
            <w:r>
              <w:rPr>
                <w:rFonts w:hint="eastAsia" w:ascii="宋体" w:hAnsi="宋体" w:eastAsia="宋体"/>
                <w:lang w:val="zh-CN"/>
              </w:rPr>
              <w:t>（投标供应商最近一年内不少于6个月纳税的证明材料）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8</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eastAsia="宋体" w:cs="Times New Roman"/>
                <w:kern w:val="2"/>
                <w:sz w:val="21"/>
                <w:szCs w:val="24"/>
                <w:lang w:val="en-US" w:eastAsia="zh-CN" w:bidi="ar-SA"/>
              </w:rPr>
            </w:pPr>
            <w:r>
              <w:rPr>
                <w:rFonts w:hint="eastAsia" w:ascii="宋体" w:hAnsi="宋体"/>
              </w:rPr>
              <w:t>投标供应商最近一年内不少于6个月缴纳社会保障金的证明材料（银行转账汇款单或社保部门出具的缴纳社会保障金的证明等；不需要缴纳社会保障金的供应商，投标供应商应提供相关证明材料）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9</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bCs/>
                <w:kern w:val="2"/>
                <w:sz w:val="28"/>
                <w:szCs w:val="28"/>
                <w:lang w:val="en-US" w:eastAsia="zh-CN" w:bidi="ar-SA"/>
              </w:rPr>
            </w:pPr>
            <w:bookmarkStart w:id="671" w:name="_Toc25531"/>
            <w:r>
              <w:rPr>
                <w:rFonts w:hint="eastAsia" w:ascii="宋体" w:hAnsi="宋体" w:eastAsia="宋体" w:cs="Times New Roman"/>
                <w:b w:val="0"/>
                <w:bCs w:val="0"/>
                <w:kern w:val="2"/>
                <w:sz w:val="21"/>
                <w:szCs w:val="24"/>
                <w:lang w:val="en-US" w:eastAsia="zh-CN" w:bidi="ar-SA"/>
              </w:rPr>
              <w:t>投标保证金缴纳证明材料</w:t>
            </w:r>
            <w:bookmarkEnd w:id="671"/>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10</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zh-CN" w:eastAsia="zh-CN" w:bidi="ar-SA"/>
              </w:rPr>
              <w:t>投标供应商基本情况表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附件3-1</w:t>
            </w:r>
            <w:r>
              <w:rPr>
                <w:rFonts w:hint="eastAsia" w:ascii="宋体" w:hAnsi="宋体"/>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eastAsia="宋体" w:cs="Times New Roman"/>
                <w:b w:val="0"/>
                <w:bCs w:val="0"/>
                <w:kern w:val="2"/>
                <w:sz w:val="21"/>
                <w:szCs w:val="24"/>
                <w:lang w:val="zh-CN" w:eastAsia="zh-CN" w:bidi="ar-SA"/>
              </w:rPr>
              <w:t>管理体系认证证书（</w:t>
            </w:r>
            <w:r>
              <w:rPr>
                <w:rFonts w:hint="eastAsia" w:ascii="宋体" w:hAnsi="宋体" w:eastAsia="宋体" w:cs="Times New Roman"/>
                <w:b w:val="0"/>
                <w:bCs w:val="0"/>
                <w:kern w:val="2"/>
                <w:sz w:val="21"/>
                <w:szCs w:val="24"/>
                <w:lang w:val="en-US" w:eastAsia="zh-CN" w:bidi="ar-SA"/>
              </w:rPr>
              <w:t>如有</w:t>
            </w:r>
            <w:r>
              <w:rPr>
                <w:rFonts w:hint="eastAsia" w:ascii="宋体" w:hAnsi="宋体" w:eastAsia="宋体" w:cs="Times New Roman"/>
                <w:b w:val="0"/>
                <w:bCs w:val="0"/>
                <w:kern w:val="2"/>
                <w:sz w:val="21"/>
                <w:szCs w:val="24"/>
                <w:lang w:val="zh-CN" w:eastAsia="zh-CN" w:bidi="ar-SA"/>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bCs/>
              </w:rPr>
              <w:t>附件</w:t>
            </w:r>
            <w:r>
              <w:rPr>
                <w:rFonts w:hint="eastAsia" w:ascii="宋体" w:hAnsi="宋体"/>
                <w:bCs/>
                <w:lang w:val="en-US" w:eastAsia="zh-CN"/>
              </w:rPr>
              <w:t>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主要股东或出资人信息</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特定资格条件所需材料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3-13</w:t>
            </w:r>
          </w:p>
        </w:tc>
      </w:tr>
    </w:tbl>
    <w:p/>
    <w:sectPr>
      <w:headerReference r:id="rId16" w:type="default"/>
      <w:footerReference r:id="rId17" w:type="default"/>
      <w:pgSz w:w="11906" w:h="16838"/>
      <w:pgMar w:top="1418" w:right="1134" w:bottom="1418" w:left="1418" w:header="851" w:footer="851" w:gutter="0"/>
      <w:pgNumType w:fmt="numberInDash"/>
      <w:cols w:space="720" w:num="1"/>
      <w:docGrid w:linePitch="388"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endnote>
  <w:endnote w:id="0">
    <w:p>
      <w:pPr>
        <w:pStyle w:val="26"/>
        <w:snapToGri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30</w:t>
                    </w:r>
                    <w:r>
                      <w:fldChar w:fldCharType="end"/>
                    </w:r>
                  </w:p>
                </w:txbxContent>
              </v:textbox>
            </v:shape>
          </w:pict>
        </mc:Fallback>
      </mc:AlternateContent>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99</w:t>
                    </w:r>
                    <w:r>
                      <w:fldChar w:fldCharType="end"/>
                    </w:r>
                  </w:p>
                </w:txbxContent>
              </v:textbox>
            </v:shape>
          </w:pict>
        </mc:Fallback>
      </mc:AlternateContent>
    </w:r>
  </w:p>
  <w:p>
    <w:pPr>
      <w:pStyle w:val="28"/>
      <w:wordWrap w:val="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eastAsia="宋体"/>
        <w:sz w:val="24"/>
        <w:szCs w:val="24"/>
        <w:lang w:eastAsia="zh-CN"/>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bCs/>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sz w:val="21"/>
        <w:szCs w:val="21"/>
      </w:rPr>
    </w:pP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rFonts w:ascii="楷体_GB2312" w:eastAsia="楷体_GB2312"/>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 w:hAnsi="楷体" w:eastAsia="楷体" w:cs="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4344"/>
    <w:multiLevelType w:val="multilevel"/>
    <w:tmpl w:val="052D4344"/>
    <w:lvl w:ilvl="0" w:tentative="0">
      <w:start w:val="1"/>
      <w:numFmt w:val="decimal"/>
      <w:suff w:val="nothing"/>
      <w:lvlText w:val="%1"/>
      <w:lvlJc w:val="left"/>
      <w:pPr>
        <w:ind w:left="388"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BD109A4"/>
    <w:multiLevelType w:val="multilevel"/>
    <w:tmpl w:val="0BD109A4"/>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japaneseCounting"/>
      <w:lvlText w:val="%2、"/>
      <w:lvlJc w:val="left"/>
      <w:pPr>
        <w:ind w:left="205" w:hanging="720"/>
      </w:pPr>
      <w:rPr>
        <w:rFonts w:hint="default" w:ascii="黑体" w:hAnsi="Times New Roman" w:eastAsia="黑体" w:cs="Times New Roman"/>
        <w:sz w:val="21"/>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2">
    <w:nsid w:val="0D5C81B7"/>
    <w:multiLevelType w:val="singleLevel"/>
    <w:tmpl w:val="0D5C81B7"/>
    <w:lvl w:ilvl="0" w:tentative="0">
      <w:start w:val="7"/>
      <w:numFmt w:val="decimal"/>
      <w:lvlText w:val="%1."/>
      <w:lvlJc w:val="left"/>
      <w:pPr>
        <w:tabs>
          <w:tab w:val="left" w:pos="312"/>
        </w:tabs>
      </w:pPr>
    </w:lvl>
  </w:abstractNum>
  <w:abstractNum w:abstractNumId="3">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4">
    <w:nsid w:val="7F2511F9"/>
    <w:multiLevelType w:val="multilevel"/>
    <w:tmpl w:val="7F2511F9"/>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2"/>
    <w:endnote w:id="3"/>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YzQ3NGY1ZmRkMzJhOTc2MmM1NTcyMTZjYzMxZGYifQ=="/>
  </w:docVars>
  <w:rsids>
    <w:rsidRoot w:val="007434B4"/>
    <w:rsid w:val="00000A61"/>
    <w:rsid w:val="00000A83"/>
    <w:rsid w:val="000013FE"/>
    <w:rsid w:val="00001549"/>
    <w:rsid w:val="0000186F"/>
    <w:rsid w:val="00001A03"/>
    <w:rsid w:val="00002568"/>
    <w:rsid w:val="00002840"/>
    <w:rsid w:val="00002D66"/>
    <w:rsid w:val="000037DE"/>
    <w:rsid w:val="0000392F"/>
    <w:rsid w:val="00003D23"/>
    <w:rsid w:val="00003EB3"/>
    <w:rsid w:val="00004137"/>
    <w:rsid w:val="0000430D"/>
    <w:rsid w:val="000046E7"/>
    <w:rsid w:val="00004EAF"/>
    <w:rsid w:val="0000617C"/>
    <w:rsid w:val="00006552"/>
    <w:rsid w:val="000066AD"/>
    <w:rsid w:val="000066FF"/>
    <w:rsid w:val="00006DAC"/>
    <w:rsid w:val="00007067"/>
    <w:rsid w:val="0001024D"/>
    <w:rsid w:val="00010382"/>
    <w:rsid w:val="000106D9"/>
    <w:rsid w:val="000108AA"/>
    <w:rsid w:val="00010C6F"/>
    <w:rsid w:val="0001110D"/>
    <w:rsid w:val="00012880"/>
    <w:rsid w:val="00012DDA"/>
    <w:rsid w:val="00012ECE"/>
    <w:rsid w:val="0001306B"/>
    <w:rsid w:val="00013365"/>
    <w:rsid w:val="00013466"/>
    <w:rsid w:val="00013563"/>
    <w:rsid w:val="00013574"/>
    <w:rsid w:val="00013923"/>
    <w:rsid w:val="00013A9F"/>
    <w:rsid w:val="00013C3C"/>
    <w:rsid w:val="00014251"/>
    <w:rsid w:val="00014A82"/>
    <w:rsid w:val="00015858"/>
    <w:rsid w:val="00015A29"/>
    <w:rsid w:val="0001617A"/>
    <w:rsid w:val="00017581"/>
    <w:rsid w:val="000175E8"/>
    <w:rsid w:val="00017CF0"/>
    <w:rsid w:val="00017E19"/>
    <w:rsid w:val="00017F9C"/>
    <w:rsid w:val="00021906"/>
    <w:rsid w:val="000224EC"/>
    <w:rsid w:val="00022C7C"/>
    <w:rsid w:val="00023183"/>
    <w:rsid w:val="000247E5"/>
    <w:rsid w:val="00024C64"/>
    <w:rsid w:val="00024C6B"/>
    <w:rsid w:val="000252F0"/>
    <w:rsid w:val="0002532C"/>
    <w:rsid w:val="00025E40"/>
    <w:rsid w:val="00025EED"/>
    <w:rsid w:val="0002728C"/>
    <w:rsid w:val="00027558"/>
    <w:rsid w:val="00027A39"/>
    <w:rsid w:val="00027CBF"/>
    <w:rsid w:val="00027D0F"/>
    <w:rsid w:val="00030347"/>
    <w:rsid w:val="00030A53"/>
    <w:rsid w:val="00030C0F"/>
    <w:rsid w:val="00031267"/>
    <w:rsid w:val="00031705"/>
    <w:rsid w:val="00031BBE"/>
    <w:rsid w:val="00031C52"/>
    <w:rsid w:val="00032B26"/>
    <w:rsid w:val="00032D53"/>
    <w:rsid w:val="000333AE"/>
    <w:rsid w:val="00033EFF"/>
    <w:rsid w:val="00034A1D"/>
    <w:rsid w:val="00034D27"/>
    <w:rsid w:val="00034F97"/>
    <w:rsid w:val="00035016"/>
    <w:rsid w:val="00035663"/>
    <w:rsid w:val="000358FA"/>
    <w:rsid w:val="000359AC"/>
    <w:rsid w:val="000359D6"/>
    <w:rsid w:val="00035B2B"/>
    <w:rsid w:val="00036999"/>
    <w:rsid w:val="0003788C"/>
    <w:rsid w:val="00040247"/>
    <w:rsid w:val="00040313"/>
    <w:rsid w:val="000405F2"/>
    <w:rsid w:val="00040A03"/>
    <w:rsid w:val="00040E14"/>
    <w:rsid w:val="00041881"/>
    <w:rsid w:val="00041D11"/>
    <w:rsid w:val="00041F58"/>
    <w:rsid w:val="0004234C"/>
    <w:rsid w:val="0004381A"/>
    <w:rsid w:val="0004444E"/>
    <w:rsid w:val="00045146"/>
    <w:rsid w:val="0004518A"/>
    <w:rsid w:val="00045195"/>
    <w:rsid w:val="00045700"/>
    <w:rsid w:val="00045855"/>
    <w:rsid w:val="00045B4B"/>
    <w:rsid w:val="000460A8"/>
    <w:rsid w:val="000467EE"/>
    <w:rsid w:val="00046881"/>
    <w:rsid w:val="000470DE"/>
    <w:rsid w:val="00047210"/>
    <w:rsid w:val="00047440"/>
    <w:rsid w:val="000474B5"/>
    <w:rsid w:val="0004759C"/>
    <w:rsid w:val="000476BA"/>
    <w:rsid w:val="00047E45"/>
    <w:rsid w:val="00047F88"/>
    <w:rsid w:val="0005011A"/>
    <w:rsid w:val="0005013F"/>
    <w:rsid w:val="0005019F"/>
    <w:rsid w:val="000505B8"/>
    <w:rsid w:val="000508AD"/>
    <w:rsid w:val="00051201"/>
    <w:rsid w:val="0005168D"/>
    <w:rsid w:val="00051F7E"/>
    <w:rsid w:val="0005208E"/>
    <w:rsid w:val="000522F8"/>
    <w:rsid w:val="00052DBD"/>
    <w:rsid w:val="00053B32"/>
    <w:rsid w:val="00053BE1"/>
    <w:rsid w:val="00053C6E"/>
    <w:rsid w:val="00053C94"/>
    <w:rsid w:val="000546D1"/>
    <w:rsid w:val="00055505"/>
    <w:rsid w:val="000566BD"/>
    <w:rsid w:val="00056B9B"/>
    <w:rsid w:val="0005701C"/>
    <w:rsid w:val="0005709D"/>
    <w:rsid w:val="0005733F"/>
    <w:rsid w:val="00057DA2"/>
    <w:rsid w:val="000603D4"/>
    <w:rsid w:val="000606A2"/>
    <w:rsid w:val="00060C04"/>
    <w:rsid w:val="00060D3D"/>
    <w:rsid w:val="00060F66"/>
    <w:rsid w:val="0006124F"/>
    <w:rsid w:val="00061310"/>
    <w:rsid w:val="000613BA"/>
    <w:rsid w:val="00061590"/>
    <w:rsid w:val="000617C1"/>
    <w:rsid w:val="000618B2"/>
    <w:rsid w:val="00061914"/>
    <w:rsid w:val="000620A1"/>
    <w:rsid w:val="0006218B"/>
    <w:rsid w:val="000628F6"/>
    <w:rsid w:val="00062E6C"/>
    <w:rsid w:val="000631C4"/>
    <w:rsid w:val="000638C9"/>
    <w:rsid w:val="0006546E"/>
    <w:rsid w:val="00065B10"/>
    <w:rsid w:val="000662FC"/>
    <w:rsid w:val="0006657E"/>
    <w:rsid w:val="000666F2"/>
    <w:rsid w:val="00066BCE"/>
    <w:rsid w:val="00066F09"/>
    <w:rsid w:val="0006734E"/>
    <w:rsid w:val="000675E6"/>
    <w:rsid w:val="000677C7"/>
    <w:rsid w:val="00067803"/>
    <w:rsid w:val="00067948"/>
    <w:rsid w:val="00067D0B"/>
    <w:rsid w:val="000709FB"/>
    <w:rsid w:val="00070B21"/>
    <w:rsid w:val="00070F95"/>
    <w:rsid w:val="0007140C"/>
    <w:rsid w:val="00071555"/>
    <w:rsid w:val="00072067"/>
    <w:rsid w:val="00072274"/>
    <w:rsid w:val="00072573"/>
    <w:rsid w:val="00072724"/>
    <w:rsid w:val="00073182"/>
    <w:rsid w:val="0007343D"/>
    <w:rsid w:val="00073C81"/>
    <w:rsid w:val="00074523"/>
    <w:rsid w:val="000745C1"/>
    <w:rsid w:val="0007473A"/>
    <w:rsid w:val="00074CB8"/>
    <w:rsid w:val="00074F88"/>
    <w:rsid w:val="000751AF"/>
    <w:rsid w:val="00075737"/>
    <w:rsid w:val="00076502"/>
    <w:rsid w:val="000768C7"/>
    <w:rsid w:val="00076A38"/>
    <w:rsid w:val="00076D6C"/>
    <w:rsid w:val="000775DD"/>
    <w:rsid w:val="00077655"/>
    <w:rsid w:val="00077706"/>
    <w:rsid w:val="000777C0"/>
    <w:rsid w:val="00077C3A"/>
    <w:rsid w:val="00077E78"/>
    <w:rsid w:val="00080A92"/>
    <w:rsid w:val="000811B9"/>
    <w:rsid w:val="000815D8"/>
    <w:rsid w:val="00081D5E"/>
    <w:rsid w:val="00082346"/>
    <w:rsid w:val="000828E7"/>
    <w:rsid w:val="00082D95"/>
    <w:rsid w:val="0008306E"/>
    <w:rsid w:val="000831A6"/>
    <w:rsid w:val="000831F8"/>
    <w:rsid w:val="000841E5"/>
    <w:rsid w:val="00084314"/>
    <w:rsid w:val="000843C3"/>
    <w:rsid w:val="00085204"/>
    <w:rsid w:val="00085A87"/>
    <w:rsid w:val="00085B42"/>
    <w:rsid w:val="00086D13"/>
    <w:rsid w:val="00086D4B"/>
    <w:rsid w:val="00087CA6"/>
    <w:rsid w:val="0009006C"/>
    <w:rsid w:val="000902FC"/>
    <w:rsid w:val="0009045C"/>
    <w:rsid w:val="000904BC"/>
    <w:rsid w:val="00090578"/>
    <w:rsid w:val="00090726"/>
    <w:rsid w:val="000908C8"/>
    <w:rsid w:val="000909AB"/>
    <w:rsid w:val="00090D47"/>
    <w:rsid w:val="00090F05"/>
    <w:rsid w:val="000913D7"/>
    <w:rsid w:val="00091751"/>
    <w:rsid w:val="000917F5"/>
    <w:rsid w:val="00091918"/>
    <w:rsid w:val="00091D16"/>
    <w:rsid w:val="000921D2"/>
    <w:rsid w:val="00092365"/>
    <w:rsid w:val="00092E61"/>
    <w:rsid w:val="00093151"/>
    <w:rsid w:val="00093AAC"/>
    <w:rsid w:val="00093EDB"/>
    <w:rsid w:val="000942FA"/>
    <w:rsid w:val="00094343"/>
    <w:rsid w:val="0009483A"/>
    <w:rsid w:val="0009511E"/>
    <w:rsid w:val="0009530E"/>
    <w:rsid w:val="00095527"/>
    <w:rsid w:val="0009567C"/>
    <w:rsid w:val="00095A0E"/>
    <w:rsid w:val="00096239"/>
    <w:rsid w:val="00096A68"/>
    <w:rsid w:val="00097766"/>
    <w:rsid w:val="00097FB9"/>
    <w:rsid w:val="000A0680"/>
    <w:rsid w:val="000A08E1"/>
    <w:rsid w:val="000A0CD6"/>
    <w:rsid w:val="000A1036"/>
    <w:rsid w:val="000A19F9"/>
    <w:rsid w:val="000A2445"/>
    <w:rsid w:val="000A2575"/>
    <w:rsid w:val="000A25D2"/>
    <w:rsid w:val="000A2631"/>
    <w:rsid w:val="000A27CA"/>
    <w:rsid w:val="000A3313"/>
    <w:rsid w:val="000A3BB4"/>
    <w:rsid w:val="000A4283"/>
    <w:rsid w:val="000A4354"/>
    <w:rsid w:val="000A45EF"/>
    <w:rsid w:val="000A4BA6"/>
    <w:rsid w:val="000A5672"/>
    <w:rsid w:val="000A5772"/>
    <w:rsid w:val="000A57B9"/>
    <w:rsid w:val="000A5B0B"/>
    <w:rsid w:val="000A5F48"/>
    <w:rsid w:val="000A629D"/>
    <w:rsid w:val="000A6658"/>
    <w:rsid w:val="000A6939"/>
    <w:rsid w:val="000A6CDC"/>
    <w:rsid w:val="000A7A5A"/>
    <w:rsid w:val="000B0024"/>
    <w:rsid w:val="000B01CA"/>
    <w:rsid w:val="000B038F"/>
    <w:rsid w:val="000B0390"/>
    <w:rsid w:val="000B049C"/>
    <w:rsid w:val="000B0870"/>
    <w:rsid w:val="000B0C1A"/>
    <w:rsid w:val="000B0F6F"/>
    <w:rsid w:val="000B1637"/>
    <w:rsid w:val="000B1715"/>
    <w:rsid w:val="000B1D78"/>
    <w:rsid w:val="000B2648"/>
    <w:rsid w:val="000B2722"/>
    <w:rsid w:val="000B320F"/>
    <w:rsid w:val="000B33DF"/>
    <w:rsid w:val="000B34C9"/>
    <w:rsid w:val="000B354B"/>
    <w:rsid w:val="000B3A4F"/>
    <w:rsid w:val="000B3CBE"/>
    <w:rsid w:val="000B4369"/>
    <w:rsid w:val="000B447F"/>
    <w:rsid w:val="000B4504"/>
    <w:rsid w:val="000B47C4"/>
    <w:rsid w:val="000B48CB"/>
    <w:rsid w:val="000B51EA"/>
    <w:rsid w:val="000B5653"/>
    <w:rsid w:val="000B5D64"/>
    <w:rsid w:val="000B5D7D"/>
    <w:rsid w:val="000B67D9"/>
    <w:rsid w:val="000B6A6A"/>
    <w:rsid w:val="000B7755"/>
    <w:rsid w:val="000B7D44"/>
    <w:rsid w:val="000B7DE0"/>
    <w:rsid w:val="000B7DF1"/>
    <w:rsid w:val="000C0324"/>
    <w:rsid w:val="000C035B"/>
    <w:rsid w:val="000C0714"/>
    <w:rsid w:val="000C1702"/>
    <w:rsid w:val="000C17ED"/>
    <w:rsid w:val="000C188C"/>
    <w:rsid w:val="000C1BAE"/>
    <w:rsid w:val="000C245B"/>
    <w:rsid w:val="000C2AE6"/>
    <w:rsid w:val="000C354A"/>
    <w:rsid w:val="000C3DFB"/>
    <w:rsid w:val="000C3F62"/>
    <w:rsid w:val="000C4486"/>
    <w:rsid w:val="000C4737"/>
    <w:rsid w:val="000C4F92"/>
    <w:rsid w:val="000C4FD9"/>
    <w:rsid w:val="000C5075"/>
    <w:rsid w:val="000C52A0"/>
    <w:rsid w:val="000C5A7B"/>
    <w:rsid w:val="000C5E03"/>
    <w:rsid w:val="000C5E94"/>
    <w:rsid w:val="000C61EE"/>
    <w:rsid w:val="000C6616"/>
    <w:rsid w:val="000C6B2C"/>
    <w:rsid w:val="000C6D59"/>
    <w:rsid w:val="000C70C2"/>
    <w:rsid w:val="000C7812"/>
    <w:rsid w:val="000D0082"/>
    <w:rsid w:val="000D00A1"/>
    <w:rsid w:val="000D04C8"/>
    <w:rsid w:val="000D0769"/>
    <w:rsid w:val="000D0E5E"/>
    <w:rsid w:val="000D1018"/>
    <w:rsid w:val="000D1D37"/>
    <w:rsid w:val="000D211B"/>
    <w:rsid w:val="000D21CD"/>
    <w:rsid w:val="000D27D1"/>
    <w:rsid w:val="000D2A3F"/>
    <w:rsid w:val="000D2BC6"/>
    <w:rsid w:val="000D3091"/>
    <w:rsid w:val="000D344B"/>
    <w:rsid w:val="000D3A94"/>
    <w:rsid w:val="000D3B49"/>
    <w:rsid w:val="000D4A2B"/>
    <w:rsid w:val="000D4BFD"/>
    <w:rsid w:val="000D5249"/>
    <w:rsid w:val="000D6185"/>
    <w:rsid w:val="000D6514"/>
    <w:rsid w:val="000D6629"/>
    <w:rsid w:val="000D76A4"/>
    <w:rsid w:val="000D7EA9"/>
    <w:rsid w:val="000E069D"/>
    <w:rsid w:val="000E0761"/>
    <w:rsid w:val="000E0819"/>
    <w:rsid w:val="000E0BAE"/>
    <w:rsid w:val="000E15E0"/>
    <w:rsid w:val="000E166F"/>
    <w:rsid w:val="000E25BD"/>
    <w:rsid w:val="000E27EF"/>
    <w:rsid w:val="000E2A00"/>
    <w:rsid w:val="000E3122"/>
    <w:rsid w:val="000E3C87"/>
    <w:rsid w:val="000E3DCC"/>
    <w:rsid w:val="000E4082"/>
    <w:rsid w:val="000E4525"/>
    <w:rsid w:val="000E46D9"/>
    <w:rsid w:val="000E472D"/>
    <w:rsid w:val="000E4E95"/>
    <w:rsid w:val="000E50DD"/>
    <w:rsid w:val="000E51E1"/>
    <w:rsid w:val="000E5964"/>
    <w:rsid w:val="000E598D"/>
    <w:rsid w:val="000E640C"/>
    <w:rsid w:val="000E682F"/>
    <w:rsid w:val="000E703C"/>
    <w:rsid w:val="000E7308"/>
    <w:rsid w:val="000E7417"/>
    <w:rsid w:val="000E741F"/>
    <w:rsid w:val="000E7E0E"/>
    <w:rsid w:val="000F0042"/>
    <w:rsid w:val="000F0B9C"/>
    <w:rsid w:val="000F0FB5"/>
    <w:rsid w:val="000F1903"/>
    <w:rsid w:val="000F1A45"/>
    <w:rsid w:val="000F1AF9"/>
    <w:rsid w:val="000F21C8"/>
    <w:rsid w:val="000F3713"/>
    <w:rsid w:val="000F376A"/>
    <w:rsid w:val="000F37AB"/>
    <w:rsid w:val="000F3BA5"/>
    <w:rsid w:val="000F3C74"/>
    <w:rsid w:val="000F3F24"/>
    <w:rsid w:val="000F4155"/>
    <w:rsid w:val="000F4491"/>
    <w:rsid w:val="000F44CB"/>
    <w:rsid w:val="000F46A4"/>
    <w:rsid w:val="000F4F2F"/>
    <w:rsid w:val="000F5866"/>
    <w:rsid w:val="000F5CE6"/>
    <w:rsid w:val="000F620C"/>
    <w:rsid w:val="000F7588"/>
    <w:rsid w:val="000F7591"/>
    <w:rsid w:val="001000C3"/>
    <w:rsid w:val="0010071B"/>
    <w:rsid w:val="001009F8"/>
    <w:rsid w:val="00100CE4"/>
    <w:rsid w:val="00100F80"/>
    <w:rsid w:val="00102158"/>
    <w:rsid w:val="00102723"/>
    <w:rsid w:val="001027BD"/>
    <w:rsid w:val="001029A8"/>
    <w:rsid w:val="00104636"/>
    <w:rsid w:val="001047E3"/>
    <w:rsid w:val="00104908"/>
    <w:rsid w:val="00104D5D"/>
    <w:rsid w:val="00105A9C"/>
    <w:rsid w:val="00105C89"/>
    <w:rsid w:val="001061C9"/>
    <w:rsid w:val="00106446"/>
    <w:rsid w:val="001064E7"/>
    <w:rsid w:val="00106693"/>
    <w:rsid w:val="00106F32"/>
    <w:rsid w:val="00107077"/>
    <w:rsid w:val="0010798D"/>
    <w:rsid w:val="00107FD9"/>
    <w:rsid w:val="00110169"/>
    <w:rsid w:val="001104A9"/>
    <w:rsid w:val="001108C2"/>
    <w:rsid w:val="001108E9"/>
    <w:rsid w:val="00110B4B"/>
    <w:rsid w:val="00110D4A"/>
    <w:rsid w:val="001113FC"/>
    <w:rsid w:val="00111596"/>
    <w:rsid w:val="00111A26"/>
    <w:rsid w:val="00111BA9"/>
    <w:rsid w:val="00111CC9"/>
    <w:rsid w:val="00111DF1"/>
    <w:rsid w:val="00111E9C"/>
    <w:rsid w:val="00112139"/>
    <w:rsid w:val="0011245C"/>
    <w:rsid w:val="0011291B"/>
    <w:rsid w:val="00112A3D"/>
    <w:rsid w:val="00112A5A"/>
    <w:rsid w:val="00112F7F"/>
    <w:rsid w:val="001133AC"/>
    <w:rsid w:val="00113794"/>
    <w:rsid w:val="00113A79"/>
    <w:rsid w:val="00113C61"/>
    <w:rsid w:val="00113D45"/>
    <w:rsid w:val="00113E21"/>
    <w:rsid w:val="00113E55"/>
    <w:rsid w:val="00113EBD"/>
    <w:rsid w:val="00113F2F"/>
    <w:rsid w:val="001141D0"/>
    <w:rsid w:val="00114A5B"/>
    <w:rsid w:val="00114B15"/>
    <w:rsid w:val="00115301"/>
    <w:rsid w:val="001155CF"/>
    <w:rsid w:val="00115CAE"/>
    <w:rsid w:val="00116313"/>
    <w:rsid w:val="001164E3"/>
    <w:rsid w:val="00117058"/>
    <w:rsid w:val="00117143"/>
    <w:rsid w:val="00120369"/>
    <w:rsid w:val="00120A2E"/>
    <w:rsid w:val="0012115D"/>
    <w:rsid w:val="001217FB"/>
    <w:rsid w:val="0012193B"/>
    <w:rsid w:val="00121A30"/>
    <w:rsid w:val="00121C09"/>
    <w:rsid w:val="001228FD"/>
    <w:rsid w:val="00122A40"/>
    <w:rsid w:val="001232B6"/>
    <w:rsid w:val="00123C10"/>
    <w:rsid w:val="001240B1"/>
    <w:rsid w:val="00124345"/>
    <w:rsid w:val="001243CC"/>
    <w:rsid w:val="0012512A"/>
    <w:rsid w:val="00125769"/>
    <w:rsid w:val="0012585E"/>
    <w:rsid w:val="00125F48"/>
    <w:rsid w:val="001260C6"/>
    <w:rsid w:val="00126231"/>
    <w:rsid w:val="001264B5"/>
    <w:rsid w:val="001264DC"/>
    <w:rsid w:val="00127083"/>
    <w:rsid w:val="001270F3"/>
    <w:rsid w:val="0012721E"/>
    <w:rsid w:val="001302EB"/>
    <w:rsid w:val="001309E8"/>
    <w:rsid w:val="0013172D"/>
    <w:rsid w:val="00131A66"/>
    <w:rsid w:val="001322EF"/>
    <w:rsid w:val="001324B3"/>
    <w:rsid w:val="00132C5C"/>
    <w:rsid w:val="00134480"/>
    <w:rsid w:val="001344CD"/>
    <w:rsid w:val="001345E9"/>
    <w:rsid w:val="0013488F"/>
    <w:rsid w:val="00134894"/>
    <w:rsid w:val="001348D3"/>
    <w:rsid w:val="00135375"/>
    <w:rsid w:val="00136C17"/>
    <w:rsid w:val="001370E3"/>
    <w:rsid w:val="001373B5"/>
    <w:rsid w:val="00137DA0"/>
    <w:rsid w:val="00137DBD"/>
    <w:rsid w:val="00137DCD"/>
    <w:rsid w:val="00140395"/>
    <w:rsid w:val="00140DA3"/>
    <w:rsid w:val="001413DF"/>
    <w:rsid w:val="00141BEE"/>
    <w:rsid w:val="00142821"/>
    <w:rsid w:val="00142F2C"/>
    <w:rsid w:val="0014304D"/>
    <w:rsid w:val="00143121"/>
    <w:rsid w:val="00144141"/>
    <w:rsid w:val="0014429B"/>
    <w:rsid w:val="00144B01"/>
    <w:rsid w:val="00144EEE"/>
    <w:rsid w:val="00144F97"/>
    <w:rsid w:val="00145474"/>
    <w:rsid w:val="00145591"/>
    <w:rsid w:val="00145791"/>
    <w:rsid w:val="0014579A"/>
    <w:rsid w:val="00145878"/>
    <w:rsid w:val="00145AD9"/>
    <w:rsid w:val="0014699B"/>
    <w:rsid w:val="00146D14"/>
    <w:rsid w:val="00146D9D"/>
    <w:rsid w:val="00146FCF"/>
    <w:rsid w:val="001475E6"/>
    <w:rsid w:val="00151124"/>
    <w:rsid w:val="001511E6"/>
    <w:rsid w:val="001515BF"/>
    <w:rsid w:val="00151BA6"/>
    <w:rsid w:val="00152032"/>
    <w:rsid w:val="00152542"/>
    <w:rsid w:val="0015269F"/>
    <w:rsid w:val="00152739"/>
    <w:rsid w:val="00153432"/>
    <w:rsid w:val="00153AE6"/>
    <w:rsid w:val="00153C89"/>
    <w:rsid w:val="00154232"/>
    <w:rsid w:val="00154280"/>
    <w:rsid w:val="00154D61"/>
    <w:rsid w:val="00154FB7"/>
    <w:rsid w:val="00155144"/>
    <w:rsid w:val="00155FED"/>
    <w:rsid w:val="00156049"/>
    <w:rsid w:val="001564DB"/>
    <w:rsid w:val="001566D6"/>
    <w:rsid w:val="00156810"/>
    <w:rsid w:val="00156987"/>
    <w:rsid w:val="00156EBF"/>
    <w:rsid w:val="00156F75"/>
    <w:rsid w:val="001578C4"/>
    <w:rsid w:val="00157F3C"/>
    <w:rsid w:val="00160408"/>
    <w:rsid w:val="00160E3C"/>
    <w:rsid w:val="00160F6F"/>
    <w:rsid w:val="00160F7D"/>
    <w:rsid w:val="00161454"/>
    <w:rsid w:val="00161540"/>
    <w:rsid w:val="001617E9"/>
    <w:rsid w:val="00162169"/>
    <w:rsid w:val="00162175"/>
    <w:rsid w:val="00162403"/>
    <w:rsid w:val="0016254E"/>
    <w:rsid w:val="00162D1B"/>
    <w:rsid w:val="00162F23"/>
    <w:rsid w:val="0016305F"/>
    <w:rsid w:val="001637C1"/>
    <w:rsid w:val="00163D7E"/>
    <w:rsid w:val="00164274"/>
    <w:rsid w:val="0016436E"/>
    <w:rsid w:val="0016451E"/>
    <w:rsid w:val="00164AC0"/>
    <w:rsid w:val="00164C0D"/>
    <w:rsid w:val="001651C7"/>
    <w:rsid w:val="0016522C"/>
    <w:rsid w:val="0016545D"/>
    <w:rsid w:val="001655DB"/>
    <w:rsid w:val="001656F4"/>
    <w:rsid w:val="0016583A"/>
    <w:rsid w:val="00166545"/>
    <w:rsid w:val="00166A7A"/>
    <w:rsid w:val="00166F38"/>
    <w:rsid w:val="001671FB"/>
    <w:rsid w:val="00167313"/>
    <w:rsid w:val="00167763"/>
    <w:rsid w:val="0017018C"/>
    <w:rsid w:val="001701B1"/>
    <w:rsid w:val="001701DB"/>
    <w:rsid w:val="001703C5"/>
    <w:rsid w:val="001706CE"/>
    <w:rsid w:val="001708E8"/>
    <w:rsid w:val="00170A95"/>
    <w:rsid w:val="00171083"/>
    <w:rsid w:val="0017148D"/>
    <w:rsid w:val="0017207C"/>
    <w:rsid w:val="001724EB"/>
    <w:rsid w:val="001726AE"/>
    <w:rsid w:val="0017284E"/>
    <w:rsid w:val="00172D4D"/>
    <w:rsid w:val="0017334A"/>
    <w:rsid w:val="00173713"/>
    <w:rsid w:val="00173A95"/>
    <w:rsid w:val="00173D83"/>
    <w:rsid w:val="0017404D"/>
    <w:rsid w:val="0017429D"/>
    <w:rsid w:val="00175C3F"/>
    <w:rsid w:val="00175FE2"/>
    <w:rsid w:val="0017633E"/>
    <w:rsid w:val="00176613"/>
    <w:rsid w:val="001768BB"/>
    <w:rsid w:val="00176B3E"/>
    <w:rsid w:val="00176E36"/>
    <w:rsid w:val="001773C6"/>
    <w:rsid w:val="0017741D"/>
    <w:rsid w:val="00177728"/>
    <w:rsid w:val="0017776B"/>
    <w:rsid w:val="00177791"/>
    <w:rsid w:val="00177A7B"/>
    <w:rsid w:val="001810E9"/>
    <w:rsid w:val="001818BD"/>
    <w:rsid w:val="00181D2E"/>
    <w:rsid w:val="00181F66"/>
    <w:rsid w:val="0018258F"/>
    <w:rsid w:val="001828D3"/>
    <w:rsid w:val="001834F8"/>
    <w:rsid w:val="00183543"/>
    <w:rsid w:val="001837AF"/>
    <w:rsid w:val="001837C6"/>
    <w:rsid w:val="001839B3"/>
    <w:rsid w:val="00183E8C"/>
    <w:rsid w:val="001846F2"/>
    <w:rsid w:val="0018495B"/>
    <w:rsid w:val="00184F4B"/>
    <w:rsid w:val="00185043"/>
    <w:rsid w:val="001850A4"/>
    <w:rsid w:val="0018531A"/>
    <w:rsid w:val="00185B43"/>
    <w:rsid w:val="00186927"/>
    <w:rsid w:val="00186E55"/>
    <w:rsid w:val="001870D2"/>
    <w:rsid w:val="00187AB8"/>
    <w:rsid w:val="00187EDD"/>
    <w:rsid w:val="00190053"/>
    <w:rsid w:val="00190101"/>
    <w:rsid w:val="001902AC"/>
    <w:rsid w:val="00190618"/>
    <w:rsid w:val="00190C8F"/>
    <w:rsid w:val="00191118"/>
    <w:rsid w:val="00191977"/>
    <w:rsid w:val="00191A57"/>
    <w:rsid w:val="00192075"/>
    <w:rsid w:val="0019213A"/>
    <w:rsid w:val="001926B2"/>
    <w:rsid w:val="00192767"/>
    <w:rsid w:val="001929FF"/>
    <w:rsid w:val="00193050"/>
    <w:rsid w:val="00193526"/>
    <w:rsid w:val="001938C4"/>
    <w:rsid w:val="001938D3"/>
    <w:rsid w:val="0019390C"/>
    <w:rsid w:val="00193BBC"/>
    <w:rsid w:val="00194255"/>
    <w:rsid w:val="00194270"/>
    <w:rsid w:val="00194E1C"/>
    <w:rsid w:val="00194EE1"/>
    <w:rsid w:val="00194FE8"/>
    <w:rsid w:val="00195771"/>
    <w:rsid w:val="001960A0"/>
    <w:rsid w:val="0019626C"/>
    <w:rsid w:val="00197441"/>
    <w:rsid w:val="001978FA"/>
    <w:rsid w:val="00197B7E"/>
    <w:rsid w:val="001A053D"/>
    <w:rsid w:val="001A096B"/>
    <w:rsid w:val="001A0F2E"/>
    <w:rsid w:val="001A101A"/>
    <w:rsid w:val="001A12A4"/>
    <w:rsid w:val="001A130A"/>
    <w:rsid w:val="001A1591"/>
    <w:rsid w:val="001A1CB2"/>
    <w:rsid w:val="001A1E2A"/>
    <w:rsid w:val="001A273B"/>
    <w:rsid w:val="001A282F"/>
    <w:rsid w:val="001A2976"/>
    <w:rsid w:val="001A37C5"/>
    <w:rsid w:val="001A3AA5"/>
    <w:rsid w:val="001A3AFC"/>
    <w:rsid w:val="001A3BCB"/>
    <w:rsid w:val="001A3F7D"/>
    <w:rsid w:val="001A4D9B"/>
    <w:rsid w:val="001A561A"/>
    <w:rsid w:val="001A56B3"/>
    <w:rsid w:val="001A58C6"/>
    <w:rsid w:val="001A59EB"/>
    <w:rsid w:val="001A5F3D"/>
    <w:rsid w:val="001A647C"/>
    <w:rsid w:val="001A7CCE"/>
    <w:rsid w:val="001B0841"/>
    <w:rsid w:val="001B0B82"/>
    <w:rsid w:val="001B0C97"/>
    <w:rsid w:val="001B2294"/>
    <w:rsid w:val="001B2363"/>
    <w:rsid w:val="001B248E"/>
    <w:rsid w:val="001B2D68"/>
    <w:rsid w:val="001B313B"/>
    <w:rsid w:val="001B383C"/>
    <w:rsid w:val="001B4531"/>
    <w:rsid w:val="001B4602"/>
    <w:rsid w:val="001B4F01"/>
    <w:rsid w:val="001B5086"/>
    <w:rsid w:val="001B527B"/>
    <w:rsid w:val="001B56E0"/>
    <w:rsid w:val="001B5907"/>
    <w:rsid w:val="001B5A21"/>
    <w:rsid w:val="001B5C78"/>
    <w:rsid w:val="001B6278"/>
    <w:rsid w:val="001B62CC"/>
    <w:rsid w:val="001B6C7A"/>
    <w:rsid w:val="001B73A6"/>
    <w:rsid w:val="001B7AF5"/>
    <w:rsid w:val="001B7B0F"/>
    <w:rsid w:val="001B7D76"/>
    <w:rsid w:val="001C00F5"/>
    <w:rsid w:val="001C0BC5"/>
    <w:rsid w:val="001C0C83"/>
    <w:rsid w:val="001C1582"/>
    <w:rsid w:val="001C2072"/>
    <w:rsid w:val="001C274B"/>
    <w:rsid w:val="001C2DAC"/>
    <w:rsid w:val="001C2DBA"/>
    <w:rsid w:val="001C3481"/>
    <w:rsid w:val="001C426F"/>
    <w:rsid w:val="001C4E4C"/>
    <w:rsid w:val="001C5444"/>
    <w:rsid w:val="001C6699"/>
    <w:rsid w:val="001C692D"/>
    <w:rsid w:val="001C737E"/>
    <w:rsid w:val="001C75BC"/>
    <w:rsid w:val="001C7B25"/>
    <w:rsid w:val="001D02BF"/>
    <w:rsid w:val="001D0F5F"/>
    <w:rsid w:val="001D13D9"/>
    <w:rsid w:val="001D1A86"/>
    <w:rsid w:val="001D20DC"/>
    <w:rsid w:val="001D25C2"/>
    <w:rsid w:val="001D26DC"/>
    <w:rsid w:val="001D2DDF"/>
    <w:rsid w:val="001D300D"/>
    <w:rsid w:val="001D302B"/>
    <w:rsid w:val="001D4092"/>
    <w:rsid w:val="001D574C"/>
    <w:rsid w:val="001D5B75"/>
    <w:rsid w:val="001D6132"/>
    <w:rsid w:val="001D6BC6"/>
    <w:rsid w:val="001D730C"/>
    <w:rsid w:val="001D75E5"/>
    <w:rsid w:val="001D7C01"/>
    <w:rsid w:val="001E0663"/>
    <w:rsid w:val="001E0895"/>
    <w:rsid w:val="001E0FA0"/>
    <w:rsid w:val="001E162A"/>
    <w:rsid w:val="001E1AC2"/>
    <w:rsid w:val="001E1BF9"/>
    <w:rsid w:val="001E1D4A"/>
    <w:rsid w:val="001E2022"/>
    <w:rsid w:val="001E2054"/>
    <w:rsid w:val="001E2848"/>
    <w:rsid w:val="001E30CE"/>
    <w:rsid w:val="001E3396"/>
    <w:rsid w:val="001E385A"/>
    <w:rsid w:val="001E3988"/>
    <w:rsid w:val="001E3A6E"/>
    <w:rsid w:val="001E3AF6"/>
    <w:rsid w:val="001E3B0B"/>
    <w:rsid w:val="001E3D6A"/>
    <w:rsid w:val="001E4458"/>
    <w:rsid w:val="001E45E7"/>
    <w:rsid w:val="001E59F7"/>
    <w:rsid w:val="001E6A66"/>
    <w:rsid w:val="001E6EC4"/>
    <w:rsid w:val="001E742C"/>
    <w:rsid w:val="001F05CF"/>
    <w:rsid w:val="001F075D"/>
    <w:rsid w:val="001F0F2E"/>
    <w:rsid w:val="001F130D"/>
    <w:rsid w:val="001F1819"/>
    <w:rsid w:val="001F19A5"/>
    <w:rsid w:val="001F1A25"/>
    <w:rsid w:val="001F1A88"/>
    <w:rsid w:val="001F248D"/>
    <w:rsid w:val="001F2A81"/>
    <w:rsid w:val="001F2CE1"/>
    <w:rsid w:val="001F2DE7"/>
    <w:rsid w:val="001F3A23"/>
    <w:rsid w:val="001F4054"/>
    <w:rsid w:val="001F405A"/>
    <w:rsid w:val="001F45C3"/>
    <w:rsid w:val="001F4878"/>
    <w:rsid w:val="001F4C67"/>
    <w:rsid w:val="001F4F56"/>
    <w:rsid w:val="001F5321"/>
    <w:rsid w:val="001F534E"/>
    <w:rsid w:val="001F58E3"/>
    <w:rsid w:val="001F5B18"/>
    <w:rsid w:val="001F5B5D"/>
    <w:rsid w:val="001F6745"/>
    <w:rsid w:val="001F7AFA"/>
    <w:rsid w:val="001F7DF3"/>
    <w:rsid w:val="0020047D"/>
    <w:rsid w:val="00200789"/>
    <w:rsid w:val="002008A9"/>
    <w:rsid w:val="00200A60"/>
    <w:rsid w:val="00200C39"/>
    <w:rsid w:val="00200D09"/>
    <w:rsid w:val="002018AB"/>
    <w:rsid w:val="00202199"/>
    <w:rsid w:val="002023F0"/>
    <w:rsid w:val="0020308E"/>
    <w:rsid w:val="002033C4"/>
    <w:rsid w:val="00203E00"/>
    <w:rsid w:val="00203EA6"/>
    <w:rsid w:val="00204B4F"/>
    <w:rsid w:val="00205CF8"/>
    <w:rsid w:val="00205E36"/>
    <w:rsid w:val="00206018"/>
    <w:rsid w:val="00206B89"/>
    <w:rsid w:val="00207D02"/>
    <w:rsid w:val="00210EE8"/>
    <w:rsid w:val="00210F21"/>
    <w:rsid w:val="00211DC0"/>
    <w:rsid w:val="00211F38"/>
    <w:rsid w:val="00212096"/>
    <w:rsid w:val="002120B3"/>
    <w:rsid w:val="00212851"/>
    <w:rsid w:val="00212981"/>
    <w:rsid w:val="002130A3"/>
    <w:rsid w:val="00213842"/>
    <w:rsid w:val="00213AA5"/>
    <w:rsid w:val="00213CEC"/>
    <w:rsid w:val="00213D49"/>
    <w:rsid w:val="0021449A"/>
    <w:rsid w:val="0021548B"/>
    <w:rsid w:val="002157B6"/>
    <w:rsid w:val="00215963"/>
    <w:rsid w:val="00215C17"/>
    <w:rsid w:val="00215D98"/>
    <w:rsid w:val="0021608B"/>
    <w:rsid w:val="00216096"/>
    <w:rsid w:val="00216282"/>
    <w:rsid w:val="00216AC1"/>
    <w:rsid w:val="00216FA2"/>
    <w:rsid w:val="00217FDD"/>
    <w:rsid w:val="002203CE"/>
    <w:rsid w:val="00221240"/>
    <w:rsid w:val="00221403"/>
    <w:rsid w:val="00221427"/>
    <w:rsid w:val="00221488"/>
    <w:rsid w:val="00221600"/>
    <w:rsid w:val="00221683"/>
    <w:rsid w:val="00221BDF"/>
    <w:rsid w:val="00221BE4"/>
    <w:rsid w:val="00223541"/>
    <w:rsid w:val="00223B66"/>
    <w:rsid w:val="00223FAE"/>
    <w:rsid w:val="002240A4"/>
    <w:rsid w:val="00224352"/>
    <w:rsid w:val="0022478B"/>
    <w:rsid w:val="00224F54"/>
    <w:rsid w:val="00225331"/>
    <w:rsid w:val="00225377"/>
    <w:rsid w:val="00225547"/>
    <w:rsid w:val="002256D0"/>
    <w:rsid w:val="00225B7F"/>
    <w:rsid w:val="002263E4"/>
    <w:rsid w:val="00226525"/>
    <w:rsid w:val="00226945"/>
    <w:rsid w:val="00226CCD"/>
    <w:rsid w:val="00227483"/>
    <w:rsid w:val="00227617"/>
    <w:rsid w:val="00227636"/>
    <w:rsid w:val="0022796E"/>
    <w:rsid w:val="00227AF9"/>
    <w:rsid w:val="00227B5A"/>
    <w:rsid w:val="002303FF"/>
    <w:rsid w:val="00230B4C"/>
    <w:rsid w:val="00230B87"/>
    <w:rsid w:val="00231C23"/>
    <w:rsid w:val="00231C67"/>
    <w:rsid w:val="00231C6F"/>
    <w:rsid w:val="00231C9E"/>
    <w:rsid w:val="0023235C"/>
    <w:rsid w:val="00232836"/>
    <w:rsid w:val="0023288C"/>
    <w:rsid w:val="00232C85"/>
    <w:rsid w:val="00232D80"/>
    <w:rsid w:val="0023339C"/>
    <w:rsid w:val="00234275"/>
    <w:rsid w:val="002342ED"/>
    <w:rsid w:val="00234309"/>
    <w:rsid w:val="00235123"/>
    <w:rsid w:val="00235540"/>
    <w:rsid w:val="00235B62"/>
    <w:rsid w:val="00235DD9"/>
    <w:rsid w:val="00236637"/>
    <w:rsid w:val="00237002"/>
    <w:rsid w:val="00237788"/>
    <w:rsid w:val="002400B3"/>
    <w:rsid w:val="002416E2"/>
    <w:rsid w:val="002419D0"/>
    <w:rsid w:val="00241C86"/>
    <w:rsid w:val="00241DB1"/>
    <w:rsid w:val="00242897"/>
    <w:rsid w:val="00242A62"/>
    <w:rsid w:val="002439FB"/>
    <w:rsid w:val="002440DA"/>
    <w:rsid w:val="002444EA"/>
    <w:rsid w:val="002446AE"/>
    <w:rsid w:val="0024482C"/>
    <w:rsid w:val="00244961"/>
    <w:rsid w:val="00244B2A"/>
    <w:rsid w:val="0024502F"/>
    <w:rsid w:val="002453BE"/>
    <w:rsid w:val="002458E8"/>
    <w:rsid w:val="00245D57"/>
    <w:rsid w:val="00245EF6"/>
    <w:rsid w:val="00246489"/>
    <w:rsid w:val="0025020E"/>
    <w:rsid w:val="00250A62"/>
    <w:rsid w:val="00250EAD"/>
    <w:rsid w:val="0025131F"/>
    <w:rsid w:val="00252566"/>
    <w:rsid w:val="00252D21"/>
    <w:rsid w:val="002532F8"/>
    <w:rsid w:val="00253669"/>
    <w:rsid w:val="0025418E"/>
    <w:rsid w:val="0025491D"/>
    <w:rsid w:val="00254EAE"/>
    <w:rsid w:val="00255AC7"/>
    <w:rsid w:val="00256192"/>
    <w:rsid w:val="002569C5"/>
    <w:rsid w:val="00256A84"/>
    <w:rsid w:val="00257183"/>
    <w:rsid w:val="002576DC"/>
    <w:rsid w:val="00257F4D"/>
    <w:rsid w:val="00260902"/>
    <w:rsid w:val="00260A71"/>
    <w:rsid w:val="0026198C"/>
    <w:rsid w:val="00261AC6"/>
    <w:rsid w:val="00262185"/>
    <w:rsid w:val="00262ECC"/>
    <w:rsid w:val="00262EF6"/>
    <w:rsid w:val="00262FCB"/>
    <w:rsid w:val="00263368"/>
    <w:rsid w:val="00263AB2"/>
    <w:rsid w:val="00263F43"/>
    <w:rsid w:val="002643E5"/>
    <w:rsid w:val="00264503"/>
    <w:rsid w:val="002646C6"/>
    <w:rsid w:val="00264EB2"/>
    <w:rsid w:val="00265009"/>
    <w:rsid w:val="00265C25"/>
    <w:rsid w:val="00265DB8"/>
    <w:rsid w:val="002661DA"/>
    <w:rsid w:val="00266F4F"/>
    <w:rsid w:val="0026705D"/>
    <w:rsid w:val="0026707D"/>
    <w:rsid w:val="00267C83"/>
    <w:rsid w:val="002702C6"/>
    <w:rsid w:val="0027088B"/>
    <w:rsid w:val="00270C78"/>
    <w:rsid w:val="00270DBF"/>
    <w:rsid w:val="00271142"/>
    <w:rsid w:val="00271B61"/>
    <w:rsid w:val="0027223B"/>
    <w:rsid w:val="00272498"/>
    <w:rsid w:val="002725B6"/>
    <w:rsid w:val="002726B5"/>
    <w:rsid w:val="0027273E"/>
    <w:rsid w:val="002727CD"/>
    <w:rsid w:val="00272DCB"/>
    <w:rsid w:val="002737A7"/>
    <w:rsid w:val="00274569"/>
    <w:rsid w:val="00274BE9"/>
    <w:rsid w:val="0027549C"/>
    <w:rsid w:val="00276030"/>
    <w:rsid w:val="002760A6"/>
    <w:rsid w:val="002760D3"/>
    <w:rsid w:val="0027637B"/>
    <w:rsid w:val="0027688D"/>
    <w:rsid w:val="002769E4"/>
    <w:rsid w:val="00276AC4"/>
    <w:rsid w:val="00276F7B"/>
    <w:rsid w:val="002774D7"/>
    <w:rsid w:val="0027767A"/>
    <w:rsid w:val="00277D4D"/>
    <w:rsid w:val="00277F70"/>
    <w:rsid w:val="00280181"/>
    <w:rsid w:val="00280407"/>
    <w:rsid w:val="00280915"/>
    <w:rsid w:val="00281329"/>
    <w:rsid w:val="002814F0"/>
    <w:rsid w:val="002815E4"/>
    <w:rsid w:val="0028240A"/>
    <w:rsid w:val="00282892"/>
    <w:rsid w:val="00283506"/>
    <w:rsid w:val="002836FB"/>
    <w:rsid w:val="00283715"/>
    <w:rsid w:val="00283932"/>
    <w:rsid w:val="00283A43"/>
    <w:rsid w:val="002842BF"/>
    <w:rsid w:val="00284301"/>
    <w:rsid w:val="00284647"/>
    <w:rsid w:val="0028487B"/>
    <w:rsid w:val="002849EB"/>
    <w:rsid w:val="00284B5A"/>
    <w:rsid w:val="002859AC"/>
    <w:rsid w:val="002859F4"/>
    <w:rsid w:val="00285A81"/>
    <w:rsid w:val="00285BDF"/>
    <w:rsid w:val="00285F61"/>
    <w:rsid w:val="002862E3"/>
    <w:rsid w:val="0028686F"/>
    <w:rsid w:val="002868A8"/>
    <w:rsid w:val="002869C4"/>
    <w:rsid w:val="00287BB6"/>
    <w:rsid w:val="00287E12"/>
    <w:rsid w:val="00290755"/>
    <w:rsid w:val="00290A8F"/>
    <w:rsid w:val="00290DAB"/>
    <w:rsid w:val="00291042"/>
    <w:rsid w:val="0029136A"/>
    <w:rsid w:val="002915A8"/>
    <w:rsid w:val="00291C24"/>
    <w:rsid w:val="00291EC0"/>
    <w:rsid w:val="00292441"/>
    <w:rsid w:val="00292F73"/>
    <w:rsid w:val="00293960"/>
    <w:rsid w:val="00293A07"/>
    <w:rsid w:val="00294573"/>
    <w:rsid w:val="00294B46"/>
    <w:rsid w:val="00294C26"/>
    <w:rsid w:val="002950BC"/>
    <w:rsid w:val="00295318"/>
    <w:rsid w:val="002958E2"/>
    <w:rsid w:val="00295CE8"/>
    <w:rsid w:val="00295D60"/>
    <w:rsid w:val="002962B1"/>
    <w:rsid w:val="00296440"/>
    <w:rsid w:val="002965AD"/>
    <w:rsid w:val="00297459"/>
    <w:rsid w:val="0029793A"/>
    <w:rsid w:val="00297B75"/>
    <w:rsid w:val="00297D09"/>
    <w:rsid w:val="002A085A"/>
    <w:rsid w:val="002A0C4E"/>
    <w:rsid w:val="002A15D6"/>
    <w:rsid w:val="002A1672"/>
    <w:rsid w:val="002A22D6"/>
    <w:rsid w:val="002A25A1"/>
    <w:rsid w:val="002A2E52"/>
    <w:rsid w:val="002A3060"/>
    <w:rsid w:val="002A30CC"/>
    <w:rsid w:val="002A3505"/>
    <w:rsid w:val="002A3741"/>
    <w:rsid w:val="002A3CDE"/>
    <w:rsid w:val="002A468B"/>
    <w:rsid w:val="002A4AAB"/>
    <w:rsid w:val="002A531A"/>
    <w:rsid w:val="002A5CB2"/>
    <w:rsid w:val="002A5E0B"/>
    <w:rsid w:val="002A5E44"/>
    <w:rsid w:val="002A65E2"/>
    <w:rsid w:val="002A78FE"/>
    <w:rsid w:val="002A7BBC"/>
    <w:rsid w:val="002B00AE"/>
    <w:rsid w:val="002B0753"/>
    <w:rsid w:val="002B0B14"/>
    <w:rsid w:val="002B12E2"/>
    <w:rsid w:val="002B133A"/>
    <w:rsid w:val="002B1662"/>
    <w:rsid w:val="002B1774"/>
    <w:rsid w:val="002B1E75"/>
    <w:rsid w:val="002B1F05"/>
    <w:rsid w:val="002B26C4"/>
    <w:rsid w:val="002B2A64"/>
    <w:rsid w:val="002B2B01"/>
    <w:rsid w:val="002B3DFA"/>
    <w:rsid w:val="002B3F03"/>
    <w:rsid w:val="002B4148"/>
    <w:rsid w:val="002B44EC"/>
    <w:rsid w:val="002B469A"/>
    <w:rsid w:val="002B51EA"/>
    <w:rsid w:val="002B5237"/>
    <w:rsid w:val="002B5C26"/>
    <w:rsid w:val="002B721E"/>
    <w:rsid w:val="002B7974"/>
    <w:rsid w:val="002C0D6F"/>
    <w:rsid w:val="002C0DD0"/>
    <w:rsid w:val="002C1775"/>
    <w:rsid w:val="002C1AB9"/>
    <w:rsid w:val="002C1D44"/>
    <w:rsid w:val="002C26B6"/>
    <w:rsid w:val="002C2BDC"/>
    <w:rsid w:val="002C2D6E"/>
    <w:rsid w:val="002C3042"/>
    <w:rsid w:val="002C33BB"/>
    <w:rsid w:val="002C33EB"/>
    <w:rsid w:val="002C363B"/>
    <w:rsid w:val="002C3B2A"/>
    <w:rsid w:val="002C3C3F"/>
    <w:rsid w:val="002C44C2"/>
    <w:rsid w:val="002C465A"/>
    <w:rsid w:val="002C495B"/>
    <w:rsid w:val="002C4A0B"/>
    <w:rsid w:val="002C4AA2"/>
    <w:rsid w:val="002C5031"/>
    <w:rsid w:val="002C5748"/>
    <w:rsid w:val="002C5B31"/>
    <w:rsid w:val="002C6536"/>
    <w:rsid w:val="002C666B"/>
    <w:rsid w:val="002C6B26"/>
    <w:rsid w:val="002C6BF6"/>
    <w:rsid w:val="002C6C07"/>
    <w:rsid w:val="002C6E3F"/>
    <w:rsid w:val="002C7157"/>
    <w:rsid w:val="002C7356"/>
    <w:rsid w:val="002C76AC"/>
    <w:rsid w:val="002C7DCD"/>
    <w:rsid w:val="002D0D09"/>
    <w:rsid w:val="002D12A3"/>
    <w:rsid w:val="002D13DD"/>
    <w:rsid w:val="002D1777"/>
    <w:rsid w:val="002D2AFE"/>
    <w:rsid w:val="002D2F30"/>
    <w:rsid w:val="002D336A"/>
    <w:rsid w:val="002D34B8"/>
    <w:rsid w:val="002D47DE"/>
    <w:rsid w:val="002D54FF"/>
    <w:rsid w:val="002D5C40"/>
    <w:rsid w:val="002D61AB"/>
    <w:rsid w:val="002D669F"/>
    <w:rsid w:val="002D7144"/>
    <w:rsid w:val="002D71AA"/>
    <w:rsid w:val="002D73B2"/>
    <w:rsid w:val="002D7BB2"/>
    <w:rsid w:val="002E1138"/>
    <w:rsid w:val="002E1B39"/>
    <w:rsid w:val="002E1D37"/>
    <w:rsid w:val="002E1F2C"/>
    <w:rsid w:val="002E1F38"/>
    <w:rsid w:val="002E1F79"/>
    <w:rsid w:val="002E2675"/>
    <w:rsid w:val="002E273F"/>
    <w:rsid w:val="002E2855"/>
    <w:rsid w:val="002E28E9"/>
    <w:rsid w:val="002E29DA"/>
    <w:rsid w:val="002E2F80"/>
    <w:rsid w:val="002E2F97"/>
    <w:rsid w:val="002E3352"/>
    <w:rsid w:val="002E335A"/>
    <w:rsid w:val="002E348F"/>
    <w:rsid w:val="002E36ED"/>
    <w:rsid w:val="002E3C3F"/>
    <w:rsid w:val="002E466F"/>
    <w:rsid w:val="002E4E38"/>
    <w:rsid w:val="002E6900"/>
    <w:rsid w:val="002E6BFE"/>
    <w:rsid w:val="002E6E39"/>
    <w:rsid w:val="002F029C"/>
    <w:rsid w:val="002F05BD"/>
    <w:rsid w:val="002F084F"/>
    <w:rsid w:val="002F0A14"/>
    <w:rsid w:val="002F0E10"/>
    <w:rsid w:val="002F1878"/>
    <w:rsid w:val="002F1AE6"/>
    <w:rsid w:val="002F1D76"/>
    <w:rsid w:val="002F1ED9"/>
    <w:rsid w:val="002F23A5"/>
    <w:rsid w:val="002F2BD7"/>
    <w:rsid w:val="002F2CFB"/>
    <w:rsid w:val="002F369F"/>
    <w:rsid w:val="002F4310"/>
    <w:rsid w:val="002F4865"/>
    <w:rsid w:val="002F499D"/>
    <w:rsid w:val="002F546A"/>
    <w:rsid w:val="002F57E6"/>
    <w:rsid w:val="002F58EA"/>
    <w:rsid w:val="002F5B5B"/>
    <w:rsid w:val="002F5F92"/>
    <w:rsid w:val="002F6407"/>
    <w:rsid w:val="002F654F"/>
    <w:rsid w:val="002F66F9"/>
    <w:rsid w:val="002F6CB0"/>
    <w:rsid w:val="002F6D2B"/>
    <w:rsid w:val="002F6E2E"/>
    <w:rsid w:val="002F709F"/>
    <w:rsid w:val="002F72FB"/>
    <w:rsid w:val="002F7360"/>
    <w:rsid w:val="002F774B"/>
    <w:rsid w:val="002F7978"/>
    <w:rsid w:val="002F7B60"/>
    <w:rsid w:val="002F7B63"/>
    <w:rsid w:val="003014C2"/>
    <w:rsid w:val="0030203A"/>
    <w:rsid w:val="003020D9"/>
    <w:rsid w:val="00302737"/>
    <w:rsid w:val="0030277D"/>
    <w:rsid w:val="003030B1"/>
    <w:rsid w:val="00304345"/>
    <w:rsid w:val="00305F83"/>
    <w:rsid w:val="00306A74"/>
    <w:rsid w:val="003077E1"/>
    <w:rsid w:val="00307A60"/>
    <w:rsid w:val="00310220"/>
    <w:rsid w:val="00311CEC"/>
    <w:rsid w:val="00313325"/>
    <w:rsid w:val="00313A4D"/>
    <w:rsid w:val="00313F34"/>
    <w:rsid w:val="00314ACC"/>
    <w:rsid w:val="00314DB9"/>
    <w:rsid w:val="00314FFF"/>
    <w:rsid w:val="003152C8"/>
    <w:rsid w:val="00315571"/>
    <w:rsid w:val="003158D4"/>
    <w:rsid w:val="003159D7"/>
    <w:rsid w:val="003163DD"/>
    <w:rsid w:val="0031668D"/>
    <w:rsid w:val="00316A01"/>
    <w:rsid w:val="0031707F"/>
    <w:rsid w:val="00317150"/>
    <w:rsid w:val="00317473"/>
    <w:rsid w:val="00317639"/>
    <w:rsid w:val="00317696"/>
    <w:rsid w:val="00317ACF"/>
    <w:rsid w:val="00317DEA"/>
    <w:rsid w:val="00320F98"/>
    <w:rsid w:val="003210DE"/>
    <w:rsid w:val="003212AB"/>
    <w:rsid w:val="003216FD"/>
    <w:rsid w:val="00321E2F"/>
    <w:rsid w:val="0032255A"/>
    <w:rsid w:val="0032264C"/>
    <w:rsid w:val="00322E9B"/>
    <w:rsid w:val="00322EAE"/>
    <w:rsid w:val="003246F2"/>
    <w:rsid w:val="00324865"/>
    <w:rsid w:val="003249DE"/>
    <w:rsid w:val="00324A0E"/>
    <w:rsid w:val="00324B01"/>
    <w:rsid w:val="00324BB8"/>
    <w:rsid w:val="00324C5B"/>
    <w:rsid w:val="00324E36"/>
    <w:rsid w:val="00325320"/>
    <w:rsid w:val="0032557C"/>
    <w:rsid w:val="003255AD"/>
    <w:rsid w:val="00326478"/>
    <w:rsid w:val="00327316"/>
    <w:rsid w:val="0032788A"/>
    <w:rsid w:val="0032795C"/>
    <w:rsid w:val="00327EC6"/>
    <w:rsid w:val="00331031"/>
    <w:rsid w:val="00331281"/>
    <w:rsid w:val="0033138C"/>
    <w:rsid w:val="00332C30"/>
    <w:rsid w:val="0033310A"/>
    <w:rsid w:val="0033313C"/>
    <w:rsid w:val="003333CF"/>
    <w:rsid w:val="00333636"/>
    <w:rsid w:val="0033420E"/>
    <w:rsid w:val="003347D8"/>
    <w:rsid w:val="003347F8"/>
    <w:rsid w:val="003348AD"/>
    <w:rsid w:val="00334AA5"/>
    <w:rsid w:val="003350FF"/>
    <w:rsid w:val="0033539C"/>
    <w:rsid w:val="003354CB"/>
    <w:rsid w:val="0033575A"/>
    <w:rsid w:val="003359F1"/>
    <w:rsid w:val="003359F2"/>
    <w:rsid w:val="00335A3A"/>
    <w:rsid w:val="00335BF6"/>
    <w:rsid w:val="00336BF6"/>
    <w:rsid w:val="00336C21"/>
    <w:rsid w:val="00337E92"/>
    <w:rsid w:val="00340374"/>
    <w:rsid w:val="003403D3"/>
    <w:rsid w:val="003405B0"/>
    <w:rsid w:val="00340734"/>
    <w:rsid w:val="0034095A"/>
    <w:rsid w:val="00340B45"/>
    <w:rsid w:val="003416F3"/>
    <w:rsid w:val="0034178E"/>
    <w:rsid w:val="003417CA"/>
    <w:rsid w:val="003418D5"/>
    <w:rsid w:val="00341D21"/>
    <w:rsid w:val="0034287E"/>
    <w:rsid w:val="00342E44"/>
    <w:rsid w:val="00343125"/>
    <w:rsid w:val="00343334"/>
    <w:rsid w:val="00343359"/>
    <w:rsid w:val="00343574"/>
    <w:rsid w:val="00344419"/>
    <w:rsid w:val="00344F42"/>
    <w:rsid w:val="00345398"/>
    <w:rsid w:val="003453C0"/>
    <w:rsid w:val="00346052"/>
    <w:rsid w:val="00346AAE"/>
    <w:rsid w:val="00346F10"/>
    <w:rsid w:val="003470AB"/>
    <w:rsid w:val="00347500"/>
    <w:rsid w:val="00347DC8"/>
    <w:rsid w:val="00350642"/>
    <w:rsid w:val="0035087B"/>
    <w:rsid w:val="0035096F"/>
    <w:rsid w:val="00351866"/>
    <w:rsid w:val="00352E5D"/>
    <w:rsid w:val="00353034"/>
    <w:rsid w:val="00353365"/>
    <w:rsid w:val="003538B4"/>
    <w:rsid w:val="00353D3F"/>
    <w:rsid w:val="003546A7"/>
    <w:rsid w:val="00354E41"/>
    <w:rsid w:val="003555B3"/>
    <w:rsid w:val="0035570D"/>
    <w:rsid w:val="00355F7D"/>
    <w:rsid w:val="003565D4"/>
    <w:rsid w:val="00356C0C"/>
    <w:rsid w:val="00357075"/>
    <w:rsid w:val="003571D2"/>
    <w:rsid w:val="00357A18"/>
    <w:rsid w:val="00357BF8"/>
    <w:rsid w:val="00357CAE"/>
    <w:rsid w:val="00357D00"/>
    <w:rsid w:val="0036003D"/>
    <w:rsid w:val="003601EE"/>
    <w:rsid w:val="0036092F"/>
    <w:rsid w:val="00360E01"/>
    <w:rsid w:val="00361928"/>
    <w:rsid w:val="00361EA9"/>
    <w:rsid w:val="00361F5F"/>
    <w:rsid w:val="0036212C"/>
    <w:rsid w:val="003625AA"/>
    <w:rsid w:val="00362CC1"/>
    <w:rsid w:val="003634F1"/>
    <w:rsid w:val="00363C4E"/>
    <w:rsid w:val="00363E55"/>
    <w:rsid w:val="00363F24"/>
    <w:rsid w:val="003641B7"/>
    <w:rsid w:val="003643D7"/>
    <w:rsid w:val="00364709"/>
    <w:rsid w:val="00364F67"/>
    <w:rsid w:val="00365476"/>
    <w:rsid w:val="0036576D"/>
    <w:rsid w:val="00365849"/>
    <w:rsid w:val="00365CEB"/>
    <w:rsid w:val="00366003"/>
    <w:rsid w:val="0036608F"/>
    <w:rsid w:val="0036763D"/>
    <w:rsid w:val="00367761"/>
    <w:rsid w:val="00367787"/>
    <w:rsid w:val="00371061"/>
    <w:rsid w:val="003710EC"/>
    <w:rsid w:val="0037208A"/>
    <w:rsid w:val="003723EC"/>
    <w:rsid w:val="003725C2"/>
    <w:rsid w:val="003731C3"/>
    <w:rsid w:val="00373228"/>
    <w:rsid w:val="0037398C"/>
    <w:rsid w:val="00373BCB"/>
    <w:rsid w:val="00373DDA"/>
    <w:rsid w:val="003744C4"/>
    <w:rsid w:val="00374A27"/>
    <w:rsid w:val="00374E34"/>
    <w:rsid w:val="003751D4"/>
    <w:rsid w:val="00375924"/>
    <w:rsid w:val="00375AFE"/>
    <w:rsid w:val="00375BEA"/>
    <w:rsid w:val="00375E3E"/>
    <w:rsid w:val="00376522"/>
    <w:rsid w:val="003765C9"/>
    <w:rsid w:val="003765EC"/>
    <w:rsid w:val="0037765F"/>
    <w:rsid w:val="003776F3"/>
    <w:rsid w:val="0037789B"/>
    <w:rsid w:val="003778A2"/>
    <w:rsid w:val="00377EAE"/>
    <w:rsid w:val="003805C3"/>
    <w:rsid w:val="003808DC"/>
    <w:rsid w:val="00380932"/>
    <w:rsid w:val="003812EE"/>
    <w:rsid w:val="00381353"/>
    <w:rsid w:val="003813FA"/>
    <w:rsid w:val="00381576"/>
    <w:rsid w:val="003817D3"/>
    <w:rsid w:val="00381AD3"/>
    <w:rsid w:val="00381FE3"/>
    <w:rsid w:val="00382023"/>
    <w:rsid w:val="00382317"/>
    <w:rsid w:val="00382748"/>
    <w:rsid w:val="00382CB8"/>
    <w:rsid w:val="003834B1"/>
    <w:rsid w:val="0038366B"/>
    <w:rsid w:val="00383A37"/>
    <w:rsid w:val="00383E27"/>
    <w:rsid w:val="0038418E"/>
    <w:rsid w:val="00384533"/>
    <w:rsid w:val="00384A33"/>
    <w:rsid w:val="00384B6C"/>
    <w:rsid w:val="00384BD8"/>
    <w:rsid w:val="00384BEB"/>
    <w:rsid w:val="00384F53"/>
    <w:rsid w:val="0038505D"/>
    <w:rsid w:val="003865C9"/>
    <w:rsid w:val="0038718B"/>
    <w:rsid w:val="00390037"/>
    <w:rsid w:val="0039083A"/>
    <w:rsid w:val="003908CB"/>
    <w:rsid w:val="00390F51"/>
    <w:rsid w:val="00391805"/>
    <w:rsid w:val="00391CE5"/>
    <w:rsid w:val="00391D16"/>
    <w:rsid w:val="00391EAB"/>
    <w:rsid w:val="00391F1B"/>
    <w:rsid w:val="00392780"/>
    <w:rsid w:val="00393A50"/>
    <w:rsid w:val="003946D6"/>
    <w:rsid w:val="00394B0D"/>
    <w:rsid w:val="0039508B"/>
    <w:rsid w:val="003965DB"/>
    <w:rsid w:val="003966A4"/>
    <w:rsid w:val="003973C1"/>
    <w:rsid w:val="00397EA7"/>
    <w:rsid w:val="003A041E"/>
    <w:rsid w:val="003A06BE"/>
    <w:rsid w:val="003A131A"/>
    <w:rsid w:val="003A1873"/>
    <w:rsid w:val="003A1953"/>
    <w:rsid w:val="003A1B01"/>
    <w:rsid w:val="003A3153"/>
    <w:rsid w:val="003A389D"/>
    <w:rsid w:val="003A4099"/>
    <w:rsid w:val="003A4572"/>
    <w:rsid w:val="003A4711"/>
    <w:rsid w:val="003A48A3"/>
    <w:rsid w:val="003A4AC7"/>
    <w:rsid w:val="003A4DEB"/>
    <w:rsid w:val="003A56B4"/>
    <w:rsid w:val="003A63A3"/>
    <w:rsid w:val="003A645F"/>
    <w:rsid w:val="003A6C22"/>
    <w:rsid w:val="003A7029"/>
    <w:rsid w:val="003A7C0D"/>
    <w:rsid w:val="003A7CE9"/>
    <w:rsid w:val="003A7D94"/>
    <w:rsid w:val="003B02A4"/>
    <w:rsid w:val="003B04DC"/>
    <w:rsid w:val="003B074C"/>
    <w:rsid w:val="003B0865"/>
    <w:rsid w:val="003B0A4D"/>
    <w:rsid w:val="003B0A7B"/>
    <w:rsid w:val="003B1075"/>
    <w:rsid w:val="003B18DD"/>
    <w:rsid w:val="003B304F"/>
    <w:rsid w:val="003B30BB"/>
    <w:rsid w:val="003B34D5"/>
    <w:rsid w:val="003B36FD"/>
    <w:rsid w:val="003B52E3"/>
    <w:rsid w:val="003B5C4E"/>
    <w:rsid w:val="003B5E2A"/>
    <w:rsid w:val="003B5E5D"/>
    <w:rsid w:val="003B5F4C"/>
    <w:rsid w:val="003B6597"/>
    <w:rsid w:val="003B6EB4"/>
    <w:rsid w:val="003B748B"/>
    <w:rsid w:val="003B7CE0"/>
    <w:rsid w:val="003C028A"/>
    <w:rsid w:val="003C07D5"/>
    <w:rsid w:val="003C0A14"/>
    <w:rsid w:val="003C0F44"/>
    <w:rsid w:val="003C1256"/>
    <w:rsid w:val="003C1404"/>
    <w:rsid w:val="003C1865"/>
    <w:rsid w:val="003C229B"/>
    <w:rsid w:val="003C2587"/>
    <w:rsid w:val="003C2F63"/>
    <w:rsid w:val="003C3183"/>
    <w:rsid w:val="003C339D"/>
    <w:rsid w:val="003C41BD"/>
    <w:rsid w:val="003C4815"/>
    <w:rsid w:val="003C5D94"/>
    <w:rsid w:val="003C6036"/>
    <w:rsid w:val="003C6855"/>
    <w:rsid w:val="003C708C"/>
    <w:rsid w:val="003C7244"/>
    <w:rsid w:val="003C7A73"/>
    <w:rsid w:val="003D0600"/>
    <w:rsid w:val="003D061C"/>
    <w:rsid w:val="003D0A63"/>
    <w:rsid w:val="003D0EDB"/>
    <w:rsid w:val="003D1123"/>
    <w:rsid w:val="003D16A0"/>
    <w:rsid w:val="003D1765"/>
    <w:rsid w:val="003D188B"/>
    <w:rsid w:val="003D206A"/>
    <w:rsid w:val="003D2897"/>
    <w:rsid w:val="003D35FC"/>
    <w:rsid w:val="003D3A22"/>
    <w:rsid w:val="003D3B4B"/>
    <w:rsid w:val="003D3B9A"/>
    <w:rsid w:val="003D42BA"/>
    <w:rsid w:val="003D4669"/>
    <w:rsid w:val="003D5062"/>
    <w:rsid w:val="003D5E2A"/>
    <w:rsid w:val="003D5E54"/>
    <w:rsid w:val="003D5F20"/>
    <w:rsid w:val="003D6863"/>
    <w:rsid w:val="003D689B"/>
    <w:rsid w:val="003D6B57"/>
    <w:rsid w:val="003D7590"/>
    <w:rsid w:val="003D7DC8"/>
    <w:rsid w:val="003E0880"/>
    <w:rsid w:val="003E0893"/>
    <w:rsid w:val="003E0C00"/>
    <w:rsid w:val="003E11A2"/>
    <w:rsid w:val="003E1528"/>
    <w:rsid w:val="003E2B39"/>
    <w:rsid w:val="003E3CBC"/>
    <w:rsid w:val="003E4724"/>
    <w:rsid w:val="003E4AA4"/>
    <w:rsid w:val="003E4EFD"/>
    <w:rsid w:val="003E5316"/>
    <w:rsid w:val="003E5565"/>
    <w:rsid w:val="003E57EE"/>
    <w:rsid w:val="003E5800"/>
    <w:rsid w:val="003E59C9"/>
    <w:rsid w:val="003E5AEC"/>
    <w:rsid w:val="003E5B81"/>
    <w:rsid w:val="003E5F7D"/>
    <w:rsid w:val="003E63DA"/>
    <w:rsid w:val="003E6D0B"/>
    <w:rsid w:val="003E6E9A"/>
    <w:rsid w:val="003E6FD8"/>
    <w:rsid w:val="003E745E"/>
    <w:rsid w:val="003E7A91"/>
    <w:rsid w:val="003F000C"/>
    <w:rsid w:val="003F0052"/>
    <w:rsid w:val="003F080A"/>
    <w:rsid w:val="003F10F7"/>
    <w:rsid w:val="003F2BA3"/>
    <w:rsid w:val="003F34DB"/>
    <w:rsid w:val="003F405E"/>
    <w:rsid w:val="003F4609"/>
    <w:rsid w:val="003F47E7"/>
    <w:rsid w:val="003F4887"/>
    <w:rsid w:val="003F59D9"/>
    <w:rsid w:val="003F6718"/>
    <w:rsid w:val="003F70F0"/>
    <w:rsid w:val="003F7A91"/>
    <w:rsid w:val="003F7AAD"/>
    <w:rsid w:val="003F7BE7"/>
    <w:rsid w:val="00400867"/>
    <w:rsid w:val="00400ACB"/>
    <w:rsid w:val="004012EE"/>
    <w:rsid w:val="004014AC"/>
    <w:rsid w:val="00401EA9"/>
    <w:rsid w:val="00402BA3"/>
    <w:rsid w:val="00402D99"/>
    <w:rsid w:val="00402E12"/>
    <w:rsid w:val="00403148"/>
    <w:rsid w:val="00403A7C"/>
    <w:rsid w:val="004041BB"/>
    <w:rsid w:val="004042A8"/>
    <w:rsid w:val="00404381"/>
    <w:rsid w:val="00404575"/>
    <w:rsid w:val="00404A4D"/>
    <w:rsid w:val="0040556F"/>
    <w:rsid w:val="004056B2"/>
    <w:rsid w:val="00405C57"/>
    <w:rsid w:val="0040628F"/>
    <w:rsid w:val="0040634B"/>
    <w:rsid w:val="00406517"/>
    <w:rsid w:val="00406717"/>
    <w:rsid w:val="00406F15"/>
    <w:rsid w:val="0040783A"/>
    <w:rsid w:val="00407DF5"/>
    <w:rsid w:val="00407FED"/>
    <w:rsid w:val="00410EE1"/>
    <w:rsid w:val="00410FCF"/>
    <w:rsid w:val="004112B7"/>
    <w:rsid w:val="004113F2"/>
    <w:rsid w:val="004115F7"/>
    <w:rsid w:val="00411692"/>
    <w:rsid w:val="0041189C"/>
    <w:rsid w:val="0041259B"/>
    <w:rsid w:val="00412846"/>
    <w:rsid w:val="0041286B"/>
    <w:rsid w:val="004129F8"/>
    <w:rsid w:val="00412B4D"/>
    <w:rsid w:val="00412E55"/>
    <w:rsid w:val="00412EDA"/>
    <w:rsid w:val="00413199"/>
    <w:rsid w:val="00413DBB"/>
    <w:rsid w:val="00413DD6"/>
    <w:rsid w:val="00413ED6"/>
    <w:rsid w:val="0041470D"/>
    <w:rsid w:val="00414967"/>
    <w:rsid w:val="00414EDC"/>
    <w:rsid w:val="00415306"/>
    <w:rsid w:val="0041533F"/>
    <w:rsid w:val="004153E5"/>
    <w:rsid w:val="004156CE"/>
    <w:rsid w:val="00416293"/>
    <w:rsid w:val="004163BB"/>
    <w:rsid w:val="004165A5"/>
    <w:rsid w:val="004165E0"/>
    <w:rsid w:val="004173C1"/>
    <w:rsid w:val="00417D39"/>
    <w:rsid w:val="0042020F"/>
    <w:rsid w:val="00420605"/>
    <w:rsid w:val="00420724"/>
    <w:rsid w:val="004209AD"/>
    <w:rsid w:val="00420A4C"/>
    <w:rsid w:val="00420E26"/>
    <w:rsid w:val="00420ED9"/>
    <w:rsid w:val="00421394"/>
    <w:rsid w:val="00422BA3"/>
    <w:rsid w:val="00423265"/>
    <w:rsid w:val="004233A8"/>
    <w:rsid w:val="004237B5"/>
    <w:rsid w:val="004239BF"/>
    <w:rsid w:val="00423AB0"/>
    <w:rsid w:val="00423CC7"/>
    <w:rsid w:val="00423F6E"/>
    <w:rsid w:val="0042419A"/>
    <w:rsid w:val="004241CA"/>
    <w:rsid w:val="00424664"/>
    <w:rsid w:val="004249C0"/>
    <w:rsid w:val="00424DB7"/>
    <w:rsid w:val="0042508B"/>
    <w:rsid w:val="004255AF"/>
    <w:rsid w:val="00425898"/>
    <w:rsid w:val="004258AC"/>
    <w:rsid w:val="004259DC"/>
    <w:rsid w:val="00425EF9"/>
    <w:rsid w:val="00426293"/>
    <w:rsid w:val="0042649C"/>
    <w:rsid w:val="00426CED"/>
    <w:rsid w:val="00426F87"/>
    <w:rsid w:val="00426FC8"/>
    <w:rsid w:val="0042775C"/>
    <w:rsid w:val="00427F32"/>
    <w:rsid w:val="0043056E"/>
    <w:rsid w:val="00430B11"/>
    <w:rsid w:val="0043102C"/>
    <w:rsid w:val="0043115F"/>
    <w:rsid w:val="00431369"/>
    <w:rsid w:val="00431568"/>
    <w:rsid w:val="00431770"/>
    <w:rsid w:val="00431D80"/>
    <w:rsid w:val="00431EF1"/>
    <w:rsid w:val="0043264C"/>
    <w:rsid w:val="00432702"/>
    <w:rsid w:val="00432A3A"/>
    <w:rsid w:val="00432DD4"/>
    <w:rsid w:val="00432EDE"/>
    <w:rsid w:val="004331BD"/>
    <w:rsid w:val="00433361"/>
    <w:rsid w:val="00433970"/>
    <w:rsid w:val="004343D0"/>
    <w:rsid w:val="0043469D"/>
    <w:rsid w:val="004346A4"/>
    <w:rsid w:val="0043487C"/>
    <w:rsid w:val="00434E74"/>
    <w:rsid w:val="004350ED"/>
    <w:rsid w:val="004352D0"/>
    <w:rsid w:val="00435970"/>
    <w:rsid w:val="00435D6B"/>
    <w:rsid w:val="00436267"/>
    <w:rsid w:val="00436349"/>
    <w:rsid w:val="004366AC"/>
    <w:rsid w:val="00436879"/>
    <w:rsid w:val="00437C0C"/>
    <w:rsid w:val="00437D36"/>
    <w:rsid w:val="00437DC8"/>
    <w:rsid w:val="004400E8"/>
    <w:rsid w:val="00440935"/>
    <w:rsid w:val="0044137D"/>
    <w:rsid w:val="0044165C"/>
    <w:rsid w:val="004418F3"/>
    <w:rsid w:val="00441DE0"/>
    <w:rsid w:val="0044220C"/>
    <w:rsid w:val="004422DB"/>
    <w:rsid w:val="004428F8"/>
    <w:rsid w:val="0044310E"/>
    <w:rsid w:val="004435BC"/>
    <w:rsid w:val="004438EC"/>
    <w:rsid w:val="00443994"/>
    <w:rsid w:val="00443BA9"/>
    <w:rsid w:val="00444268"/>
    <w:rsid w:val="004447D2"/>
    <w:rsid w:val="0044493D"/>
    <w:rsid w:val="00444F04"/>
    <w:rsid w:val="004450B5"/>
    <w:rsid w:val="004455B2"/>
    <w:rsid w:val="00445608"/>
    <w:rsid w:val="00445686"/>
    <w:rsid w:val="004456EF"/>
    <w:rsid w:val="0044589A"/>
    <w:rsid w:val="00446471"/>
    <w:rsid w:val="00446ED1"/>
    <w:rsid w:val="004470BD"/>
    <w:rsid w:val="00447425"/>
    <w:rsid w:val="00447A36"/>
    <w:rsid w:val="00447BD2"/>
    <w:rsid w:val="00447F68"/>
    <w:rsid w:val="004503E1"/>
    <w:rsid w:val="004508EB"/>
    <w:rsid w:val="004515F1"/>
    <w:rsid w:val="00451977"/>
    <w:rsid w:val="00452323"/>
    <w:rsid w:val="00453947"/>
    <w:rsid w:val="004545E1"/>
    <w:rsid w:val="004546C3"/>
    <w:rsid w:val="004551F2"/>
    <w:rsid w:val="004552B6"/>
    <w:rsid w:val="00455592"/>
    <w:rsid w:val="004555E1"/>
    <w:rsid w:val="00455B0D"/>
    <w:rsid w:val="00455E73"/>
    <w:rsid w:val="00456A2C"/>
    <w:rsid w:val="00456B97"/>
    <w:rsid w:val="00456E58"/>
    <w:rsid w:val="00456F09"/>
    <w:rsid w:val="004571B3"/>
    <w:rsid w:val="00457530"/>
    <w:rsid w:val="00457B50"/>
    <w:rsid w:val="00460668"/>
    <w:rsid w:val="00460713"/>
    <w:rsid w:val="004611C1"/>
    <w:rsid w:val="00462B72"/>
    <w:rsid w:val="004631E4"/>
    <w:rsid w:val="00463261"/>
    <w:rsid w:val="0046341D"/>
    <w:rsid w:val="004636F8"/>
    <w:rsid w:val="0046496F"/>
    <w:rsid w:val="004650B6"/>
    <w:rsid w:val="00465AF5"/>
    <w:rsid w:val="004661B0"/>
    <w:rsid w:val="004663FF"/>
    <w:rsid w:val="00466416"/>
    <w:rsid w:val="00466FBC"/>
    <w:rsid w:val="00466FEA"/>
    <w:rsid w:val="00467864"/>
    <w:rsid w:val="00467A89"/>
    <w:rsid w:val="004702BD"/>
    <w:rsid w:val="00470775"/>
    <w:rsid w:val="004707A5"/>
    <w:rsid w:val="0047091D"/>
    <w:rsid w:val="00470B5B"/>
    <w:rsid w:val="00471767"/>
    <w:rsid w:val="00471995"/>
    <w:rsid w:val="0047246D"/>
    <w:rsid w:val="004724AB"/>
    <w:rsid w:val="00472647"/>
    <w:rsid w:val="00472C1A"/>
    <w:rsid w:val="00472D5C"/>
    <w:rsid w:val="00472F6B"/>
    <w:rsid w:val="00473117"/>
    <w:rsid w:val="00473A7F"/>
    <w:rsid w:val="00474445"/>
    <w:rsid w:val="00474CBD"/>
    <w:rsid w:val="0047596E"/>
    <w:rsid w:val="004760DA"/>
    <w:rsid w:val="0047624F"/>
    <w:rsid w:val="004766B6"/>
    <w:rsid w:val="004766D2"/>
    <w:rsid w:val="00476E97"/>
    <w:rsid w:val="00477865"/>
    <w:rsid w:val="00477A61"/>
    <w:rsid w:val="004803F1"/>
    <w:rsid w:val="00480F9B"/>
    <w:rsid w:val="00481075"/>
    <w:rsid w:val="004812E0"/>
    <w:rsid w:val="0048166B"/>
    <w:rsid w:val="00482A44"/>
    <w:rsid w:val="00482F14"/>
    <w:rsid w:val="004838AA"/>
    <w:rsid w:val="00483AA8"/>
    <w:rsid w:val="00483AEF"/>
    <w:rsid w:val="00484599"/>
    <w:rsid w:val="0048490E"/>
    <w:rsid w:val="00484AFF"/>
    <w:rsid w:val="004851C5"/>
    <w:rsid w:val="00485335"/>
    <w:rsid w:val="0048559E"/>
    <w:rsid w:val="00485F0D"/>
    <w:rsid w:val="00486D4F"/>
    <w:rsid w:val="00487EFD"/>
    <w:rsid w:val="004903FD"/>
    <w:rsid w:val="00490652"/>
    <w:rsid w:val="00490C50"/>
    <w:rsid w:val="00490FDC"/>
    <w:rsid w:val="0049110D"/>
    <w:rsid w:val="004911DC"/>
    <w:rsid w:val="0049156D"/>
    <w:rsid w:val="0049198E"/>
    <w:rsid w:val="004920BD"/>
    <w:rsid w:val="00492531"/>
    <w:rsid w:val="00492A51"/>
    <w:rsid w:val="00492A88"/>
    <w:rsid w:val="00492F23"/>
    <w:rsid w:val="004932B9"/>
    <w:rsid w:val="0049332A"/>
    <w:rsid w:val="0049418A"/>
    <w:rsid w:val="004944B6"/>
    <w:rsid w:val="00494A1D"/>
    <w:rsid w:val="00494A80"/>
    <w:rsid w:val="004954A6"/>
    <w:rsid w:val="00495C52"/>
    <w:rsid w:val="00496712"/>
    <w:rsid w:val="004972BC"/>
    <w:rsid w:val="004972D2"/>
    <w:rsid w:val="004A0315"/>
    <w:rsid w:val="004A03C8"/>
    <w:rsid w:val="004A0777"/>
    <w:rsid w:val="004A0A63"/>
    <w:rsid w:val="004A0AF3"/>
    <w:rsid w:val="004A1312"/>
    <w:rsid w:val="004A1880"/>
    <w:rsid w:val="004A1F40"/>
    <w:rsid w:val="004A241A"/>
    <w:rsid w:val="004A3B7E"/>
    <w:rsid w:val="004A3B8B"/>
    <w:rsid w:val="004A4059"/>
    <w:rsid w:val="004A4630"/>
    <w:rsid w:val="004A4AD9"/>
    <w:rsid w:val="004A4CC2"/>
    <w:rsid w:val="004A5AEC"/>
    <w:rsid w:val="004A5BAA"/>
    <w:rsid w:val="004A61AE"/>
    <w:rsid w:val="004A6CE4"/>
    <w:rsid w:val="004A7952"/>
    <w:rsid w:val="004A7ACC"/>
    <w:rsid w:val="004A7AFF"/>
    <w:rsid w:val="004B0A2E"/>
    <w:rsid w:val="004B1465"/>
    <w:rsid w:val="004B1500"/>
    <w:rsid w:val="004B17FA"/>
    <w:rsid w:val="004B1912"/>
    <w:rsid w:val="004B268D"/>
    <w:rsid w:val="004B41A6"/>
    <w:rsid w:val="004B5555"/>
    <w:rsid w:val="004B5675"/>
    <w:rsid w:val="004B56C5"/>
    <w:rsid w:val="004B5B14"/>
    <w:rsid w:val="004B5DEE"/>
    <w:rsid w:val="004B6A9B"/>
    <w:rsid w:val="004B7127"/>
    <w:rsid w:val="004B7139"/>
    <w:rsid w:val="004C0A57"/>
    <w:rsid w:val="004C159B"/>
    <w:rsid w:val="004C1CEC"/>
    <w:rsid w:val="004C26C5"/>
    <w:rsid w:val="004C2A1A"/>
    <w:rsid w:val="004C407A"/>
    <w:rsid w:val="004C41D1"/>
    <w:rsid w:val="004C4320"/>
    <w:rsid w:val="004C4B91"/>
    <w:rsid w:val="004C4C4E"/>
    <w:rsid w:val="004C4D66"/>
    <w:rsid w:val="004C5584"/>
    <w:rsid w:val="004C5A15"/>
    <w:rsid w:val="004C6B9E"/>
    <w:rsid w:val="004C6C6E"/>
    <w:rsid w:val="004C709E"/>
    <w:rsid w:val="004C74D9"/>
    <w:rsid w:val="004C780E"/>
    <w:rsid w:val="004D00D8"/>
    <w:rsid w:val="004D0233"/>
    <w:rsid w:val="004D02B7"/>
    <w:rsid w:val="004D05A6"/>
    <w:rsid w:val="004D090D"/>
    <w:rsid w:val="004D0A1B"/>
    <w:rsid w:val="004D14D8"/>
    <w:rsid w:val="004D1E45"/>
    <w:rsid w:val="004D2264"/>
    <w:rsid w:val="004D26FC"/>
    <w:rsid w:val="004D2734"/>
    <w:rsid w:val="004D2737"/>
    <w:rsid w:val="004D2A35"/>
    <w:rsid w:val="004D2C1C"/>
    <w:rsid w:val="004D36EF"/>
    <w:rsid w:val="004D3D91"/>
    <w:rsid w:val="004D442D"/>
    <w:rsid w:val="004D4549"/>
    <w:rsid w:val="004D46D8"/>
    <w:rsid w:val="004D5ACE"/>
    <w:rsid w:val="004D5BB9"/>
    <w:rsid w:val="004D6724"/>
    <w:rsid w:val="004D72E5"/>
    <w:rsid w:val="004D73DB"/>
    <w:rsid w:val="004D751F"/>
    <w:rsid w:val="004D7834"/>
    <w:rsid w:val="004D7BF8"/>
    <w:rsid w:val="004E0081"/>
    <w:rsid w:val="004E01E1"/>
    <w:rsid w:val="004E0B7A"/>
    <w:rsid w:val="004E0B8E"/>
    <w:rsid w:val="004E0F51"/>
    <w:rsid w:val="004E0FB1"/>
    <w:rsid w:val="004E1894"/>
    <w:rsid w:val="004E18EE"/>
    <w:rsid w:val="004E2188"/>
    <w:rsid w:val="004E2935"/>
    <w:rsid w:val="004E2AFE"/>
    <w:rsid w:val="004E2CF6"/>
    <w:rsid w:val="004E3437"/>
    <w:rsid w:val="004E3549"/>
    <w:rsid w:val="004E3619"/>
    <w:rsid w:val="004E3BBF"/>
    <w:rsid w:val="004E3C92"/>
    <w:rsid w:val="004E495B"/>
    <w:rsid w:val="004E4CC2"/>
    <w:rsid w:val="004E518C"/>
    <w:rsid w:val="004E55A6"/>
    <w:rsid w:val="004E5EDA"/>
    <w:rsid w:val="004E6F94"/>
    <w:rsid w:val="004E7578"/>
    <w:rsid w:val="004E7742"/>
    <w:rsid w:val="004E7EE6"/>
    <w:rsid w:val="004F0107"/>
    <w:rsid w:val="004F01C0"/>
    <w:rsid w:val="004F0238"/>
    <w:rsid w:val="004F1699"/>
    <w:rsid w:val="004F17FB"/>
    <w:rsid w:val="004F26CD"/>
    <w:rsid w:val="004F2940"/>
    <w:rsid w:val="004F2FCF"/>
    <w:rsid w:val="004F3090"/>
    <w:rsid w:val="004F320E"/>
    <w:rsid w:val="004F3C18"/>
    <w:rsid w:val="004F4087"/>
    <w:rsid w:val="004F4346"/>
    <w:rsid w:val="004F4492"/>
    <w:rsid w:val="004F489A"/>
    <w:rsid w:val="004F4A39"/>
    <w:rsid w:val="004F4D75"/>
    <w:rsid w:val="004F5F21"/>
    <w:rsid w:val="004F66D0"/>
    <w:rsid w:val="004F6747"/>
    <w:rsid w:val="004F6967"/>
    <w:rsid w:val="004F6E30"/>
    <w:rsid w:val="004F738D"/>
    <w:rsid w:val="004F7904"/>
    <w:rsid w:val="00500332"/>
    <w:rsid w:val="00500A00"/>
    <w:rsid w:val="00500D72"/>
    <w:rsid w:val="00500F88"/>
    <w:rsid w:val="005014C0"/>
    <w:rsid w:val="005034DF"/>
    <w:rsid w:val="00504154"/>
    <w:rsid w:val="00504223"/>
    <w:rsid w:val="00504419"/>
    <w:rsid w:val="0050477B"/>
    <w:rsid w:val="005047F5"/>
    <w:rsid w:val="00504BBC"/>
    <w:rsid w:val="005052E6"/>
    <w:rsid w:val="005057CC"/>
    <w:rsid w:val="00505858"/>
    <w:rsid w:val="00505A9A"/>
    <w:rsid w:val="00505F80"/>
    <w:rsid w:val="005060A5"/>
    <w:rsid w:val="00506735"/>
    <w:rsid w:val="0050688B"/>
    <w:rsid w:val="005069A5"/>
    <w:rsid w:val="00506A1E"/>
    <w:rsid w:val="005075CD"/>
    <w:rsid w:val="00507CE3"/>
    <w:rsid w:val="00507E86"/>
    <w:rsid w:val="0051013E"/>
    <w:rsid w:val="005107BB"/>
    <w:rsid w:val="0051089D"/>
    <w:rsid w:val="00511020"/>
    <w:rsid w:val="00511556"/>
    <w:rsid w:val="005115F3"/>
    <w:rsid w:val="00512BF2"/>
    <w:rsid w:val="00513599"/>
    <w:rsid w:val="005135D5"/>
    <w:rsid w:val="00513834"/>
    <w:rsid w:val="00513B17"/>
    <w:rsid w:val="00513B8E"/>
    <w:rsid w:val="00514908"/>
    <w:rsid w:val="005149BD"/>
    <w:rsid w:val="005149E0"/>
    <w:rsid w:val="00514A6D"/>
    <w:rsid w:val="00514CDE"/>
    <w:rsid w:val="00515111"/>
    <w:rsid w:val="00515EB7"/>
    <w:rsid w:val="00515F76"/>
    <w:rsid w:val="00515FA7"/>
    <w:rsid w:val="00516AAA"/>
    <w:rsid w:val="00520518"/>
    <w:rsid w:val="005208EB"/>
    <w:rsid w:val="005209D7"/>
    <w:rsid w:val="00520A64"/>
    <w:rsid w:val="00520CD4"/>
    <w:rsid w:val="005216BC"/>
    <w:rsid w:val="0052205A"/>
    <w:rsid w:val="005221F8"/>
    <w:rsid w:val="00522CDA"/>
    <w:rsid w:val="0052359E"/>
    <w:rsid w:val="005238F3"/>
    <w:rsid w:val="00523A75"/>
    <w:rsid w:val="00523D1E"/>
    <w:rsid w:val="0052537E"/>
    <w:rsid w:val="00525F48"/>
    <w:rsid w:val="0052611C"/>
    <w:rsid w:val="005261F1"/>
    <w:rsid w:val="00526332"/>
    <w:rsid w:val="00526343"/>
    <w:rsid w:val="00526784"/>
    <w:rsid w:val="00526E2C"/>
    <w:rsid w:val="00526E91"/>
    <w:rsid w:val="00527268"/>
    <w:rsid w:val="00527CD2"/>
    <w:rsid w:val="00527F66"/>
    <w:rsid w:val="0053128E"/>
    <w:rsid w:val="00531527"/>
    <w:rsid w:val="005316B6"/>
    <w:rsid w:val="005321A3"/>
    <w:rsid w:val="00532B34"/>
    <w:rsid w:val="00533A79"/>
    <w:rsid w:val="00533CB9"/>
    <w:rsid w:val="00533FFC"/>
    <w:rsid w:val="00534369"/>
    <w:rsid w:val="00535205"/>
    <w:rsid w:val="0053539D"/>
    <w:rsid w:val="005357D1"/>
    <w:rsid w:val="005359CE"/>
    <w:rsid w:val="00535E59"/>
    <w:rsid w:val="005361E0"/>
    <w:rsid w:val="005362F1"/>
    <w:rsid w:val="0053650A"/>
    <w:rsid w:val="005370F0"/>
    <w:rsid w:val="005378EF"/>
    <w:rsid w:val="00537A6B"/>
    <w:rsid w:val="00540570"/>
    <w:rsid w:val="005406B2"/>
    <w:rsid w:val="00542940"/>
    <w:rsid w:val="005430AC"/>
    <w:rsid w:val="0054322F"/>
    <w:rsid w:val="005433D7"/>
    <w:rsid w:val="00543562"/>
    <w:rsid w:val="005435FB"/>
    <w:rsid w:val="005437CF"/>
    <w:rsid w:val="005439FC"/>
    <w:rsid w:val="00544729"/>
    <w:rsid w:val="0054482C"/>
    <w:rsid w:val="00544C4C"/>
    <w:rsid w:val="00544E5C"/>
    <w:rsid w:val="005458EF"/>
    <w:rsid w:val="00546675"/>
    <w:rsid w:val="0054675A"/>
    <w:rsid w:val="00546D24"/>
    <w:rsid w:val="00547997"/>
    <w:rsid w:val="00547B5A"/>
    <w:rsid w:val="00547F13"/>
    <w:rsid w:val="00550282"/>
    <w:rsid w:val="0055130D"/>
    <w:rsid w:val="00551880"/>
    <w:rsid w:val="0055294F"/>
    <w:rsid w:val="0055310D"/>
    <w:rsid w:val="005533B3"/>
    <w:rsid w:val="0055347D"/>
    <w:rsid w:val="005536BC"/>
    <w:rsid w:val="00553A3C"/>
    <w:rsid w:val="005541B3"/>
    <w:rsid w:val="005550DD"/>
    <w:rsid w:val="00555280"/>
    <w:rsid w:val="00555359"/>
    <w:rsid w:val="005553A7"/>
    <w:rsid w:val="005565AE"/>
    <w:rsid w:val="00556C0C"/>
    <w:rsid w:val="005574F8"/>
    <w:rsid w:val="005575BA"/>
    <w:rsid w:val="005579EE"/>
    <w:rsid w:val="00557DC5"/>
    <w:rsid w:val="00560F77"/>
    <w:rsid w:val="005611FB"/>
    <w:rsid w:val="00561C4F"/>
    <w:rsid w:val="00561EA3"/>
    <w:rsid w:val="005624A0"/>
    <w:rsid w:val="00562E9E"/>
    <w:rsid w:val="005634AE"/>
    <w:rsid w:val="005635C8"/>
    <w:rsid w:val="00564886"/>
    <w:rsid w:val="00564B12"/>
    <w:rsid w:val="00564BFD"/>
    <w:rsid w:val="00564CAE"/>
    <w:rsid w:val="005653E1"/>
    <w:rsid w:val="0056550D"/>
    <w:rsid w:val="005655AC"/>
    <w:rsid w:val="005659AC"/>
    <w:rsid w:val="00565D9D"/>
    <w:rsid w:val="00566122"/>
    <w:rsid w:val="0056619C"/>
    <w:rsid w:val="005665E1"/>
    <w:rsid w:val="005668B2"/>
    <w:rsid w:val="00566EDF"/>
    <w:rsid w:val="00566F00"/>
    <w:rsid w:val="00567592"/>
    <w:rsid w:val="00567664"/>
    <w:rsid w:val="00567730"/>
    <w:rsid w:val="00567B55"/>
    <w:rsid w:val="00567BA1"/>
    <w:rsid w:val="005701BB"/>
    <w:rsid w:val="00570789"/>
    <w:rsid w:val="005709B5"/>
    <w:rsid w:val="00570AAF"/>
    <w:rsid w:val="00570BB9"/>
    <w:rsid w:val="005712A8"/>
    <w:rsid w:val="005719AA"/>
    <w:rsid w:val="00571CC7"/>
    <w:rsid w:val="00571E22"/>
    <w:rsid w:val="00572418"/>
    <w:rsid w:val="00572A77"/>
    <w:rsid w:val="00573BE5"/>
    <w:rsid w:val="00573E25"/>
    <w:rsid w:val="00573FE8"/>
    <w:rsid w:val="0057413A"/>
    <w:rsid w:val="00574301"/>
    <w:rsid w:val="005747DA"/>
    <w:rsid w:val="00574806"/>
    <w:rsid w:val="005750CD"/>
    <w:rsid w:val="005752A3"/>
    <w:rsid w:val="00575CB7"/>
    <w:rsid w:val="005769B4"/>
    <w:rsid w:val="00577416"/>
    <w:rsid w:val="005775FB"/>
    <w:rsid w:val="00577945"/>
    <w:rsid w:val="00577D51"/>
    <w:rsid w:val="0058012F"/>
    <w:rsid w:val="00580AC2"/>
    <w:rsid w:val="00580F55"/>
    <w:rsid w:val="00581436"/>
    <w:rsid w:val="00581442"/>
    <w:rsid w:val="00581EE5"/>
    <w:rsid w:val="00581F88"/>
    <w:rsid w:val="00583024"/>
    <w:rsid w:val="0058354F"/>
    <w:rsid w:val="00583F70"/>
    <w:rsid w:val="00584BF9"/>
    <w:rsid w:val="00584CA1"/>
    <w:rsid w:val="00584D05"/>
    <w:rsid w:val="00584D46"/>
    <w:rsid w:val="00584F1E"/>
    <w:rsid w:val="0058523D"/>
    <w:rsid w:val="0058555A"/>
    <w:rsid w:val="00586934"/>
    <w:rsid w:val="00586C4E"/>
    <w:rsid w:val="00586DAB"/>
    <w:rsid w:val="00586DEB"/>
    <w:rsid w:val="00587C00"/>
    <w:rsid w:val="00587E4F"/>
    <w:rsid w:val="00587E60"/>
    <w:rsid w:val="00587EFC"/>
    <w:rsid w:val="0059033F"/>
    <w:rsid w:val="00590527"/>
    <w:rsid w:val="00590EA9"/>
    <w:rsid w:val="005913FC"/>
    <w:rsid w:val="00591BBD"/>
    <w:rsid w:val="00593121"/>
    <w:rsid w:val="005936F1"/>
    <w:rsid w:val="00593DC3"/>
    <w:rsid w:val="0059401E"/>
    <w:rsid w:val="0059449D"/>
    <w:rsid w:val="0059522C"/>
    <w:rsid w:val="00595379"/>
    <w:rsid w:val="00595569"/>
    <w:rsid w:val="00595B17"/>
    <w:rsid w:val="00595BCF"/>
    <w:rsid w:val="00595D42"/>
    <w:rsid w:val="00597646"/>
    <w:rsid w:val="0059785E"/>
    <w:rsid w:val="00597E4B"/>
    <w:rsid w:val="00597F10"/>
    <w:rsid w:val="005A10BC"/>
    <w:rsid w:val="005A1260"/>
    <w:rsid w:val="005A1E3D"/>
    <w:rsid w:val="005A2328"/>
    <w:rsid w:val="005A2592"/>
    <w:rsid w:val="005A2FA1"/>
    <w:rsid w:val="005A3014"/>
    <w:rsid w:val="005A35B6"/>
    <w:rsid w:val="005A397E"/>
    <w:rsid w:val="005A4232"/>
    <w:rsid w:val="005A43E1"/>
    <w:rsid w:val="005A48A6"/>
    <w:rsid w:val="005A50A0"/>
    <w:rsid w:val="005A5841"/>
    <w:rsid w:val="005A5CED"/>
    <w:rsid w:val="005A5D64"/>
    <w:rsid w:val="005A627E"/>
    <w:rsid w:val="005A6740"/>
    <w:rsid w:val="005A6767"/>
    <w:rsid w:val="005A77C9"/>
    <w:rsid w:val="005A7A37"/>
    <w:rsid w:val="005A7A57"/>
    <w:rsid w:val="005B016E"/>
    <w:rsid w:val="005B03C3"/>
    <w:rsid w:val="005B0807"/>
    <w:rsid w:val="005B0C25"/>
    <w:rsid w:val="005B0C96"/>
    <w:rsid w:val="005B1244"/>
    <w:rsid w:val="005B1D86"/>
    <w:rsid w:val="005B214B"/>
    <w:rsid w:val="005B298C"/>
    <w:rsid w:val="005B2A52"/>
    <w:rsid w:val="005B2AD5"/>
    <w:rsid w:val="005B2BB5"/>
    <w:rsid w:val="005B2CA3"/>
    <w:rsid w:val="005B3143"/>
    <w:rsid w:val="005B3314"/>
    <w:rsid w:val="005B3467"/>
    <w:rsid w:val="005B3924"/>
    <w:rsid w:val="005B5628"/>
    <w:rsid w:val="005B5AF6"/>
    <w:rsid w:val="005B617A"/>
    <w:rsid w:val="005B61FE"/>
    <w:rsid w:val="005B6687"/>
    <w:rsid w:val="005B6B7F"/>
    <w:rsid w:val="005B712D"/>
    <w:rsid w:val="005B747A"/>
    <w:rsid w:val="005B7500"/>
    <w:rsid w:val="005C0385"/>
    <w:rsid w:val="005C09B3"/>
    <w:rsid w:val="005C0D7E"/>
    <w:rsid w:val="005C0DE7"/>
    <w:rsid w:val="005C0EBF"/>
    <w:rsid w:val="005C0F07"/>
    <w:rsid w:val="005C177B"/>
    <w:rsid w:val="005C1CA1"/>
    <w:rsid w:val="005C1DF7"/>
    <w:rsid w:val="005C1F06"/>
    <w:rsid w:val="005C26C0"/>
    <w:rsid w:val="005C2737"/>
    <w:rsid w:val="005C2DE6"/>
    <w:rsid w:val="005C3141"/>
    <w:rsid w:val="005C3A57"/>
    <w:rsid w:val="005C3E05"/>
    <w:rsid w:val="005C4147"/>
    <w:rsid w:val="005C4828"/>
    <w:rsid w:val="005C4E2A"/>
    <w:rsid w:val="005C4EBF"/>
    <w:rsid w:val="005C5098"/>
    <w:rsid w:val="005C554B"/>
    <w:rsid w:val="005C56A5"/>
    <w:rsid w:val="005C5888"/>
    <w:rsid w:val="005C58EB"/>
    <w:rsid w:val="005C5977"/>
    <w:rsid w:val="005C6DA4"/>
    <w:rsid w:val="005C6E63"/>
    <w:rsid w:val="005C73D4"/>
    <w:rsid w:val="005C794B"/>
    <w:rsid w:val="005C7ED7"/>
    <w:rsid w:val="005D01A4"/>
    <w:rsid w:val="005D070C"/>
    <w:rsid w:val="005D088D"/>
    <w:rsid w:val="005D0A35"/>
    <w:rsid w:val="005D0B15"/>
    <w:rsid w:val="005D0D39"/>
    <w:rsid w:val="005D1A7D"/>
    <w:rsid w:val="005D1BA5"/>
    <w:rsid w:val="005D1D6C"/>
    <w:rsid w:val="005D1D9B"/>
    <w:rsid w:val="005D1F21"/>
    <w:rsid w:val="005D2012"/>
    <w:rsid w:val="005D2142"/>
    <w:rsid w:val="005D2CCE"/>
    <w:rsid w:val="005D30EA"/>
    <w:rsid w:val="005D392F"/>
    <w:rsid w:val="005D3D3B"/>
    <w:rsid w:val="005D3E58"/>
    <w:rsid w:val="005D3F76"/>
    <w:rsid w:val="005D411B"/>
    <w:rsid w:val="005D4487"/>
    <w:rsid w:val="005D57AA"/>
    <w:rsid w:val="005D57E0"/>
    <w:rsid w:val="005D5D39"/>
    <w:rsid w:val="005D60BE"/>
    <w:rsid w:val="005D6ABA"/>
    <w:rsid w:val="005D7386"/>
    <w:rsid w:val="005D7633"/>
    <w:rsid w:val="005D78A2"/>
    <w:rsid w:val="005D79A5"/>
    <w:rsid w:val="005E0285"/>
    <w:rsid w:val="005E0358"/>
    <w:rsid w:val="005E0EE8"/>
    <w:rsid w:val="005E0FE5"/>
    <w:rsid w:val="005E1438"/>
    <w:rsid w:val="005E173F"/>
    <w:rsid w:val="005E1B92"/>
    <w:rsid w:val="005E1C52"/>
    <w:rsid w:val="005E28A0"/>
    <w:rsid w:val="005E2926"/>
    <w:rsid w:val="005E2E68"/>
    <w:rsid w:val="005E3223"/>
    <w:rsid w:val="005E33D2"/>
    <w:rsid w:val="005E388B"/>
    <w:rsid w:val="005E41E1"/>
    <w:rsid w:val="005E4442"/>
    <w:rsid w:val="005E4507"/>
    <w:rsid w:val="005E46BA"/>
    <w:rsid w:val="005E4BD2"/>
    <w:rsid w:val="005E501E"/>
    <w:rsid w:val="005E50F3"/>
    <w:rsid w:val="005E5490"/>
    <w:rsid w:val="005E5D6A"/>
    <w:rsid w:val="005E5F00"/>
    <w:rsid w:val="005E62B0"/>
    <w:rsid w:val="005E648A"/>
    <w:rsid w:val="005E686B"/>
    <w:rsid w:val="005E7936"/>
    <w:rsid w:val="005E79D9"/>
    <w:rsid w:val="005E7B3D"/>
    <w:rsid w:val="005F082A"/>
    <w:rsid w:val="005F0DBF"/>
    <w:rsid w:val="005F19BF"/>
    <w:rsid w:val="005F1B7F"/>
    <w:rsid w:val="005F2C62"/>
    <w:rsid w:val="005F2D4C"/>
    <w:rsid w:val="005F3033"/>
    <w:rsid w:val="005F31D5"/>
    <w:rsid w:val="005F37D4"/>
    <w:rsid w:val="005F3A1D"/>
    <w:rsid w:val="005F42D2"/>
    <w:rsid w:val="005F4D75"/>
    <w:rsid w:val="005F4DD9"/>
    <w:rsid w:val="005F51F9"/>
    <w:rsid w:val="005F554A"/>
    <w:rsid w:val="005F5864"/>
    <w:rsid w:val="005F5F63"/>
    <w:rsid w:val="005F6293"/>
    <w:rsid w:val="005F6724"/>
    <w:rsid w:val="005F67E2"/>
    <w:rsid w:val="005F6859"/>
    <w:rsid w:val="005F6D71"/>
    <w:rsid w:val="005F72FA"/>
    <w:rsid w:val="006008EC"/>
    <w:rsid w:val="0060107E"/>
    <w:rsid w:val="006013F9"/>
    <w:rsid w:val="006020D9"/>
    <w:rsid w:val="0060267A"/>
    <w:rsid w:val="00602F71"/>
    <w:rsid w:val="006030D6"/>
    <w:rsid w:val="0060417B"/>
    <w:rsid w:val="006043A4"/>
    <w:rsid w:val="006045CD"/>
    <w:rsid w:val="006048D0"/>
    <w:rsid w:val="00605007"/>
    <w:rsid w:val="0060594A"/>
    <w:rsid w:val="006060BB"/>
    <w:rsid w:val="00606749"/>
    <w:rsid w:val="00606B77"/>
    <w:rsid w:val="00607A2A"/>
    <w:rsid w:val="006105B3"/>
    <w:rsid w:val="006119B8"/>
    <w:rsid w:val="00611A6C"/>
    <w:rsid w:val="00611AF5"/>
    <w:rsid w:val="006120C0"/>
    <w:rsid w:val="0061215A"/>
    <w:rsid w:val="0061244C"/>
    <w:rsid w:val="00612E64"/>
    <w:rsid w:val="006143D2"/>
    <w:rsid w:val="00614CD3"/>
    <w:rsid w:val="006152CD"/>
    <w:rsid w:val="0061548F"/>
    <w:rsid w:val="00615E33"/>
    <w:rsid w:val="00616034"/>
    <w:rsid w:val="0061627F"/>
    <w:rsid w:val="00616BF1"/>
    <w:rsid w:val="0061756E"/>
    <w:rsid w:val="00617C86"/>
    <w:rsid w:val="00617D05"/>
    <w:rsid w:val="00617F54"/>
    <w:rsid w:val="00620010"/>
    <w:rsid w:val="0062043A"/>
    <w:rsid w:val="00620808"/>
    <w:rsid w:val="006217E3"/>
    <w:rsid w:val="00621A67"/>
    <w:rsid w:val="00621EDB"/>
    <w:rsid w:val="006221AD"/>
    <w:rsid w:val="0062223F"/>
    <w:rsid w:val="006224E4"/>
    <w:rsid w:val="00622963"/>
    <w:rsid w:val="00622F37"/>
    <w:rsid w:val="006232A3"/>
    <w:rsid w:val="00623557"/>
    <w:rsid w:val="0062388D"/>
    <w:rsid w:val="006240A6"/>
    <w:rsid w:val="006242DF"/>
    <w:rsid w:val="0062497C"/>
    <w:rsid w:val="00624EB7"/>
    <w:rsid w:val="0062600E"/>
    <w:rsid w:val="00626012"/>
    <w:rsid w:val="00626EC9"/>
    <w:rsid w:val="0062706D"/>
    <w:rsid w:val="00627EBD"/>
    <w:rsid w:val="0063097E"/>
    <w:rsid w:val="00631225"/>
    <w:rsid w:val="0063271D"/>
    <w:rsid w:val="00632A0E"/>
    <w:rsid w:val="00632D9B"/>
    <w:rsid w:val="006336DA"/>
    <w:rsid w:val="00633C07"/>
    <w:rsid w:val="006349F9"/>
    <w:rsid w:val="00636643"/>
    <w:rsid w:val="00636F2D"/>
    <w:rsid w:val="006374CD"/>
    <w:rsid w:val="006378FE"/>
    <w:rsid w:val="00637DC9"/>
    <w:rsid w:val="00637F16"/>
    <w:rsid w:val="00640166"/>
    <w:rsid w:val="00640570"/>
    <w:rsid w:val="00640CB0"/>
    <w:rsid w:val="00640CED"/>
    <w:rsid w:val="00641143"/>
    <w:rsid w:val="0064124B"/>
    <w:rsid w:val="006415E6"/>
    <w:rsid w:val="006417D7"/>
    <w:rsid w:val="00641A4A"/>
    <w:rsid w:val="006422DE"/>
    <w:rsid w:val="0064267E"/>
    <w:rsid w:val="006430FF"/>
    <w:rsid w:val="0064347A"/>
    <w:rsid w:val="0064375D"/>
    <w:rsid w:val="00643967"/>
    <w:rsid w:val="00643AEA"/>
    <w:rsid w:val="00643C32"/>
    <w:rsid w:val="00646DCA"/>
    <w:rsid w:val="0064721C"/>
    <w:rsid w:val="006473D0"/>
    <w:rsid w:val="00647882"/>
    <w:rsid w:val="00647DA8"/>
    <w:rsid w:val="00647F9D"/>
    <w:rsid w:val="006502AB"/>
    <w:rsid w:val="00650F32"/>
    <w:rsid w:val="00651177"/>
    <w:rsid w:val="00651A71"/>
    <w:rsid w:val="0065277B"/>
    <w:rsid w:val="00653397"/>
    <w:rsid w:val="0065343A"/>
    <w:rsid w:val="00653A2A"/>
    <w:rsid w:val="00653B74"/>
    <w:rsid w:val="00653FFE"/>
    <w:rsid w:val="0065444E"/>
    <w:rsid w:val="00655066"/>
    <w:rsid w:val="006550A4"/>
    <w:rsid w:val="00655C11"/>
    <w:rsid w:val="00655C85"/>
    <w:rsid w:val="00656585"/>
    <w:rsid w:val="00656767"/>
    <w:rsid w:val="0065678E"/>
    <w:rsid w:val="006569FD"/>
    <w:rsid w:val="006605A1"/>
    <w:rsid w:val="0066096D"/>
    <w:rsid w:val="0066100B"/>
    <w:rsid w:val="0066183E"/>
    <w:rsid w:val="00661979"/>
    <w:rsid w:val="00661A9C"/>
    <w:rsid w:val="0066219C"/>
    <w:rsid w:val="00662205"/>
    <w:rsid w:val="00662588"/>
    <w:rsid w:val="00662C33"/>
    <w:rsid w:val="00663436"/>
    <w:rsid w:val="006637AD"/>
    <w:rsid w:val="00663D25"/>
    <w:rsid w:val="00665450"/>
    <w:rsid w:val="0066654B"/>
    <w:rsid w:val="00666B1D"/>
    <w:rsid w:val="006672D7"/>
    <w:rsid w:val="006672FF"/>
    <w:rsid w:val="00667490"/>
    <w:rsid w:val="00667A54"/>
    <w:rsid w:val="00667DAB"/>
    <w:rsid w:val="00667DDB"/>
    <w:rsid w:val="0067040B"/>
    <w:rsid w:val="00670499"/>
    <w:rsid w:val="00671062"/>
    <w:rsid w:val="00671483"/>
    <w:rsid w:val="00671816"/>
    <w:rsid w:val="00672270"/>
    <w:rsid w:val="006724CA"/>
    <w:rsid w:val="006726C8"/>
    <w:rsid w:val="006727E9"/>
    <w:rsid w:val="00672EDE"/>
    <w:rsid w:val="00673262"/>
    <w:rsid w:val="00674551"/>
    <w:rsid w:val="006746CD"/>
    <w:rsid w:val="00674D0D"/>
    <w:rsid w:val="00674DB1"/>
    <w:rsid w:val="00674F2A"/>
    <w:rsid w:val="00675B52"/>
    <w:rsid w:val="00676A75"/>
    <w:rsid w:val="00677119"/>
    <w:rsid w:val="00677156"/>
    <w:rsid w:val="006775FF"/>
    <w:rsid w:val="00677764"/>
    <w:rsid w:val="006779A1"/>
    <w:rsid w:val="006807B3"/>
    <w:rsid w:val="0068093C"/>
    <w:rsid w:val="006813A4"/>
    <w:rsid w:val="00681F77"/>
    <w:rsid w:val="006823B3"/>
    <w:rsid w:val="00682BA0"/>
    <w:rsid w:val="00682E7A"/>
    <w:rsid w:val="00682FEB"/>
    <w:rsid w:val="0068368F"/>
    <w:rsid w:val="0068390A"/>
    <w:rsid w:val="00684720"/>
    <w:rsid w:val="00684C37"/>
    <w:rsid w:val="00684D30"/>
    <w:rsid w:val="0068528A"/>
    <w:rsid w:val="006855D3"/>
    <w:rsid w:val="00685699"/>
    <w:rsid w:val="00685D06"/>
    <w:rsid w:val="00686202"/>
    <w:rsid w:val="006863F7"/>
    <w:rsid w:val="0068652D"/>
    <w:rsid w:val="00690186"/>
    <w:rsid w:val="00690243"/>
    <w:rsid w:val="006903B7"/>
    <w:rsid w:val="006903B8"/>
    <w:rsid w:val="006908B7"/>
    <w:rsid w:val="0069139A"/>
    <w:rsid w:val="0069144D"/>
    <w:rsid w:val="006917A7"/>
    <w:rsid w:val="00691862"/>
    <w:rsid w:val="00691ACE"/>
    <w:rsid w:val="0069205C"/>
    <w:rsid w:val="0069219F"/>
    <w:rsid w:val="006928E7"/>
    <w:rsid w:val="006929B1"/>
    <w:rsid w:val="00692B8C"/>
    <w:rsid w:val="00692DB7"/>
    <w:rsid w:val="00693578"/>
    <w:rsid w:val="006938C8"/>
    <w:rsid w:val="006944EB"/>
    <w:rsid w:val="0069466B"/>
    <w:rsid w:val="00694C2D"/>
    <w:rsid w:val="006954C4"/>
    <w:rsid w:val="00695846"/>
    <w:rsid w:val="0069676B"/>
    <w:rsid w:val="00696927"/>
    <w:rsid w:val="00696C55"/>
    <w:rsid w:val="006972C2"/>
    <w:rsid w:val="00697B87"/>
    <w:rsid w:val="00697ED7"/>
    <w:rsid w:val="006A00B7"/>
    <w:rsid w:val="006A0563"/>
    <w:rsid w:val="006A0F81"/>
    <w:rsid w:val="006A134B"/>
    <w:rsid w:val="006A1B12"/>
    <w:rsid w:val="006A229F"/>
    <w:rsid w:val="006A22D4"/>
    <w:rsid w:val="006A2344"/>
    <w:rsid w:val="006A2BBF"/>
    <w:rsid w:val="006A3210"/>
    <w:rsid w:val="006A34AC"/>
    <w:rsid w:val="006A3A3A"/>
    <w:rsid w:val="006A3B54"/>
    <w:rsid w:val="006A3E57"/>
    <w:rsid w:val="006A4492"/>
    <w:rsid w:val="006A4628"/>
    <w:rsid w:val="006A46A7"/>
    <w:rsid w:val="006A4D18"/>
    <w:rsid w:val="006A4F09"/>
    <w:rsid w:val="006A50E4"/>
    <w:rsid w:val="006A59AE"/>
    <w:rsid w:val="006A5D24"/>
    <w:rsid w:val="006A6914"/>
    <w:rsid w:val="006A6CE8"/>
    <w:rsid w:val="006A7371"/>
    <w:rsid w:val="006A7640"/>
    <w:rsid w:val="006A7660"/>
    <w:rsid w:val="006B00FE"/>
    <w:rsid w:val="006B0227"/>
    <w:rsid w:val="006B0D28"/>
    <w:rsid w:val="006B1690"/>
    <w:rsid w:val="006B17A3"/>
    <w:rsid w:val="006B23B0"/>
    <w:rsid w:val="006B3244"/>
    <w:rsid w:val="006B32E0"/>
    <w:rsid w:val="006B34C9"/>
    <w:rsid w:val="006B363D"/>
    <w:rsid w:val="006B3757"/>
    <w:rsid w:val="006B37E1"/>
    <w:rsid w:val="006B399A"/>
    <w:rsid w:val="006B3BF5"/>
    <w:rsid w:val="006B4795"/>
    <w:rsid w:val="006B507D"/>
    <w:rsid w:val="006B5791"/>
    <w:rsid w:val="006B57AC"/>
    <w:rsid w:val="006B589A"/>
    <w:rsid w:val="006B597A"/>
    <w:rsid w:val="006B5B0B"/>
    <w:rsid w:val="006B5DE7"/>
    <w:rsid w:val="006B60A2"/>
    <w:rsid w:val="006B6798"/>
    <w:rsid w:val="006B7085"/>
    <w:rsid w:val="006B7242"/>
    <w:rsid w:val="006B77BE"/>
    <w:rsid w:val="006B7B54"/>
    <w:rsid w:val="006C03BF"/>
    <w:rsid w:val="006C06AF"/>
    <w:rsid w:val="006C0F76"/>
    <w:rsid w:val="006C0FB9"/>
    <w:rsid w:val="006C1340"/>
    <w:rsid w:val="006C17D6"/>
    <w:rsid w:val="006C23C2"/>
    <w:rsid w:val="006C2A5F"/>
    <w:rsid w:val="006C33AC"/>
    <w:rsid w:val="006C3BC6"/>
    <w:rsid w:val="006C46E4"/>
    <w:rsid w:val="006C46F6"/>
    <w:rsid w:val="006C4980"/>
    <w:rsid w:val="006C4A15"/>
    <w:rsid w:val="006C4B1F"/>
    <w:rsid w:val="006C5180"/>
    <w:rsid w:val="006C5815"/>
    <w:rsid w:val="006C590F"/>
    <w:rsid w:val="006C5912"/>
    <w:rsid w:val="006C5C39"/>
    <w:rsid w:val="006C6C78"/>
    <w:rsid w:val="006C6FBB"/>
    <w:rsid w:val="006C723E"/>
    <w:rsid w:val="006C7475"/>
    <w:rsid w:val="006C77FB"/>
    <w:rsid w:val="006C7B71"/>
    <w:rsid w:val="006D01E3"/>
    <w:rsid w:val="006D05F5"/>
    <w:rsid w:val="006D0F45"/>
    <w:rsid w:val="006D1878"/>
    <w:rsid w:val="006D18A1"/>
    <w:rsid w:val="006D2AA6"/>
    <w:rsid w:val="006D2B04"/>
    <w:rsid w:val="006D2D6F"/>
    <w:rsid w:val="006D2DF7"/>
    <w:rsid w:val="006D326C"/>
    <w:rsid w:val="006D3A6D"/>
    <w:rsid w:val="006D3B42"/>
    <w:rsid w:val="006D46C6"/>
    <w:rsid w:val="006D493B"/>
    <w:rsid w:val="006D4F91"/>
    <w:rsid w:val="006D5556"/>
    <w:rsid w:val="006D6DB3"/>
    <w:rsid w:val="006D6FEA"/>
    <w:rsid w:val="006D766C"/>
    <w:rsid w:val="006E016A"/>
    <w:rsid w:val="006E02B5"/>
    <w:rsid w:val="006E0419"/>
    <w:rsid w:val="006E0583"/>
    <w:rsid w:val="006E0C49"/>
    <w:rsid w:val="006E0CF5"/>
    <w:rsid w:val="006E10FC"/>
    <w:rsid w:val="006E15B5"/>
    <w:rsid w:val="006E1651"/>
    <w:rsid w:val="006E18EB"/>
    <w:rsid w:val="006E19CB"/>
    <w:rsid w:val="006E1A69"/>
    <w:rsid w:val="006E1C31"/>
    <w:rsid w:val="006E1D64"/>
    <w:rsid w:val="006E20B6"/>
    <w:rsid w:val="006E2293"/>
    <w:rsid w:val="006E27DC"/>
    <w:rsid w:val="006E313A"/>
    <w:rsid w:val="006E31A3"/>
    <w:rsid w:val="006E3868"/>
    <w:rsid w:val="006E45CC"/>
    <w:rsid w:val="006E52E1"/>
    <w:rsid w:val="006E5678"/>
    <w:rsid w:val="006E57D3"/>
    <w:rsid w:val="006E5C6C"/>
    <w:rsid w:val="006E5D11"/>
    <w:rsid w:val="006E63DE"/>
    <w:rsid w:val="006E649A"/>
    <w:rsid w:val="006E6889"/>
    <w:rsid w:val="006E6A42"/>
    <w:rsid w:val="006E70D1"/>
    <w:rsid w:val="006F003A"/>
    <w:rsid w:val="006F04D9"/>
    <w:rsid w:val="006F07FA"/>
    <w:rsid w:val="006F0FBF"/>
    <w:rsid w:val="006F137B"/>
    <w:rsid w:val="006F13E3"/>
    <w:rsid w:val="006F1B2E"/>
    <w:rsid w:val="006F1DC1"/>
    <w:rsid w:val="006F2292"/>
    <w:rsid w:val="006F27A7"/>
    <w:rsid w:val="006F2D03"/>
    <w:rsid w:val="006F31D7"/>
    <w:rsid w:val="006F31E0"/>
    <w:rsid w:val="006F33C8"/>
    <w:rsid w:val="006F3670"/>
    <w:rsid w:val="006F3932"/>
    <w:rsid w:val="006F3B2C"/>
    <w:rsid w:val="006F3F80"/>
    <w:rsid w:val="006F418E"/>
    <w:rsid w:val="006F43BE"/>
    <w:rsid w:val="006F48D3"/>
    <w:rsid w:val="006F4901"/>
    <w:rsid w:val="006F4953"/>
    <w:rsid w:val="006F547D"/>
    <w:rsid w:val="006F617A"/>
    <w:rsid w:val="006F67C0"/>
    <w:rsid w:val="006F6D52"/>
    <w:rsid w:val="006F77A0"/>
    <w:rsid w:val="007001BB"/>
    <w:rsid w:val="00700403"/>
    <w:rsid w:val="007004A3"/>
    <w:rsid w:val="0070152A"/>
    <w:rsid w:val="0070184C"/>
    <w:rsid w:val="007028E7"/>
    <w:rsid w:val="00703044"/>
    <w:rsid w:val="007039B7"/>
    <w:rsid w:val="00703CAD"/>
    <w:rsid w:val="0070401B"/>
    <w:rsid w:val="00704082"/>
    <w:rsid w:val="00705371"/>
    <w:rsid w:val="00705CB6"/>
    <w:rsid w:val="00706175"/>
    <w:rsid w:val="007062BC"/>
    <w:rsid w:val="007066E5"/>
    <w:rsid w:val="00707059"/>
    <w:rsid w:val="007077DC"/>
    <w:rsid w:val="00707DAE"/>
    <w:rsid w:val="00707E80"/>
    <w:rsid w:val="00707EDF"/>
    <w:rsid w:val="00710C2B"/>
    <w:rsid w:val="00712785"/>
    <w:rsid w:val="00712DC0"/>
    <w:rsid w:val="00712E82"/>
    <w:rsid w:val="00712E94"/>
    <w:rsid w:val="0071317B"/>
    <w:rsid w:val="00713384"/>
    <w:rsid w:val="007135CD"/>
    <w:rsid w:val="00713CAE"/>
    <w:rsid w:val="00713D73"/>
    <w:rsid w:val="00713DB3"/>
    <w:rsid w:val="007141E1"/>
    <w:rsid w:val="00714482"/>
    <w:rsid w:val="00714F31"/>
    <w:rsid w:val="00715242"/>
    <w:rsid w:val="007157B2"/>
    <w:rsid w:val="0071593B"/>
    <w:rsid w:val="00715958"/>
    <w:rsid w:val="00715C5F"/>
    <w:rsid w:val="00716521"/>
    <w:rsid w:val="007166C7"/>
    <w:rsid w:val="00716B8E"/>
    <w:rsid w:val="007171ED"/>
    <w:rsid w:val="0071743A"/>
    <w:rsid w:val="0071766B"/>
    <w:rsid w:val="00720522"/>
    <w:rsid w:val="00720B3A"/>
    <w:rsid w:val="007215B7"/>
    <w:rsid w:val="007219F6"/>
    <w:rsid w:val="00721ADE"/>
    <w:rsid w:val="00721F20"/>
    <w:rsid w:val="00722046"/>
    <w:rsid w:val="00722CFC"/>
    <w:rsid w:val="007230F2"/>
    <w:rsid w:val="00723922"/>
    <w:rsid w:val="00723AFB"/>
    <w:rsid w:val="00723C3B"/>
    <w:rsid w:val="00723D1F"/>
    <w:rsid w:val="00723D3A"/>
    <w:rsid w:val="0072440A"/>
    <w:rsid w:val="00724504"/>
    <w:rsid w:val="0072459E"/>
    <w:rsid w:val="007247EB"/>
    <w:rsid w:val="007257D4"/>
    <w:rsid w:val="00725892"/>
    <w:rsid w:val="00726485"/>
    <w:rsid w:val="00726F2B"/>
    <w:rsid w:val="00727484"/>
    <w:rsid w:val="00730222"/>
    <w:rsid w:val="0073099F"/>
    <w:rsid w:val="007317F2"/>
    <w:rsid w:val="00731BFD"/>
    <w:rsid w:val="00731EBD"/>
    <w:rsid w:val="007327DA"/>
    <w:rsid w:val="00732F1A"/>
    <w:rsid w:val="00733151"/>
    <w:rsid w:val="00733AC8"/>
    <w:rsid w:val="00734638"/>
    <w:rsid w:val="00734A87"/>
    <w:rsid w:val="00734B6A"/>
    <w:rsid w:val="00734CF6"/>
    <w:rsid w:val="00735189"/>
    <w:rsid w:val="007360FB"/>
    <w:rsid w:val="0073661D"/>
    <w:rsid w:val="007366DD"/>
    <w:rsid w:val="007369A0"/>
    <w:rsid w:val="00736AFC"/>
    <w:rsid w:val="00736C69"/>
    <w:rsid w:val="00737B11"/>
    <w:rsid w:val="00737E96"/>
    <w:rsid w:val="00740540"/>
    <w:rsid w:val="00740E6A"/>
    <w:rsid w:val="0074138D"/>
    <w:rsid w:val="007413D9"/>
    <w:rsid w:val="0074150C"/>
    <w:rsid w:val="0074157B"/>
    <w:rsid w:val="007418C4"/>
    <w:rsid w:val="007419AB"/>
    <w:rsid w:val="00741A57"/>
    <w:rsid w:val="00742024"/>
    <w:rsid w:val="00742579"/>
    <w:rsid w:val="00742724"/>
    <w:rsid w:val="007434B4"/>
    <w:rsid w:val="007436F3"/>
    <w:rsid w:val="00743C0A"/>
    <w:rsid w:val="0074407E"/>
    <w:rsid w:val="00744234"/>
    <w:rsid w:val="00744360"/>
    <w:rsid w:val="0074460F"/>
    <w:rsid w:val="007455AC"/>
    <w:rsid w:val="00745685"/>
    <w:rsid w:val="0074593E"/>
    <w:rsid w:val="00745D65"/>
    <w:rsid w:val="007460BC"/>
    <w:rsid w:val="00746586"/>
    <w:rsid w:val="00746E5D"/>
    <w:rsid w:val="0074713B"/>
    <w:rsid w:val="00747190"/>
    <w:rsid w:val="007474E7"/>
    <w:rsid w:val="00747779"/>
    <w:rsid w:val="00747DDA"/>
    <w:rsid w:val="00747F03"/>
    <w:rsid w:val="00747F17"/>
    <w:rsid w:val="00747FF9"/>
    <w:rsid w:val="00750446"/>
    <w:rsid w:val="00750652"/>
    <w:rsid w:val="00751132"/>
    <w:rsid w:val="00751F7C"/>
    <w:rsid w:val="00752130"/>
    <w:rsid w:val="00752A54"/>
    <w:rsid w:val="00753FAF"/>
    <w:rsid w:val="00754243"/>
    <w:rsid w:val="007549C3"/>
    <w:rsid w:val="007556C8"/>
    <w:rsid w:val="00755F77"/>
    <w:rsid w:val="007566E6"/>
    <w:rsid w:val="007567BC"/>
    <w:rsid w:val="007568EE"/>
    <w:rsid w:val="00756BA5"/>
    <w:rsid w:val="00757CD7"/>
    <w:rsid w:val="007601F3"/>
    <w:rsid w:val="007606C3"/>
    <w:rsid w:val="00760956"/>
    <w:rsid w:val="00760E64"/>
    <w:rsid w:val="007611A9"/>
    <w:rsid w:val="007614FE"/>
    <w:rsid w:val="00761683"/>
    <w:rsid w:val="00761C5D"/>
    <w:rsid w:val="00761F02"/>
    <w:rsid w:val="007625AC"/>
    <w:rsid w:val="00762E2D"/>
    <w:rsid w:val="0076306C"/>
    <w:rsid w:val="0076365B"/>
    <w:rsid w:val="0076417A"/>
    <w:rsid w:val="00764532"/>
    <w:rsid w:val="0076478A"/>
    <w:rsid w:val="0076488F"/>
    <w:rsid w:val="00764D7C"/>
    <w:rsid w:val="00764F97"/>
    <w:rsid w:val="00765651"/>
    <w:rsid w:val="00765AED"/>
    <w:rsid w:val="007660B7"/>
    <w:rsid w:val="0076675E"/>
    <w:rsid w:val="0076684A"/>
    <w:rsid w:val="00766FA8"/>
    <w:rsid w:val="00767220"/>
    <w:rsid w:val="007674BB"/>
    <w:rsid w:val="007677E3"/>
    <w:rsid w:val="00767956"/>
    <w:rsid w:val="00767CF5"/>
    <w:rsid w:val="00770298"/>
    <w:rsid w:val="00770851"/>
    <w:rsid w:val="007712CC"/>
    <w:rsid w:val="00771449"/>
    <w:rsid w:val="00771DE6"/>
    <w:rsid w:val="007723AB"/>
    <w:rsid w:val="0077273F"/>
    <w:rsid w:val="0077276B"/>
    <w:rsid w:val="00772DC1"/>
    <w:rsid w:val="0077359B"/>
    <w:rsid w:val="00773929"/>
    <w:rsid w:val="00773EA7"/>
    <w:rsid w:val="00773F40"/>
    <w:rsid w:val="007741AD"/>
    <w:rsid w:val="00774632"/>
    <w:rsid w:val="00774845"/>
    <w:rsid w:val="00774939"/>
    <w:rsid w:val="00774BF7"/>
    <w:rsid w:val="00774FC7"/>
    <w:rsid w:val="00775065"/>
    <w:rsid w:val="0077516A"/>
    <w:rsid w:val="007751D6"/>
    <w:rsid w:val="007752C1"/>
    <w:rsid w:val="0077620D"/>
    <w:rsid w:val="00777B6C"/>
    <w:rsid w:val="00780CB0"/>
    <w:rsid w:val="00780DDA"/>
    <w:rsid w:val="00780E7A"/>
    <w:rsid w:val="0078199F"/>
    <w:rsid w:val="00781B81"/>
    <w:rsid w:val="0078208C"/>
    <w:rsid w:val="007832B7"/>
    <w:rsid w:val="007834A7"/>
    <w:rsid w:val="00783622"/>
    <w:rsid w:val="00783BC4"/>
    <w:rsid w:val="00784247"/>
    <w:rsid w:val="00784380"/>
    <w:rsid w:val="007847B2"/>
    <w:rsid w:val="007856F7"/>
    <w:rsid w:val="007856FB"/>
    <w:rsid w:val="00785952"/>
    <w:rsid w:val="00785D84"/>
    <w:rsid w:val="00786160"/>
    <w:rsid w:val="007865FD"/>
    <w:rsid w:val="00786755"/>
    <w:rsid w:val="00787111"/>
    <w:rsid w:val="00787136"/>
    <w:rsid w:val="0078751B"/>
    <w:rsid w:val="00787713"/>
    <w:rsid w:val="00787B90"/>
    <w:rsid w:val="00787DB1"/>
    <w:rsid w:val="007903A5"/>
    <w:rsid w:val="00790892"/>
    <w:rsid w:val="00790EDD"/>
    <w:rsid w:val="007916D3"/>
    <w:rsid w:val="00791723"/>
    <w:rsid w:val="0079176D"/>
    <w:rsid w:val="0079192B"/>
    <w:rsid w:val="00791D57"/>
    <w:rsid w:val="0079285B"/>
    <w:rsid w:val="007928E2"/>
    <w:rsid w:val="00793305"/>
    <w:rsid w:val="007936B7"/>
    <w:rsid w:val="007938A2"/>
    <w:rsid w:val="00793C99"/>
    <w:rsid w:val="0079429D"/>
    <w:rsid w:val="007946C7"/>
    <w:rsid w:val="007948EB"/>
    <w:rsid w:val="00794959"/>
    <w:rsid w:val="007950FC"/>
    <w:rsid w:val="0079531F"/>
    <w:rsid w:val="0079542D"/>
    <w:rsid w:val="00795C22"/>
    <w:rsid w:val="00795D1A"/>
    <w:rsid w:val="00796100"/>
    <w:rsid w:val="00796F9C"/>
    <w:rsid w:val="007972B8"/>
    <w:rsid w:val="00797518"/>
    <w:rsid w:val="007975C6"/>
    <w:rsid w:val="00797CA2"/>
    <w:rsid w:val="007A003F"/>
    <w:rsid w:val="007A03E9"/>
    <w:rsid w:val="007A052A"/>
    <w:rsid w:val="007A132F"/>
    <w:rsid w:val="007A1965"/>
    <w:rsid w:val="007A1D0B"/>
    <w:rsid w:val="007A1D7F"/>
    <w:rsid w:val="007A1EAE"/>
    <w:rsid w:val="007A2789"/>
    <w:rsid w:val="007A33DB"/>
    <w:rsid w:val="007A35FD"/>
    <w:rsid w:val="007A374F"/>
    <w:rsid w:val="007A3851"/>
    <w:rsid w:val="007A3ABD"/>
    <w:rsid w:val="007A437C"/>
    <w:rsid w:val="007A48D5"/>
    <w:rsid w:val="007A4937"/>
    <w:rsid w:val="007A4B56"/>
    <w:rsid w:val="007A54CF"/>
    <w:rsid w:val="007A5DDD"/>
    <w:rsid w:val="007A69E4"/>
    <w:rsid w:val="007A69F1"/>
    <w:rsid w:val="007A6B90"/>
    <w:rsid w:val="007B00EC"/>
    <w:rsid w:val="007B0338"/>
    <w:rsid w:val="007B042B"/>
    <w:rsid w:val="007B0520"/>
    <w:rsid w:val="007B0D43"/>
    <w:rsid w:val="007B2232"/>
    <w:rsid w:val="007B23F3"/>
    <w:rsid w:val="007B2C11"/>
    <w:rsid w:val="007B3103"/>
    <w:rsid w:val="007B3232"/>
    <w:rsid w:val="007B3A54"/>
    <w:rsid w:val="007B3CDE"/>
    <w:rsid w:val="007B46E7"/>
    <w:rsid w:val="007B4A00"/>
    <w:rsid w:val="007B531F"/>
    <w:rsid w:val="007B5555"/>
    <w:rsid w:val="007B5594"/>
    <w:rsid w:val="007B644C"/>
    <w:rsid w:val="007B65F8"/>
    <w:rsid w:val="007B65FB"/>
    <w:rsid w:val="007B67E5"/>
    <w:rsid w:val="007B6A6D"/>
    <w:rsid w:val="007B6F41"/>
    <w:rsid w:val="007B7AAF"/>
    <w:rsid w:val="007B7CED"/>
    <w:rsid w:val="007C0947"/>
    <w:rsid w:val="007C0C56"/>
    <w:rsid w:val="007C1A3C"/>
    <w:rsid w:val="007C2111"/>
    <w:rsid w:val="007C22C8"/>
    <w:rsid w:val="007C26F4"/>
    <w:rsid w:val="007C27F2"/>
    <w:rsid w:val="007C2C9D"/>
    <w:rsid w:val="007C302F"/>
    <w:rsid w:val="007C3117"/>
    <w:rsid w:val="007C3340"/>
    <w:rsid w:val="007C3562"/>
    <w:rsid w:val="007C36C8"/>
    <w:rsid w:val="007C43D8"/>
    <w:rsid w:val="007C5145"/>
    <w:rsid w:val="007C59E0"/>
    <w:rsid w:val="007C5ABE"/>
    <w:rsid w:val="007C5C1F"/>
    <w:rsid w:val="007C5F6A"/>
    <w:rsid w:val="007C65B5"/>
    <w:rsid w:val="007C66D0"/>
    <w:rsid w:val="007C6AD8"/>
    <w:rsid w:val="007C6ED7"/>
    <w:rsid w:val="007C732C"/>
    <w:rsid w:val="007C76F3"/>
    <w:rsid w:val="007C7DF4"/>
    <w:rsid w:val="007D0885"/>
    <w:rsid w:val="007D1565"/>
    <w:rsid w:val="007D23C8"/>
    <w:rsid w:val="007D2615"/>
    <w:rsid w:val="007D2862"/>
    <w:rsid w:val="007D2943"/>
    <w:rsid w:val="007D30B5"/>
    <w:rsid w:val="007D3205"/>
    <w:rsid w:val="007D348B"/>
    <w:rsid w:val="007D34FA"/>
    <w:rsid w:val="007D35BB"/>
    <w:rsid w:val="007D3A8A"/>
    <w:rsid w:val="007D405F"/>
    <w:rsid w:val="007D41AF"/>
    <w:rsid w:val="007D460B"/>
    <w:rsid w:val="007D4638"/>
    <w:rsid w:val="007D4EAE"/>
    <w:rsid w:val="007D50E3"/>
    <w:rsid w:val="007D57AF"/>
    <w:rsid w:val="007D5C23"/>
    <w:rsid w:val="007D5E16"/>
    <w:rsid w:val="007D5F63"/>
    <w:rsid w:val="007D6E84"/>
    <w:rsid w:val="007D71A8"/>
    <w:rsid w:val="007D749C"/>
    <w:rsid w:val="007D7812"/>
    <w:rsid w:val="007E0252"/>
    <w:rsid w:val="007E0601"/>
    <w:rsid w:val="007E0993"/>
    <w:rsid w:val="007E0E9D"/>
    <w:rsid w:val="007E11D1"/>
    <w:rsid w:val="007E126D"/>
    <w:rsid w:val="007E1305"/>
    <w:rsid w:val="007E13B2"/>
    <w:rsid w:val="007E16F5"/>
    <w:rsid w:val="007E1850"/>
    <w:rsid w:val="007E1DC0"/>
    <w:rsid w:val="007E2174"/>
    <w:rsid w:val="007E22D1"/>
    <w:rsid w:val="007E256E"/>
    <w:rsid w:val="007E2C2B"/>
    <w:rsid w:val="007E2E7A"/>
    <w:rsid w:val="007E2F36"/>
    <w:rsid w:val="007E3355"/>
    <w:rsid w:val="007E34B5"/>
    <w:rsid w:val="007E3B02"/>
    <w:rsid w:val="007E4784"/>
    <w:rsid w:val="007E484A"/>
    <w:rsid w:val="007E4969"/>
    <w:rsid w:val="007E4D7A"/>
    <w:rsid w:val="007E5152"/>
    <w:rsid w:val="007E5BC4"/>
    <w:rsid w:val="007E5D2F"/>
    <w:rsid w:val="007E6291"/>
    <w:rsid w:val="007E6BB1"/>
    <w:rsid w:val="007E6D8E"/>
    <w:rsid w:val="007E75B8"/>
    <w:rsid w:val="007E789D"/>
    <w:rsid w:val="007F16DB"/>
    <w:rsid w:val="007F18CF"/>
    <w:rsid w:val="007F358C"/>
    <w:rsid w:val="007F38DC"/>
    <w:rsid w:val="007F3EC6"/>
    <w:rsid w:val="007F4996"/>
    <w:rsid w:val="007F4DF8"/>
    <w:rsid w:val="007F55E9"/>
    <w:rsid w:val="007F589A"/>
    <w:rsid w:val="007F58AE"/>
    <w:rsid w:val="007F5A41"/>
    <w:rsid w:val="007F5C7E"/>
    <w:rsid w:val="007F5C8A"/>
    <w:rsid w:val="007F6ECA"/>
    <w:rsid w:val="007F77DD"/>
    <w:rsid w:val="007F77E5"/>
    <w:rsid w:val="008006DF"/>
    <w:rsid w:val="00800C27"/>
    <w:rsid w:val="008010AF"/>
    <w:rsid w:val="00801583"/>
    <w:rsid w:val="008019A2"/>
    <w:rsid w:val="00801B24"/>
    <w:rsid w:val="008022FA"/>
    <w:rsid w:val="00802532"/>
    <w:rsid w:val="00802603"/>
    <w:rsid w:val="00802842"/>
    <w:rsid w:val="00802956"/>
    <w:rsid w:val="008029A3"/>
    <w:rsid w:val="00802BDB"/>
    <w:rsid w:val="00802D88"/>
    <w:rsid w:val="0080309B"/>
    <w:rsid w:val="0080329D"/>
    <w:rsid w:val="00803504"/>
    <w:rsid w:val="00803955"/>
    <w:rsid w:val="008041E9"/>
    <w:rsid w:val="00804854"/>
    <w:rsid w:val="00804CAB"/>
    <w:rsid w:val="0080530F"/>
    <w:rsid w:val="00805524"/>
    <w:rsid w:val="00805B8A"/>
    <w:rsid w:val="00805C4E"/>
    <w:rsid w:val="00805E68"/>
    <w:rsid w:val="00806056"/>
    <w:rsid w:val="00806542"/>
    <w:rsid w:val="00806D23"/>
    <w:rsid w:val="00807280"/>
    <w:rsid w:val="00807527"/>
    <w:rsid w:val="008075D4"/>
    <w:rsid w:val="00807B3E"/>
    <w:rsid w:val="008100B3"/>
    <w:rsid w:val="008107C5"/>
    <w:rsid w:val="00810B1B"/>
    <w:rsid w:val="00811559"/>
    <w:rsid w:val="0081156F"/>
    <w:rsid w:val="00811996"/>
    <w:rsid w:val="00812434"/>
    <w:rsid w:val="008131CC"/>
    <w:rsid w:val="008137E0"/>
    <w:rsid w:val="00813AF3"/>
    <w:rsid w:val="008144FA"/>
    <w:rsid w:val="00814617"/>
    <w:rsid w:val="00814F1A"/>
    <w:rsid w:val="00815685"/>
    <w:rsid w:val="00816457"/>
    <w:rsid w:val="008168BB"/>
    <w:rsid w:val="00816A3B"/>
    <w:rsid w:val="008171F2"/>
    <w:rsid w:val="008205E0"/>
    <w:rsid w:val="00820C24"/>
    <w:rsid w:val="00820F0C"/>
    <w:rsid w:val="0082141B"/>
    <w:rsid w:val="00821980"/>
    <w:rsid w:val="00821AA9"/>
    <w:rsid w:val="0082217A"/>
    <w:rsid w:val="0082253F"/>
    <w:rsid w:val="00822CD9"/>
    <w:rsid w:val="008238F0"/>
    <w:rsid w:val="00823B5F"/>
    <w:rsid w:val="00823C0D"/>
    <w:rsid w:val="00824854"/>
    <w:rsid w:val="00824B7E"/>
    <w:rsid w:val="00825773"/>
    <w:rsid w:val="00825E4E"/>
    <w:rsid w:val="00826848"/>
    <w:rsid w:val="00826A07"/>
    <w:rsid w:val="00826F9A"/>
    <w:rsid w:val="00826FDC"/>
    <w:rsid w:val="00827563"/>
    <w:rsid w:val="00830FB8"/>
    <w:rsid w:val="00831564"/>
    <w:rsid w:val="00831C14"/>
    <w:rsid w:val="00831D34"/>
    <w:rsid w:val="00831FAC"/>
    <w:rsid w:val="008327F1"/>
    <w:rsid w:val="008334D2"/>
    <w:rsid w:val="0083358D"/>
    <w:rsid w:val="00833685"/>
    <w:rsid w:val="00834233"/>
    <w:rsid w:val="008343D7"/>
    <w:rsid w:val="008348A7"/>
    <w:rsid w:val="00834DF7"/>
    <w:rsid w:val="008352FA"/>
    <w:rsid w:val="00835D17"/>
    <w:rsid w:val="00835EE9"/>
    <w:rsid w:val="008368A0"/>
    <w:rsid w:val="00836A3B"/>
    <w:rsid w:val="00836F22"/>
    <w:rsid w:val="00837704"/>
    <w:rsid w:val="00837B71"/>
    <w:rsid w:val="0084090C"/>
    <w:rsid w:val="00840AB2"/>
    <w:rsid w:val="00840CA3"/>
    <w:rsid w:val="0084112A"/>
    <w:rsid w:val="008415B0"/>
    <w:rsid w:val="008417A5"/>
    <w:rsid w:val="00841921"/>
    <w:rsid w:val="00842D56"/>
    <w:rsid w:val="00842D8E"/>
    <w:rsid w:val="00842E9B"/>
    <w:rsid w:val="00843F27"/>
    <w:rsid w:val="00844573"/>
    <w:rsid w:val="00844575"/>
    <w:rsid w:val="00844C56"/>
    <w:rsid w:val="00845C17"/>
    <w:rsid w:val="00845F6A"/>
    <w:rsid w:val="0084611A"/>
    <w:rsid w:val="008464F0"/>
    <w:rsid w:val="00846C2C"/>
    <w:rsid w:val="00846EBA"/>
    <w:rsid w:val="008479E9"/>
    <w:rsid w:val="00847FEC"/>
    <w:rsid w:val="008500A4"/>
    <w:rsid w:val="0085083E"/>
    <w:rsid w:val="0085129C"/>
    <w:rsid w:val="00851A12"/>
    <w:rsid w:val="00851EDD"/>
    <w:rsid w:val="00852498"/>
    <w:rsid w:val="00852675"/>
    <w:rsid w:val="00852853"/>
    <w:rsid w:val="00853251"/>
    <w:rsid w:val="00853F38"/>
    <w:rsid w:val="00854301"/>
    <w:rsid w:val="0085464D"/>
    <w:rsid w:val="0085532F"/>
    <w:rsid w:val="0085558B"/>
    <w:rsid w:val="008558C2"/>
    <w:rsid w:val="00855B7E"/>
    <w:rsid w:val="00856082"/>
    <w:rsid w:val="00856272"/>
    <w:rsid w:val="008565B6"/>
    <w:rsid w:val="008567F2"/>
    <w:rsid w:val="008570AA"/>
    <w:rsid w:val="008576F7"/>
    <w:rsid w:val="00857ABB"/>
    <w:rsid w:val="00860E07"/>
    <w:rsid w:val="008613AD"/>
    <w:rsid w:val="00861658"/>
    <w:rsid w:val="0086223C"/>
    <w:rsid w:val="00862AC9"/>
    <w:rsid w:val="00862C97"/>
    <w:rsid w:val="00862E2B"/>
    <w:rsid w:val="0086301E"/>
    <w:rsid w:val="00863443"/>
    <w:rsid w:val="008635E8"/>
    <w:rsid w:val="00863896"/>
    <w:rsid w:val="00863B73"/>
    <w:rsid w:val="00864090"/>
    <w:rsid w:val="0086474F"/>
    <w:rsid w:val="00864866"/>
    <w:rsid w:val="00865E8E"/>
    <w:rsid w:val="00865FC0"/>
    <w:rsid w:val="00865FEB"/>
    <w:rsid w:val="0086635F"/>
    <w:rsid w:val="0086659F"/>
    <w:rsid w:val="008668D8"/>
    <w:rsid w:val="00866B3B"/>
    <w:rsid w:val="0086723F"/>
    <w:rsid w:val="00867F3B"/>
    <w:rsid w:val="00870254"/>
    <w:rsid w:val="008706F9"/>
    <w:rsid w:val="00870904"/>
    <w:rsid w:val="00871BBB"/>
    <w:rsid w:val="00872A5E"/>
    <w:rsid w:val="00873159"/>
    <w:rsid w:val="0087368D"/>
    <w:rsid w:val="00873CDE"/>
    <w:rsid w:val="0087411D"/>
    <w:rsid w:val="00874124"/>
    <w:rsid w:val="0087452E"/>
    <w:rsid w:val="00874C18"/>
    <w:rsid w:val="008753CE"/>
    <w:rsid w:val="00875458"/>
    <w:rsid w:val="00875CFC"/>
    <w:rsid w:val="00876925"/>
    <w:rsid w:val="00876D9C"/>
    <w:rsid w:val="00876E0C"/>
    <w:rsid w:val="00877941"/>
    <w:rsid w:val="0088016F"/>
    <w:rsid w:val="00880359"/>
    <w:rsid w:val="0088062D"/>
    <w:rsid w:val="00880775"/>
    <w:rsid w:val="0088093C"/>
    <w:rsid w:val="00880C22"/>
    <w:rsid w:val="008813ED"/>
    <w:rsid w:val="00881408"/>
    <w:rsid w:val="0088206F"/>
    <w:rsid w:val="008821CE"/>
    <w:rsid w:val="00882419"/>
    <w:rsid w:val="00882656"/>
    <w:rsid w:val="008828A3"/>
    <w:rsid w:val="00882AC4"/>
    <w:rsid w:val="00882C3A"/>
    <w:rsid w:val="00882E59"/>
    <w:rsid w:val="00882F88"/>
    <w:rsid w:val="00882FBB"/>
    <w:rsid w:val="008836B3"/>
    <w:rsid w:val="00883835"/>
    <w:rsid w:val="00883BBB"/>
    <w:rsid w:val="00884527"/>
    <w:rsid w:val="00885359"/>
    <w:rsid w:val="00885429"/>
    <w:rsid w:val="00885679"/>
    <w:rsid w:val="00885C46"/>
    <w:rsid w:val="00886054"/>
    <w:rsid w:val="008861F4"/>
    <w:rsid w:val="008862FF"/>
    <w:rsid w:val="00886368"/>
    <w:rsid w:val="008863AF"/>
    <w:rsid w:val="0088661D"/>
    <w:rsid w:val="00886FAE"/>
    <w:rsid w:val="008873BC"/>
    <w:rsid w:val="00887570"/>
    <w:rsid w:val="0088767A"/>
    <w:rsid w:val="0088784B"/>
    <w:rsid w:val="00887EF2"/>
    <w:rsid w:val="00887F50"/>
    <w:rsid w:val="00890D94"/>
    <w:rsid w:val="00891296"/>
    <w:rsid w:val="00891C65"/>
    <w:rsid w:val="00891F39"/>
    <w:rsid w:val="008926BA"/>
    <w:rsid w:val="00892D2C"/>
    <w:rsid w:val="008931E4"/>
    <w:rsid w:val="00893531"/>
    <w:rsid w:val="00893542"/>
    <w:rsid w:val="008935DC"/>
    <w:rsid w:val="008952DA"/>
    <w:rsid w:val="00895D20"/>
    <w:rsid w:val="008961A9"/>
    <w:rsid w:val="00896491"/>
    <w:rsid w:val="00896516"/>
    <w:rsid w:val="00896C8F"/>
    <w:rsid w:val="008974AC"/>
    <w:rsid w:val="00897720"/>
    <w:rsid w:val="008978AE"/>
    <w:rsid w:val="008A0865"/>
    <w:rsid w:val="008A0E68"/>
    <w:rsid w:val="008A13FF"/>
    <w:rsid w:val="008A1A5C"/>
    <w:rsid w:val="008A1CC1"/>
    <w:rsid w:val="008A1E03"/>
    <w:rsid w:val="008A35E0"/>
    <w:rsid w:val="008A36DB"/>
    <w:rsid w:val="008A400C"/>
    <w:rsid w:val="008A4564"/>
    <w:rsid w:val="008A583D"/>
    <w:rsid w:val="008A5A69"/>
    <w:rsid w:val="008A62B9"/>
    <w:rsid w:val="008A6399"/>
    <w:rsid w:val="008A64F6"/>
    <w:rsid w:val="008A65BF"/>
    <w:rsid w:val="008A664A"/>
    <w:rsid w:val="008A6C2A"/>
    <w:rsid w:val="008A7369"/>
    <w:rsid w:val="008A7491"/>
    <w:rsid w:val="008A74DB"/>
    <w:rsid w:val="008A7562"/>
    <w:rsid w:val="008A75A2"/>
    <w:rsid w:val="008B053E"/>
    <w:rsid w:val="008B064A"/>
    <w:rsid w:val="008B09BE"/>
    <w:rsid w:val="008B0CF2"/>
    <w:rsid w:val="008B14BA"/>
    <w:rsid w:val="008B1B8B"/>
    <w:rsid w:val="008B2F0F"/>
    <w:rsid w:val="008B34C3"/>
    <w:rsid w:val="008B34F4"/>
    <w:rsid w:val="008B35FF"/>
    <w:rsid w:val="008B3914"/>
    <w:rsid w:val="008B3B34"/>
    <w:rsid w:val="008B44DB"/>
    <w:rsid w:val="008B4ECD"/>
    <w:rsid w:val="008B55B0"/>
    <w:rsid w:val="008B685F"/>
    <w:rsid w:val="008B6C99"/>
    <w:rsid w:val="008B6CE4"/>
    <w:rsid w:val="008B6E05"/>
    <w:rsid w:val="008B6EF6"/>
    <w:rsid w:val="008B7925"/>
    <w:rsid w:val="008B79E4"/>
    <w:rsid w:val="008B7BB3"/>
    <w:rsid w:val="008B7C50"/>
    <w:rsid w:val="008B7C74"/>
    <w:rsid w:val="008B7E9E"/>
    <w:rsid w:val="008C008E"/>
    <w:rsid w:val="008C00B2"/>
    <w:rsid w:val="008C051E"/>
    <w:rsid w:val="008C0570"/>
    <w:rsid w:val="008C09AB"/>
    <w:rsid w:val="008C1223"/>
    <w:rsid w:val="008C235C"/>
    <w:rsid w:val="008C2438"/>
    <w:rsid w:val="008C27B4"/>
    <w:rsid w:val="008C2834"/>
    <w:rsid w:val="008C29DE"/>
    <w:rsid w:val="008C29FA"/>
    <w:rsid w:val="008C2DE1"/>
    <w:rsid w:val="008C3000"/>
    <w:rsid w:val="008C3428"/>
    <w:rsid w:val="008C3697"/>
    <w:rsid w:val="008C3A07"/>
    <w:rsid w:val="008C3C0B"/>
    <w:rsid w:val="008C41AF"/>
    <w:rsid w:val="008C47C2"/>
    <w:rsid w:val="008C56A5"/>
    <w:rsid w:val="008C59E1"/>
    <w:rsid w:val="008C59E3"/>
    <w:rsid w:val="008C6085"/>
    <w:rsid w:val="008C70F8"/>
    <w:rsid w:val="008C7166"/>
    <w:rsid w:val="008C7242"/>
    <w:rsid w:val="008C7964"/>
    <w:rsid w:val="008C7F04"/>
    <w:rsid w:val="008D0638"/>
    <w:rsid w:val="008D0C02"/>
    <w:rsid w:val="008D12ED"/>
    <w:rsid w:val="008D1630"/>
    <w:rsid w:val="008D1F0B"/>
    <w:rsid w:val="008D201F"/>
    <w:rsid w:val="008D2272"/>
    <w:rsid w:val="008D272F"/>
    <w:rsid w:val="008D27BC"/>
    <w:rsid w:val="008D3299"/>
    <w:rsid w:val="008D3674"/>
    <w:rsid w:val="008D3FC4"/>
    <w:rsid w:val="008D4195"/>
    <w:rsid w:val="008D499A"/>
    <w:rsid w:val="008D4A08"/>
    <w:rsid w:val="008D4DA3"/>
    <w:rsid w:val="008D5A64"/>
    <w:rsid w:val="008D5FE8"/>
    <w:rsid w:val="008D6152"/>
    <w:rsid w:val="008D63C6"/>
    <w:rsid w:val="008D6464"/>
    <w:rsid w:val="008D6807"/>
    <w:rsid w:val="008D71E1"/>
    <w:rsid w:val="008D7583"/>
    <w:rsid w:val="008E02F3"/>
    <w:rsid w:val="008E0DF0"/>
    <w:rsid w:val="008E0FFF"/>
    <w:rsid w:val="008E1683"/>
    <w:rsid w:val="008E16F9"/>
    <w:rsid w:val="008E1B2E"/>
    <w:rsid w:val="008E1DF2"/>
    <w:rsid w:val="008E2413"/>
    <w:rsid w:val="008E28A0"/>
    <w:rsid w:val="008E2ACA"/>
    <w:rsid w:val="008E2E02"/>
    <w:rsid w:val="008E3392"/>
    <w:rsid w:val="008E36A3"/>
    <w:rsid w:val="008E3786"/>
    <w:rsid w:val="008E3A93"/>
    <w:rsid w:val="008E3C1A"/>
    <w:rsid w:val="008E40EB"/>
    <w:rsid w:val="008E4ED5"/>
    <w:rsid w:val="008E6566"/>
    <w:rsid w:val="008E6C01"/>
    <w:rsid w:val="008E6DFB"/>
    <w:rsid w:val="008E6E9F"/>
    <w:rsid w:val="008E6FC3"/>
    <w:rsid w:val="008E76A7"/>
    <w:rsid w:val="008E7FAF"/>
    <w:rsid w:val="008F06ED"/>
    <w:rsid w:val="008F0CD0"/>
    <w:rsid w:val="008F0E77"/>
    <w:rsid w:val="008F1C57"/>
    <w:rsid w:val="008F2236"/>
    <w:rsid w:val="008F2C64"/>
    <w:rsid w:val="008F3308"/>
    <w:rsid w:val="008F3D80"/>
    <w:rsid w:val="008F53FE"/>
    <w:rsid w:val="008F5533"/>
    <w:rsid w:val="008F5628"/>
    <w:rsid w:val="008F587E"/>
    <w:rsid w:val="008F63FC"/>
    <w:rsid w:val="008F6500"/>
    <w:rsid w:val="008F73EE"/>
    <w:rsid w:val="009002F4"/>
    <w:rsid w:val="00900A7C"/>
    <w:rsid w:val="009013C4"/>
    <w:rsid w:val="00901406"/>
    <w:rsid w:val="00901880"/>
    <w:rsid w:val="00901DE3"/>
    <w:rsid w:val="00901F5B"/>
    <w:rsid w:val="0090312E"/>
    <w:rsid w:val="00903231"/>
    <w:rsid w:val="0090323D"/>
    <w:rsid w:val="00903285"/>
    <w:rsid w:val="0090365C"/>
    <w:rsid w:val="00903805"/>
    <w:rsid w:val="009040DE"/>
    <w:rsid w:val="00904101"/>
    <w:rsid w:val="00904ED7"/>
    <w:rsid w:val="00904FDD"/>
    <w:rsid w:val="009051AD"/>
    <w:rsid w:val="009051CE"/>
    <w:rsid w:val="009055CB"/>
    <w:rsid w:val="00905AB9"/>
    <w:rsid w:val="00905D1C"/>
    <w:rsid w:val="00905E97"/>
    <w:rsid w:val="009064A0"/>
    <w:rsid w:val="009069C0"/>
    <w:rsid w:val="00906D56"/>
    <w:rsid w:val="009073B7"/>
    <w:rsid w:val="00907562"/>
    <w:rsid w:val="0090766C"/>
    <w:rsid w:val="00907AEF"/>
    <w:rsid w:val="009104BE"/>
    <w:rsid w:val="00910DA0"/>
    <w:rsid w:val="00910DE0"/>
    <w:rsid w:val="00910F38"/>
    <w:rsid w:val="00910FB9"/>
    <w:rsid w:val="0091102F"/>
    <w:rsid w:val="00912DD4"/>
    <w:rsid w:val="009130C4"/>
    <w:rsid w:val="009138A1"/>
    <w:rsid w:val="00913D07"/>
    <w:rsid w:val="00913D38"/>
    <w:rsid w:val="00913D48"/>
    <w:rsid w:val="00913E7B"/>
    <w:rsid w:val="0091400A"/>
    <w:rsid w:val="00914055"/>
    <w:rsid w:val="009143E2"/>
    <w:rsid w:val="009145F2"/>
    <w:rsid w:val="00915146"/>
    <w:rsid w:val="00915520"/>
    <w:rsid w:val="00915C2A"/>
    <w:rsid w:val="00915DAA"/>
    <w:rsid w:val="00916580"/>
    <w:rsid w:val="009169E3"/>
    <w:rsid w:val="0091715D"/>
    <w:rsid w:val="0091746D"/>
    <w:rsid w:val="009179EE"/>
    <w:rsid w:val="00917B30"/>
    <w:rsid w:val="00920279"/>
    <w:rsid w:val="00921556"/>
    <w:rsid w:val="009216B7"/>
    <w:rsid w:val="009217FC"/>
    <w:rsid w:val="0092181D"/>
    <w:rsid w:val="00921C52"/>
    <w:rsid w:val="009220E1"/>
    <w:rsid w:val="009226FF"/>
    <w:rsid w:val="009227DF"/>
    <w:rsid w:val="00922BF1"/>
    <w:rsid w:val="00922DDF"/>
    <w:rsid w:val="00923163"/>
    <w:rsid w:val="0092334C"/>
    <w:rsid w:val="0092412A"/>
    <w:rsid w:val="00925033"/>
    <w:rsid w:val="0092516A"/>
    <w:rsid w:val="009258D3"/>
    <w:rsid w:val="00925D08"/>
    <w:rsid w:val="00925E0F"/>
    <w:rsid w:val="00926D97"/>
    <w:rsid w:val="00926E98"/>
    <w:rsid w:val="0092758B"/>
    <w:rsid w:val="0093049E"/>
    <w:rsid w:val="00930A54"/>
    <w:rsid w:val="00930D30"/>
    <w:rsid w:val="0093120D"/>
    <w:rsid w:val="00932D24"/>
    <w:rsid w:val="00933044"/>
    <w:rsid w:val="00933514"/>
    <w:rsid w:val="009337DC"/>
    <w:rsid w:val="00933947"/>
    <w:rsid w:val="00933EED"/>
    <w:rsid w:val="00934305"/>
    <w:rsid w:val="0093449D"/>
    <w:rsid w:val="0093506C"/>
    <w:rsid w:val="009350E8"/>
    <w:rsid w:val="00935DBD"/>
    <w:rsid w:val="009362D5"/>
    <w:rsid w:val="00937107"/>
    <w:rsid w:val="0093744F"/>
    <w:rsid w:val="00937EE3"/>
    <w:rsid w:val="009407E9"/>
    <w:rsid w:val="00940A57"/>
    <w:rsid w:val="00940AB2"/>
    <w:rsid w:val="009411F6"/>
    <w:rsid w:val="00941A0B"/>
    <w:rsid w:val="00941B44"/>
    <w:rsid w:val="0094222D"/>
    <w:rsid w:val="009433DC"/>
    <w:rsid w:val="0094386E"/>
    <w:rsid w:val="009438E2"/>
    <w:rsid w:val="00943CE1"/>
    <w:rsid w:val="00943D25"/>
    <w:rsid w:val="00943F2F"/>
    <w:rsid w:val="009440E8"/>
    <w:rsid w:val="009443C3"/>
    <w:rsid w:val="0094476B"/>
    <w:rsid w:val="00944F45"/>
    <w:rsid w:val="00944F76"/>
    <w:rsid w:val="00945FCD"/>
    <w:rsid w:val="00946567"/>
    <w:rsid w:val="00946DE6"/>
    <w:rsid w:val="009471C8"/>
    <w:rsid w:val="00947D1D"/>
    <w:rsid w:val="0095022B"/>
    <w:rsid w:val="009505AF"/>
    <w:rsid w:val="00950768"/>
    <w:rsid w:val="0095113F"/>
    <w:rsid w:val="00951665"/>
    <w:rsid w:val="00951E05"/>
    <w:rsid w:val="009523BC"/>
    <w:rsid w:val="0095283A"/>
    <w:rsid w:val="009530CA"/>
    <w:rsid w:val="00953295"/>
    <w:rsid w:val="009533D4"/>
    <w:rsid w:val="009536C0"/>
    <w:rsid w:val="00953D13"/>
    <w:rsid w:val="00954213"/>
    <w:rsid w:val="0095551E"/>
    <w:rsid w:val="0095569C"/>
    <w:rsid w:val="009557E6"/>
    <w:rsid w:val="0095582A"/>
    <w:rsid w:val="00955A0A"/>
    <w:rsid w:val="00956181"/>
    <w:rsid w:val="009564EA"/>
    <w:rsid w:val="00956792"/>
    <w:rsid w:val="00956B12"/>
    <w:rsid w:val="0095759B"/>
    <w:rsid w:val="009575AE"/>
    <w:rsid w:val="0096037C"/>
    <w:rsid w:val="009605C3"/>
    <w:rsid w:val="00960AEF"/>
    <w:rsid w:val="00960D2C"/>
    <w:rsid w:val="00963438"/>
    <w:rsid w:val="00963AE9"/>
    <w:rsid w:val="00963B0D"/>
    <w:rsid w:val="00964404"/>
    <w:rsid w:val="00964B6A"/>
    <w:rsid w:val="009650DB"/>
    <w:rsid w:val="00965858"/>
    <w:rsid w:val="00965FDB"/>
    <w:rsid w:val="009663CE"/>
    <w:rsid w:val="00966666"/>
    <w:rsid w:val="00966A87"/>
    <w:rsid w:val="00967241"/>
    <w:rsid w:val="00967291"/>
    <w:rsid w:val="00967638"/>
    <w:rsid w:val="00967B29"/>
    <w:rsid w:val="00967D7E"/>
    <w:rsid w:val="00967EB5"/>
    <w:rsid w:val="0097012A"/>
    <w:rsid w:val="0097016E"/>
    <w:rsid w:val="00970409"/>
    <w:rsid w:val="0097053B"/>
    <w:rsid w:val="009716E8"/>
    <w:rsid w:val="0097194C"/>
    <w:rsid w:val="009719AC"/>
    <w:rsid w:val="00972C25"/>
    <w:rsid w:val="0097371B"/>
    <w:rsid w:val="00973AC9"/>
    <w:rsid w:val="009744F6"/>
    <w:rsid w:val="0097452C"/>
    <w:rsid w:val="00974D37"/>
    <w:rsid w:val="00974E44"/>
    <w:rsid w:val="00975BB0"/>
    <w:rsid w:val="009762B2"/>
    <w:rsid w:val="009764A4"/>
    <w:rsid w:val="009766E3"/>
    <w:rsid w:val="00976AE2"/>
    <w:rsid w:val="009771AA"/>
    <w:rsid w:val="009772B5"/>
    <w:rsid w:val="00977D28"/>
    <w:rsid w:val="009801F0"/>
    <w:rsid w:val="00980724"/>
    <w:rsid w:val="009808B0"/>
    <w:rsid w:val="00980A7E"/>
    <w:rsid w:val="0098151F"/>
    <w:rsid w:val="00981931"/>
    <w:rsid w:val="00981E49"/>
    <w:rsid w:val="0098227B"/>
    <w:rsid w:val="009822D7"/>
    <w:rsid w:val="009822F0"/>
    <w:rsid w:val="00983A67"/>
    <w:rsid w:val="00983E17"/>
    <w:rsid w:val="00983E55"/>
    <w:rsid w:val="009845F0"/>
    <w:rsid w:val="00984DC9"/>
    <w:rsid w:val="00985AA7"/>
    <w:rsid w:val="009864CF"/>
    <w:rsid w:val="009868D4"/>
    <w:rsid w:val="009871B6"/>
    <w:rsid w:val="0099031D"/>
    <w:rsid w:val="009909C3"/>
    <w:rsid w:val="00990AFE"/>
    <w:rsid w:val="00990E27"/>
    <w:rsid w:val="0099166B"/>
    <w:rsid w:val="00991EB4"/>
    <w:rsid w:val="00991FA8"/>
    <w:rsid w:val="00991FF1"/>
    <w:rsid w:val="009920CF"/>
    <w:rsid w:val="009920D7"/>
    <w:rsid w:val="009923F4"/>
    <w:rsid w:val="009928A8"/>
    <w:rsid w:val="00992BAF"/>
    <w:rsid w:val="00992E7A"/>
    <w:rsid w:val="00992F43"/>
    <w:rsid w:val="00993871"/>
    <w:rsid w:val="009939D5"/>
    <w:rsid w:val="00993AF3"/>
    <w:rsid w:val="00994481"/>
    <w:rsid w:val="00994B0B"/>
    <w:rsid w:val="00994C2B"/>
    <w:rsid w:val="00994DAF"/>
    <w:rsid w:val="009954E1"/>
    <w:rsid w:val="0099658D"/>
    <w:rsid w:val="00996896"/>
    <w:rsid w:val="00996B4D"/>
    <w:rsid w:val="00996D0D"/>
    <w:rsid w:val="00997438"/>
    <w:rsid w:val="00997EFC"/>
    <w:rsid w:val="00997F61"/>
    <w:rsid w:val="009A0AA3"/>
    <w:rsid w:val="009A0EAF"/>
    <w:rsid w:val="009A16EF"/>
    <w:rsid w:val="009A1BBD"/>
    <w:rsid w:val="009A1E6B"/>
    <w:rsid w:val="009A2CBF"/>
    <w:rsid w:val="009A2F50"/>
    <w:rsid w:val="009A30BF"/>
    <w:rsid w:val="009A3F9F"/>
    <w:rsid w:val="009A4122"/>
    <w:rsid w:val="009A41E8"/>
    <w:rsid w:val="009A430E"/>
    <w:rsid w:val="009A4C47"/>
    <w:rsid w:val="009A5E9C"/>
    <w:rsid w:val="009A636D"/>
    <w:rsid w:val="009A7525"/>
    <w:rsid w:val="009A7664"/>
    <w:rsid w:val="009A7D1E"/>
    <w:rsid w:val="009A7FB8"/>
    <w:rsid w:val="009B0013"/>
    <w:rsid w:val="009B06BC"/>
    <w:rsid w:val="009B0AC2"/>
    <w:rsid w:val="009B1169"/>
    <w:rsid w:val="009B1687"/>
    <w:rsid w:val="009B199F"/>
    <w:rsid w:val="009B1A52"/>
    <w:rsid w:val="009B1F47"/>
    <w:rsid w:val="009B2B6A"/>
    <w:rsid w:val="009B327E"/>
    <w:rsid w:val="009B339A"/>
    <w:rsid w:val="009B3680"/>
    <w:rsid w:val="009B45AF"/>
    <w:rsid w:val="009B4D71"/>
    <w:rsid w:val="009B56E8"/>
    <w:rsid w:val="009B5B45"/>
    <w:rsid w:val="009B5BC8"/>
    <w:rsid w:val="009B5BE2"/>
    <w:rsid w:val="009C0833"/>
    <w:rsid w:val="009C0E00"/>
    <w:rsid w:val="009C0F35"/>
    <w:rsid w:val="009C0FE9"/>
    <w:rsid w:val="009C120F"/>
    <w:rsid w:val="009C1AA2"/>
    <w:rsid w:val="009C29F4"/>
    <w:rsid w:val="009C2F1E"/>
    <w:rsid w:val="009C39BD"/>
    <w:rsid w:val="009C3B7B"/>
    <w:rsid w:val="009C4BFC"/>
    <w:rsid w:val="009C4D4F"/>
    <w:rsid w:val="009C4D72"/>
    <w:rsid w:val="009C5BD4"/>
    <w:rsid w:val="009C61C2"/>
    <w:rsid w:val="009C6577"/>
    <w:rsid w:val="009C6C88"/>
    <w:rsid w:val="009C7D08"/>
    <w:rsid w:val="009C7F22"/>
    <w:rsid w:val="009D0037"/>
    <w:rsid w:val="009D04B8"/>
    <w:rsid w:val="009D09B9"/>
    <w:rsid w:val="009D09C4"/>
    <w:rsid w:val="009D09F3"/>
    <w:rsid w:val="009D16E0"/>
    <w:rsid w:val="009D1D8B"/>
    <w:rsid w:val="009D33A0"/>
    <w:rsid w:val="009D37BF"/>
    <w:rsid w:val="009D38AA"/>
    <w:rsid w:val="009D4AB1"/>
    <w:rsid w:val="009D50A9"/>
    <w:rsid w:val="009D574F"/>
    <w:rsid w:val="009D613A"/>
    <w:rsid w:val="009D6496"/>
    <w:rsid w:val="009D6B90"/>
    <w:rsid w:val="009D7095"/>
    <w:rsid w:val="009D7DD4"/>
    <w:rsid w:val="009E000B"/>
    <w:rsid w:val="009E04AF"/>
    <w:rsid w:val="009E06F9"/>
    <w:rsid w:val="009E0B1C"/>
    <w:rsid w:val="009E16BD"/>
    <w:rsid w:val="009E2472"/>
    <w:rsid w:val="009E2B70"/>
    <w:rsid w:val="009E3265"/>
    <w:rsid w:val="009E4334"/>
    <w:rsid w:val="009E4A6F"/>
    <w:rsid w:val="009E5ABF"/>
    <w:rsid w:val="009E5BB5"/>
    <w:rsid w:val="009E655F"/>
    <w:rsid w:val="009E6986"/>
    <w:rsid w:val="009E69CC"/>
    <w:rsid w:val="009E6AD0"/>
    <w:rsid w:val="009F01F0"/>
    <w:rsid w:val="009F0680"/>
    <w:rsid w:val="009F091E"/>
    <w:rsid w:val="009F09DD"/>
    <w:rsid w:val="009F0F57"/>
    <w:rsid w:val="009F1A29"/>
    <w:rsid w:val="009F2DE7"/>
    <w:rsid w:val="009F305A"/>
    <w:rsid w:val="009F33E9"/>
    <w:rsid w:val="009F3AA7"/>
    <w:rsid w:val="009F3C62"/>
    <w:rsid w:val="009F494D"/>
    <w:rsid w:val="009F4E31"/>
    <w:rsid w:val="009F508B"/>
    <w:rsid w:val="009F5125"/>
    <w:rsid w:val="009F51BF"/>
    <w:rsid w:val="009F62D2"/>
    <w:rsid w:val="009F6612"/>
    <w:rsid w:val="009F7394"/>
    <w:rsid w:val="009F75B7"/>
    <w:rsid w:val="009F7B8B"/>
    <w:rsid w:val="009F7FB0"/>
    <w:rsid w:val="00A00A59"/>
    <w:rsid w:val="00A00D61"/>
    <w:rsid w:val="00A00FE5"/>
    <w:rsid w:val="00A0151D"/>
    <w:rsid w:val="00A01670"/>
    <w:rsid w:val="00A02098"/>
    <w:rsid w:val="00A025C8"/>
    <w:rsid w:val="00A02852"/>
    <w:rsid w:val="00A028F2"/>
    <w:rsid w:val="00A02EAA"/>
    <w:rsid w:val="00A035B6"/>
    <w:rsid w:val="00A0366B"/>
    <w:rsid w:val="00A0415A"/>
    <w:rsid w:val="00A0440E"/>
    <w:rsid w:val="00A0472D"/>
    <w:rsid w:val="00A055A2"/>
    <w:rsid w:val="00A0570C"/>
    <w:rsid w:val="00A05BDC"/>
    <w:rsid w:val="00A05D27"/>
    <w:rsid w:val="00A05E8F"/>
    <w:rsid w:val="00A06185"/>
    <w:rsid w:val="00A061E2"/>
    <w:rsid w:val="00A068BD"/>
    <w:rsid w:val="00A06A54"/>
    <w:rsid w:val="00A079C5"/>
    <w:rsid w:val="00A101C8"/>
    <w:rsid w:val="00A1029D"/>
    <w:rsid w:val="00A1038C"/>
    <w:rsid w:val="00A103AA"/>
    <w:rsid w:val="00A10993"/>
    <w:rsid w:val="00A10DF5"/>
    <w:rsid w:val="00A116D4"/>
    <w:rsid w:val="00A118FA"/>
    <w:rsid w:val="00A11C65"/>
    <w:rsid w:val="00A1238E"/>
    <w:rsid w:val="00A12ACF"/>
    <w:rsid w:val="00A147BA"/>
    <w:rsid w:val="00A14CE3"/>
    <w:rsid w:val="00A14F25"/>
    <w:rsid w:val="00A150CD"/>
    <w:rsid w:val="00A1513D"/>
    <w:rsid w:val="00A15463"/>
    <w:rsid w:val="00A15B33"/>
    <w:rsid w:val="00A16141"/>
    <w:rsid w:val="00A165AD"/>
    <w:rsid w:val="00A16606"/>
    <w:rsid w:val="00A17698"/>
    <w:rsid w:val="00A17EF3"/>
    <w:rsid w:val="00A20365"/>
    <w:rsid w:val="00A205C3"/>
    <w:rsid w:val="00A20861"/>
    <w:rsid w:val="00A2099A"/>
    <w:rsid w:val="00A20DB6"/>
    <w:rsid w:val="00A20FFF"/>
    <w:rsid w:val="00A21336"/>
    <w:rsid w:val="00A2140E"/>
    <w:rsid w:val="00A21A8D"/>
    <w:rsid w:val="00A21B37"/>
    <w:rsid w:val="00A21C84"/>
    <w:rsid w:val="00A21F26"/>
    <w:rsid w:val="00A23093"/>
    <w:rsid w:val="00A23123"/>
    <w:rsid w:val="00A23185"/>
    <w:rsid w:val="00A2364B"/>
    <w:rsid w:val="00A23BA2"/>
    <w:rsid w:val="00A23F18"/>
    <w:rsid w:val="00A24CD6"/>
    <w:rsid w:val="00A24F98"/>
    <w:rsid w:val="00A251BE"/>
    <w:rsid w:val="00A2723A"/>
    <w:rsid w:val="00A27620"/>
    <w:rsid w:val="00A2778F"/>
    <w:rsid w:val="00A27870"/>
    <w:rsid w:val="00A3034D"/>
    <w:rsid w:val="00A308A5"/>
    <w:rsid w:val="00A30A94"/>
    <w:rsid w:val="00A30C20"/>
    <w:rsid w:val="00A3113A"/>
    <w:rsid w:val="00A315B6"/>
    <w:rsid w:val="00A31C0C"/>
    <w:rsid w:val="00A31C64"/>
    <w:rsid w:val="00A322B0"/>
    <w:rsid w:val="00A322D3"/>
    <w:rsid w:val="00A32970"/>
    <w:rsid w:val="00A33BF9"/>
    <w:rsid w:val="00A340D8"/>
    <w:rsid w:val="00A345BF"/>
    <w:rsid w:val="00A3526A"/>
    <w:rsid w:val="00A354EC"/>
    <w:rsid w:val="00A35822"/>
    <w:rsid w:val="00A35FA2"/>
    <w:rsid w:val="00A362FD"/>
    <w:rsid w:val="00A364E0"/>
    <w:rsid w:val="00A37133"/>
    <w:rsid w:val="00A3740A"/>
    <w:rsid w:val="00A37C9D"/>
    <w:rsid w:val="00A4003A"/>
    <w:rsid w:val="00A40483"/>
    <w:rsid w:val="00A40786"/>
    <w:rsid w:val="00A40978"/>
    <w:rsid w:val="00A40CC1"/>
    <w:rsid w:val="00A40F70"/>
    <w:rsid w:val="00A410EA"/>
    <w:rsid w:val="00A41D00"/>
    <w:rsid w:val="00A4267E"/>
    <w:rsid w:val="00A426EF"/>
    <w:rsid w:val="00A42F8F"/>
    <w:rsid w:val="00A437F6"/>
    <w:rsid w:val="00A43B14"/>
    <w:rsid w:val="00A43F6D"/>
    <w:rsid w:val="00A4402D"/>
    <w:rsid w:val="00A44AA1"/>
    <w:rsid w:val="00A45119"/>
    <w:rsid w:val="00A45283"/>
    <w:rsid w:val="00A45793"/>
    <w:rsid w:val="00A45D07"/>
    <w:rsid w:val="00A46B17"/>
    <w:rsid w:val="00A46E26"/>
    <w:rsid w:val="00A46F7E"/>
    <w:rsid w:val="00A4789F"/>
    <w:rsid w:val="00A47B85"/>
    <w:rsid w:val="00A50DA5"/>
    <w:rsid w:val="00A50FAD"/>
    <w:rsid w:val="00A513BE"/>
    <w:rsid w:val="00A51651"/>
    <w:rsid w:val="00A51B00"/>
    <w:rsid w:val="00A51C22"/>
    <w:rsid w:val="00A51C7C"/>
    <w:rsid w:val="00A5221E"/>
    <w:rsid w:val="00A528EE"/>
    <w:rsid w:val="00A52C1A"/>
    <w:rsid w:val="00A52E10"/>
    <w:rsid w:val="00A531AF"/>
    <w:rsid w:val="00A53A4C"/>
    <w:rsid w:val="00A53AA9"/>
    <w:rsid w:val="00A53FC0"/>
    <w:rsid w:val="00A540F7"/>
    <w:rsid w:val="00A543D4"/>
    <w:rsid w:val="00A548C9"/>
    <w:rsid w:val="00A54A4F"/>
    <w:rsid w:val="00A54ADC"/>
    <w:rsid w:val="00A56B18"/>
    <w:rsid w:val="00A5723F"/>
    <w:rsid w:val="00A572BD"/>
    <w:rsid w:val="00A5753E"/>
    <w:rsid w:val="00A57B0B"/>
    <w:rsid w:val="00A60510"/>
    <w:rsid w:val="00A60B6F"/>
    <w:rsid w:val="00A611BB"/>
    <w:rsid w:val="00A61632"/>
    <w:rsid w:val="00A62C03"/>
    <w:rsid w:val="00A637BA"/>
    <w:rsid w:val="00A64028"/>
    <w:rsid w:val="00A64029"/>
    <w:rsid w:val="00A64425"/>
    <w:rsid w:val="00A64559"/>
    <w:rsid w:val="00A647A2"/>
    <w:rsid w:val="00A65638"/>
    <w:rsid w:val="00A65B76"/>
    <w:rsid w:val="00A65E01"/>
    <w:rsid w:val="00A6604A"/>
    <w:rsid w:val="00A6606F"/>
    <w:rsid w:val="00A664CD"/>
    <w:rsid w:val="00A6670B"/>
    <w:rsid w:val="00A668FB"/>
    <w:rsid w:val="00A6702B"/>
    <w:rsid w:val="00A67376"/>
    <w:rsid w:val="00A708CE"/>
    <w:rsid w:val="00A70DA5"/>
    <w:rsid w:val="00A71189"/>
    <w:rsid w:val="00A71A09"/>
    <w:rsid w:val="00A71D10"/>
    <w:rsid w:val="00A71D21"/>
    <w:rsid w:val="00A7220C"/>
    <w:rsid w:val="00A7267F"/>
    <w:rsid w:val="00A730FA"/>
    <w:rsid w:val="00A73757"/>
    <w:rsid w:val="00A7380B"/>
    <w:rsid w:val="00A73A8A"/>
    <w:rsid w:val="00A73BB4"/>
    <w:rsid w:val="00A73BD2"/>
    <w:rsid w:val="00A73EC0"/>
    <w:rsid w:val="00A745AB"/>
    <w:rsid w:val="00A748CE"/>
    <w:rsid w:val="00A74F07"/>
    <w:rsid w:val="00A75317"/>
    <w:rsid w:val="00A75385"/>
    <w:rsid w:val="00A75972"/>
    <w:rsid w:val="00A75E61"/>
    <w:rsid w:val="00A76084"/>
    <w:rsid w:val="00A76A77"/>
    <w:rsid w:val="00A76B8D"/>
    <w:rsid w:val="00A776F1"/>
    <w:rsid w:val="00A77828"/>
    <w:rsid w:val="00A77ABB"/>
    <w:rsid w:val="00A77C3C"/>
    <w:rsid w:val="00A77C9C"/>
    <w:rsid w:val="00A803FC"/>
    <w:rsid w:val="00A806A9"/>
    <w:rsid w:val="00A807C8"/>
    <w:rsid w:val="00A80A87"/>
    <w:rsid w:val="00A812A3"/>
    <w:rsid w:val="00A81A8F"/>
    <w:rsid w:val="00A81C21"/>
    <w:rsid w:val="00A81E18"/>
    <w:rsid w:val="00A82056"/>
    <w:rsid w:val="00A8206C"/>
    <w:rsid w:val="00A8332E"/>
    <w:rsid w:val="00A83F45"/>
    <w:rsid w:val="00A8400E"/>
    <w:rsid w:val="00A8414B"/>
    <w:rsid w:val="00A8492A"/>
    <w:rsid w:val="00A854AD"/>
    <w:rsid w:val="00A85CB6"/>
    <w:rsid w:val="00A85F3A"/>
    <w:rsid w:val="00A8613B"/>
    <w:rsid w:val="00A867DB"/>
    <w:rsid w:val="00A869D6"/>
    <w:rsid w:val="00A86EC4"/>
    <w:rsid w:val="00A86ECE"/>
    <w:rsid w:val="00A875BE"/>
    <w:rsid w:val="00A877F9"/>
    <w:rsid w:val="00A87859"/>
    <w:rsid w:val="00A905A9"/>
    <w:rsid w:val="00A90668"/>
    <w:rsid w:val="00A906CE"/>
    <w:rsid w:val="00A90A4B"/>
    <w:rsid w:val="00A90B18"/>
    <w:rsid w:val="00A921D4"/>
    <w:rsid w:val="00A922C6"/>
    <w:rsid w:val="00A92883"/>
    <w:rsid w:val="00A92AFC"/>
    <w:rsid w:val="00A92E46"/>
    <w:rsid w:val="00A92E92"/>
    <w:rsid w:val="00A93090"/>
    <w:rsid w:val="00A933B4"/>
    <w:rsid w:val="00A93A34"/>
    <w:rsid w:val="00A93AF5"/>
    <w:rsid w:val="00A942E0"/>
    <w:rsid w:val="00A94726"/>
    <w:rsid w:val="00A947C2"/>
    <w:rsid w:val="00A94928"/>
    <w:rsid w:val="00A95AC6"/>
    <w:rsid w:val="00A95E01"/>
    <w:rsid w:val="00A96972"/>
    <w:rsid w:val="00A96BA6"/>
    <w:rsid w:val="00A96BE1"/>
    <w:rsid w:val="00A9710F"/>
    <w:rsid w:val="00A979CB"/>
    <w:rsid w:val="00A97BE2"/>
    <w:rsid w:val="00A97C67"/>
    <w:rsid w:val="00AA01F6"/>
    <w:rsid w:val="00AA03D9"/>
    <w:rsid w:val="00AA05EB"/>
    <w:rsid w:val="00AA1C32"/>
    <w:rsid w:val="00AA1FAE"/>
    <w:rsid w:val="00AA3021"/>
    <w:rsid w:val="00AA4277"/>
    <w:rsid w:val="00AA4545"/>
    <w:rsid w:val="00AA5261"/>
    <w:rsid w:val="00AA6151"/>
    <w:rsid w:val="00AA6414"/>
    <w:rsid w:val="00AA6C53"/>
    <w:rsid w:val="00AB00A2"/>
    <w:rsid w:val="00AB03B3"/>
    <w:rsid w:val="00AB05A0"/>
    <w:rsid w:val="00AB0DD6"/>
    <w:rsid w:val="00AB126F"/>
    <w:rsid w:val="00AB1312"/>
    <w:rsid w:val="00AB179F"/>
    <w:rsid w:val="00AB210D"/>
    <w:rsid w:val="00AB232D"/>
    <w:rsid w:val="00AB306C"/>
    <w:rsid w:val="00AB3CC5"/>
    <w:rsid w:val="00AB403D"/>
    <w:rsid w:val="00AB4CFA"/>
    <w:rsid w:val="00AB4D0F"/>
    <w:rsid w:val="00AB51E4"/>
    <w:rsid w:val="00AB5225"/>
    <w:rsid w:val="00AB5267"/>
    <w:rsid w:val="00AB621A"/>
    <w:rsid w:val="00AB65F6"/>
    <w:rsid w:val="00AB6C55"/>
    <w:rsid w:val="00AB6DE5"/>
    <w:rsid w:val="00AB704D"/>
    <w:rsid w:val="00AB70A5"/>
    <w:rsid w:val="00AB7655"/>
    <w:rsid w:val="00AB77B3"/>
    <w:rsid w:val="00AB7A04"/>
    <w:rsid w:val="00AB7D3A"/>
    <w:rsid w:val="00AC015A"/>
    <w:rsid w:val="00AC0BAE"/>
    <w:rsid w:val="00AC14AF"/>
    <w:rsid w:val="00AC1742"/>
    <w:rsid w:val="00AC17FF"/>
    <w:rsid w:val="00AC2360"/>
    <w:rsid w:val="00AC25B2"/>
    <w:rsid w:val="00AC2F14"/>
    <w:rsid w:val="00AC37FB"/>
    <w:rsid w:val="00AC3A11"/>
    <w:rsid w:val="00AC3D23"/>
    <w:rsid w:val="00AC41C3"/>
    <w:rsid w:val="00AC47B6"/>
    <w:rsid w:val="00AC4AB2"/>
    <w:rsid w:val="00AC4AB8"/>
    <w:rsid w:val="00AC558B"/>
    <w:rsid w:val="00AC567C"/>
    <w:rsid w:val="00AC5FEB"/>
    <w:rsid w:val="00AC6800"/>
    <w:rsid w:val="00AC6961"/>
    <w:rsid w:val="00AC6ECB"/>
    <w:rsid w:val="00AC727B"/>
    <w:rsid w:val="00AC7AA9"/>
    <w:rsid w:val="00AC7D32"/>
    <w:rsid w:val="00AD0017"/>
    <w:rsid w:val="00AD0343"/>
    <w:rsid w:val="00AD0B8C"/>
    <w:rsid w:val="00AD0D4A"/>
    <w:rsid w:val="00AD1115"/>
    <w:rsid w:val="00AD2767"/>
    <w:rsid w:val="00AD3712"/>
    <w:rsid w:val="00AD3A84"/>
    <w:rsid w:val="00AD3D71"/>
    <w:rsid w:val="00AD3EA2"/>
    <w:rsid w:val="00AD4024"/>
    <w:rsid w:val="00AD4039"/>
    <w:rsid w:val="00AD4070"/>
    <w:rsid w:val="00AD44DC"/>
    <w:rsid w:val="00AD4609"/>
    <w:rsid w:val="00AD5A5C"/>
    <w:rsid w:val="00AD6CAD"/>
    <w:rsid w:val="00AD75A1"/>
    <w:rsid w:val="00AD7751"/>
    <w:rsid w:val="00AD7771"/>
    <w:rsid w:val="00AD78E3"/>
    <w:rsid w:val="00AE0B31"/>
    <w:rsid w:val="00AE0EF8"/>
    <w:rsid w:val="00AE1A77"/>
    <w:rsid w:val="00AE220C"/>
    <w:rsid w:val="00AE3218"/>
    <w:rsid w:val="00AE32D9"/>
    <w:rsid w:val="00AE3B1F"/>
    <w:rsid w:val="00AE3DD4"/>
    <w:rsid w:val="00AE43C4"/>
    <w:rsid w:val="00AE4454"/>
    <w:rsid w:val="00AE4958"/>
    <w:rsid w:val="00AE4D65"/>
    <w:rsid w:val="00AE52B3"/>
    <w:rsid w:val="00AE58AB"/>
    <w:rsid w:val="00AE68CC"/>
    <w:rsid w:val="00AE6A9F"/>
    <w:rsid w:val="00AE72FC"/>
    <w:rsid w:val="00AE7DF5"/>
    <w:rsid w:val="00AF003A"/>
    <w:rsid w:val="00AF0141"/>
    <w:rsid w:val="00AF03EB"/>
    <w:rsid w:val="00AF05B2"/>
    <w:rsid w:val="00AF08D9"/>
    <w:rsid w:val="00AF1559"/>
    <w:rsid w:val="00AF183B"/>
    <w:rsid w:val="00AF18B3"/>
    <w:rsid w:val="00AF22BF"/>
    <w:rsid w:val="00AF2680"/>
    <w:rsid w:val="00AF2D28"/>
    <w:rsid w:val="00AF3BA9"/>
    <w:rsid w:val="00AF3DE7"/>
    <w:rsid w:val="00AF4CCA"/>
    <w:rsid w:val="00AF5435"/>
    <w:rsid w:val="00AF5D2B"/>
    <w:rsid w:val="00AF66DA"/>
    <w:rsid w:val="00AF69C1"/>
    <w:rsid w:val="00AF73FC"/>
    <w:rsid w:val="00AF744C"/>
    <w:rsid w:val="00AF74F1"/>
    <w:rsid w:val="00AF77E8"/>
    <w:rsid w:val="00AF7B5E"/>
    <w:rsid w:val="00B0026F"/>
    <w:rsid w:val="00B004D3"/>
    <w:rsid w:val="00B00935"/>
    <w:rsid w:val="00B00CF6"/>
    <w:rsid w:val="00B012BD"/>
    <w:rsid w:val="00B014E7"/>
    <w:rsid w:val="00B015DF"/>
    <w:rsid w:val="00B02A7E"/>
    <w:rsid w:val="00B02D50"/>
    <w:rsid w:val="00B036AE"/>
    <w:rsid w:val="00B036E5"/>
    <w:rsid w:val="00B03765"/>
    <w:rsid w:val="00B04187"/>
    <w:rsid w:val="00B05246"/>
    <w:rsid w:val="00B0528D"/>
    <w:rsid w:val="00B06298"/>
    <w:rsid w:val="00B06424"/>
    <w:rsid w:val="00B06489"/>
    <w:rsid w:val="00B06604"/>
    <w:rsid w:val="00B10196"/>
    <w:rsid w:val="00B108C6"/>
    <w:rsid w:val="00B10B2A"/>
    <w:rsid w:val="00B10B5E"/>
    <w:rsid w:val="00B11177"/>
    <w:rsid w:val="00B1120C"/>
    <w:rsid w:val="00B11493"/>
    <w:rsid w:val="00B115CA"/>
    <w:rsid w:val="00B11EEA"/>
    <w:rsid w:val="00B122B7"/>
    <w:rsid w:val="00B1287D"/>
    <w:rsid w:val="00B12D29"/>
    <w:rsid w:val="00B12DA3"/>
    <w:rsid w:val="00B137EA"/>
    <w:rsid w:val="00B13FED"/>
    <w:rsid w:val="00B14152"/>
    <w:rsid w:val="00B14513"/>
    <w:rsid w:val="00B147C9"/>
    <w:rsid w:val="00B15058"/>
    <w:rsid w:val="00B15ACB"/>
    <w:rsid w:val="00B167AF"/>
    <w:rsid w:val="00B1686A"/>
    <w:rsid w:val="00B16952"/>
    <w:rsid w:val="00B16CCB"/>
    <w:rsid w:val="00B17912"/>
    <w:rsid w:val="00B179BD"/>
    <w:rsid w:val="00B20609"/>
    <w:rsid w:val="00B20743"/>
    <w:rsid w:val="00B207F6"/>
    <w:rsid w:val="00B20FEC"/>
    <w:rsid w:val="00B216C6"/>
    <w:rsid w:val="00B218D2"/>
    <w:rsid w:val="00B21BCE"/>
    <w:rsid w:val="00B221AB"/>
    <w:rsid w:val="00B2223A"/>
    <w:rsid w:val="00B2265B"/>
    <w:rsid w:val="00B22735"/>
    <w:rsid w:val="00B22A09"/>
    <w:rsid w:val="00B22AB0"/>
    <w:rsid w:val="00B22ABA"/>
    <w:rsid w:val="00B233A7"/>
    <w:rsid w:val="00B23535"/>
    <w:rsid w:val="00B23717"/>
    <w:rsid w:val="00B237BD"/>
    <w:rsid w:val="00B242AF"/>
    <w:rsid w:val="00B24A89"/>
    <w:rsid w:val="00B24DFF"/>
    <w:rsid w:val="00B25188"/>
    <w:rsid w:val="00B25294"/>
    <w:rsid w:val="00B260F9"/>
    <w:rsid w:val="00B2614F"/>
    <w:rsid w:val="00B261CB"/>
    <w:rsid w:val="00B264C5"/>
    <w:rsid w:val="00B26607"/>
    <w:rsid w:val="00B277C0"/>
    <w:rsid w:val="00B279D4"/>
    <w:rsid w:val="00B27EEB"/>
    <w:rsid w:val="00B30004"/>
    <w:rsid w:val="00B302AC"/>
    <w:rsid w:val="00B30528"/>
    <w:rsid w:val="00B3170D"/>
    <w:rsid w:val="00B318AA"/>
    <w:rsid w:val="00B31CB9"/>
    <w:rsid w:val="00B32F25"/>
    <w:rsid w:val="00B332BE"/>
    <w:rsid w:val="00B33C46"/>
    <w:rsid w:val="00B358E4"/>
    <w:rsid w:val="00B379CC"/>
    <w:rsid w:val="00B37CD6"/>
    <w:rsid w:val="00B4131D"/>
    <w:rsid w:val="00B416F4"/>
    <w:rsid w:val="00B41991"/>
    <w:rsid w:val="00B41E8E"/>
    <w:rsid w:val="00B41E9A"/>
    <w:rsid w:val="00B42013"/>
    <w:rsid w:val="00B420B0"/>
    <w:rsid w:val="00B42258"/>
    <w:rsid w:val="00B42450"/>
    <w:rsid w:val="00B44107"/>
    <w:rsid w:val="00B4440E"/>
    <w:rsid w:val="00B451CF"/>
    <w:rsid w:val="00B45413"/>
    <w:rsid w:val="00B45891"/>
    <w:rsid w:val="00B46449"/>
    <w:rsid w:val="00B46A3C"/>
    <w:rsid w:val="00B47137"/>
    <w:rsid w:val="00B47A66"/>
    <w:rsid w:val="00B47A89"/>
    <w:rsid w:val="00B47CC3"/>
    <w:rsid w:val="00B47E62"/>
    <w:rsid w:val="00B47F99"/>
    <w:rsid w:val="00B500F4"/>
    <w:rsid w:val="00B50350"/>
    <w:rsid w:val="00B5057E"/>
    <w:rsid w:val="00B50B02"/>
    <w:rsid w:val="00B50C3F"/>
    <w:rsid w:val="00B51A8A"/>
    <w:rsid w:val="00B51CB4"/>
    <w:rsid w:val="00B52103"/>
    <w:rsid w:val="00B52945"/>
    <w:rsid w:val="00B52B4A"/>
    <w:rsid w:val="00B52B57"/>
    <w:rsid w:val="00B52BDF"/>
    <w:rsid w:val="00B52C3A"/>
    <w:rsid w:val="00B52D76"/>
    <w:rsid w:val="00B52F8B"/>
    <w:rsid w:val="00B53072"/>
    <w:rsid w:val="00B53088"/>
    <w:rsid w:val="00B53341"/>
    <w:rsid w:val="00B533D2"/>
    <w:rsid w:val="00B53710"/>
    <w:rsid w:val="00B53742"/>
    <w:rsid w:val="00B53D0F"/>
    <w:rsid w:val="00B53D89"/>
    <w:rsid w:val="00B541E1"/>
    <w:rsid w:val="00B544D0"/>
    <w:rsid w:val="00B54CA0"/>
    <w:rsid w:val="00B55120"/>
    <w:rsid w:val="00B56B64"/>
    <w:rsid w:val="00B56CDE"/>
    <w:rsid w:val="00B5734F"/>
    <w:rsid w:val="00B575F0"/>
    <w:rsid w:val="00B576A1"/>
    <w:rsid w:val="00B578B5"/>
    <w:rsid w:val="00B600FE"/>
    <w:rsid w:val="00B6048A"/>
    <w:rsid w:val="00B60B6E"/>
    <w:rsid w:val="00B61262"/>
    <w:rsid w:val="00B612F1"/>
    <w:rsid w:val="00B6152F"/>
    <w:rsid w:val="00B618A0"/>
    <w:rsid w:val="00B61E33"/>
    <w:rsid w:val="00B61F44"/>
    <w:rsid w:val="00B629EE"/>
    <w:rsid w:val="00B634F9"/>
    <w:rsid w:val="00B6359B"/>
    <w:rsid w:val="00B63AFF"/>
    <w:rsid w:val="00B641BB"/>
    <w:rsid w:val="00B6426D"/>
    <w:rsid w:val="00B64629"/>
    <w:rsid w:val="00B650CF"/>
    <w:rsid w:val="00B65E9B"/>
    <w:rsid w:val="00B661D4"/>
    <w:rsid w:val="00B6657D"/>
    <w:rsid w:val="00B6667D"/>
    <w:rsid w:val="00B667F6"/>
    <w:rsid w:val="00B66849"/>
    <w:rsid w:val="00B67AE4"/>
    <w:rsid w:val="00B70025"/>
    <w:rsid w:val="00B701B8"/>
    <w:rsid w:val="00B704A4"/>
    <w:rsid w:val="00B70D74"/>
    <w:rsid w:val="00B70EB0"/>
    <w:rsid w:val="00B71032"/>
    <w:rsid w:val="00B71100"/>
    <w:rsid w:val="00B716F8"/>
    <w:rsid w:val="00B71E34"/>
    <w:rsid w:val="00B7203D"/>
    <w:rsid w:val="00B72657"/>
    <w:rsid w:val="00B7278A"/>
    <w:rsid w:val="00B7286E"/>
    <w:rsid w:val="00B72B0D"/>
    <w:rsid w:val="00B72B77"/>
    <w:rsid w:val="00B72BD4"/>
    <w:rsid w:val="00B72D73"/>
    <w:rsid w:val="00B72F24"/>
    <w:rsid w:val="00B72FE1"/>
    <w:rsid w:val="00B7326F"/>
    <w:rsid w:val="00B7378C"/>
    <w:rsid w:val="00B74491"/>
    <w:rsid w:val="00B74726"/>
    <w:rsid w:val="00B748B0"/>
    <w:rsid w:val="00B74C95"/>
    <w:rsid w:val="00B74E2C"/>
    <w:rsid w:val="00B74E3E"/>
    <w:rsid w:val="00B751A8"/>
    <w:rsid w:val="00B75CEE"/>
    <w:rsid w:val="00B762A9"/>
    <w:rsid w:val="00B76AA9"/>
    <w:rsid w:val="00B76B27"/>
    <w:rsid w:val="00B76C8F"/>
    <w:rsid w:val="00B77BB6"/>
    <w:rsid w:val="00B77BB8"/>
    <w:rsid w:val="00B77CCA"/>
    <w:rsid w:val="00B77E3A"/>
    <w:rsid w:val="00B80917"/>
    <w:rsid w:val="00B80ED5"/>
    <w:rsid w:val="00B8108F"/>
    <w:rsid w:val="00B81B3B"/>
    <w:rsid w:val="00B826EE"/>
    <w:rsid w:val="00B827FE"/>
    <w:rsid w:val="00B82918"/>
    <w:rsid w:val="00B82D83"/>
    <w:rsid w:val="00B832F1"/>
    <w:rsid w:val="00B8333A"/>
    <w:rsid w:val="00B83403"/>
    <w:rsid w:val="00B83AAE"/>
    <w:rsid w:val="00B83DC9"/>
    <w:rsid w:val="00B83F78"/>
    <w:rsid w:val="00B843A4"/>
    <w:rsid w:val="00B8443F"/>
    <w:rsid w:val="00B85206"/>
    <w:rsid w:val="00B85526"/>
    <w:rsid w:val="00B85CF1"/>
    <w:rsid w:val="00B864DC"/>
    <w:rsid w:val="00B86FE1"/>
    <w:rsid w:val="00B87EE4"/>
    <w:rsid w:val="00B87F3F"/>
    <w:rsid w:val="00B90936"/>
    <w:rsid w:val="00B91352"/>
    <w:rsid w:val="00B917E2"/>
    <w:rsid w:val="00B924B7"/>
    <w:rsid w:val="00B924B9"/>
    <w:rsid w:val="00B92BEC"/>
    <w:rsid w:val="00B930DE"/>
    <w:rsid w:val="00B9370F"/>
    <w:rsid w:val="00B9388E"/>
    <w:rsid w:val="00B93BE9"/>
    <w:rsid w:val="00B93D7E"/>
    <w:rsid w:val="00B94560"/>
    <w:rsid w:val="00B948B3"/>
    <w:rsid w:val="00B95422"/>
    <w:rsid w:val="00B95547"/>
    <w:rsid w:val="00B95659"/>
    <w:rsid w:val="00B956A2"/>
    <w:rsid w:val="00B95BF4"/>
    <w:rsid w:val="00B95E10"/>
    <w:rsid w:val="00B962C7"/>
    <w:rsid w:val="00B96A16"/>
    <w:rsid w:val="00B96D63"/>
    <w:rsid w:val="00B96DA3"/>
    <w:rsid w:val="00B9759F"/>
    <w:rsid w:val="00B97C59"/>
    <w:rsid w:val="00BA140C"/>
    <w:rsid w:val="00BA1CF8"/>
    <w:rsid w:val="00BA1E5B"/>
    <w:rsid w:val="00BA2111"/>
    <w:rsid w:val="00BA27AD"/>
    <w:rsid w:val="00BA28C3"/>
    <w:rsid w:val="00BA2A64"/>
    <w:rsid w:val="00BA2D9F"/>
    <w:rsid w:val="00BA2E13"/>
    <w:rsid w:val="00BA36D2"/>
    <w:rsid w:val="00BA3C20"/>
    <w:rsid w:val="00BA3DEF"/>
    <w:rsid w:val="00BA4608"/>
    <w:rsid w:val="00BA499C"/>
    <w:rsid w:val="00BA4C95"/>
    <w:rsid w:val="00BA5973"/>
    <w:rsid w:val="00BA5A6A"/>
    <w:rsid w:val="00BA5BBF"/>
    <w:rsid w:val="00BA5D06"/>
    <w:rsid w:val="00BA5DA1"/>
    <w:rsid w:val="00BA6CFE"/>
    <w:rsid w:val="00BA760C"/>
    <w:rsid w:val="00BB009A"/>
    <w:rsid w:val="00BB014D"/>
    <w:rsid w:val="00BB02D1"/>
    <w:rsid w:val="00BB0711"/>
    <w:rsid w:val="00BB075F"/>
    <w:rsid w:val="00BB1830"/>
    <w:rsid w:val="00BB1BC2"/>
    <w:rsid w:val="00BB220F"/>
    <w:rsid w:val="00BB2F24"/>
    <w:rsid w:val="00BB32D6"/>
    <w:rsid w:val="00BB38B3"/>
    <w:rsid w:val="00BB3C61"/>
    <w:rsid w:val="00BB4221"/>
    <w:rsid w:val="00BB428F"/>
    <w:rsid w:val="00BB4A09"/>
    <w:rsid w:val="00BB532A"/>
    <w:rsid w:val="00BB53CD"/>
    <w:rsid w:val="00BB5B51"/>
    <w:rsid w:val="00BB6466"/>
    <w:rsid w:val="00BB6794"/>
    <w:rsid w:val="00BB786B"/>
    <w:rsid w:val="00BB7A0B"/>
    <w:rsid w:val="00BB7E13"/>
    <w:rsid w:val="00BC06E2"/>
    <w:rsid w:val="00BC0E8A"/>
    <w:rsid w:val="00BC0FDA"/>
    <w:rsid w:val="00BC1074"/>
    <w:rsid w:val="00BC1A1F"/>
    <w:rsid w:val="00BC23A2"/>
    <w:rsid w:val="00BC25DE"/>
    <w:rsid w:val="00BC288D"/>
    <w:rsid w:val="00BC3135"/>
    <w:rsid w:val="00BC3C3D"/>
    <w:rsid w:val="00BC3FF6"/>
    <w:rsid w:val="00BC43EA"/>
    <w:rsid w:val="00BC4CC0"/>
    <w:rsid w:val="00BC509C"/>
    <w:rsid w:val="00BC51EA"/>
    <w:rsid w:val="00BC5482"/>
    <w:rsid w:val="00BC55BC"/>
    <w:rsid w:val="00BC5873"/>
    <w:rsid w:val="00BC5E8C"/>
    <w:rsid w:val="00BC5F46"/>
    <w:rsid w:val="00BC60F6"/>
    <w:rsid w:val="00BC61E8"/>
    <w:rsid w:val="00BC62F1"/>
    <w:rsid w:val="00BC65BB"/>
    <w:rsid w:val="00BC6F2C"/>
    <w:rsid w:val="00BC7357"/>
    <w:rsid w:val="00BC75CC"/>
    <w:rsid w:val="00BD01E6"/>
    <w:rsid w:val="00BD05AB"/>
    <w:rsid w:val="00BD10D0"/>
    <w:rsid w:val="00BD2656"/>
    <w:rsid w:val="00BD313F"/>
    <w:rsid w:val="00BD34C0"/>
    <w:rsid w:val="00BD3615"/>
    <w:rsid w:val="00BD3723"/>
    <w:rsid w:val="00BD476F"/>
    <w:rsid w:val="00BD488C"/>
    <w:rsid w:val="00BD4DF3"/>
    <w:rsid w:val="00BD53DE"/>
    <w:rsid w:val="00BD5BEE"/>
    <w:rsid w:val="00BD728F"/>
    <w:rsid w:val="00BD7365"/>
    <w:rsid w:val="00BD7E7A"/>
    <w:rsid w:val="00BD7EC8"/>
    <w:rsid w:val="00BE0524"/>
    <w:rsid w:val="00BE0B80"/>
    <w:rsid w:val="00BE0C22"/>
    <w:rsid w:val="00BE162E"/>
    <w:rsid w:val="00BE1A2C"/>
    <w:rsid w:val="00BE2565"/>
    <w:rsid w:val="00BE288B"/>
    <w:rsid w:val="00BE2979"/>
    <w:rsid w:val="00BE2FF1"/>
    <w:rsid w:val="00BE3417"/>
    <w:rsid w:val="00BE359A"/>
    <w:rsid w:val="00BE36BB"/>
    <w:rsid w:val="00BE37D6"/>
    <w:rsid w:val="00BE3967"/>
    <w:rsid w:val="00BE399F"/>
    <w:rsid w:val="00BE3B4C"/>
    <w:rsid w:val="00BE3BCE"/>
    <w:rsid w:val="00BE4003"/>
    <w:rsid w:val="00BE4053"/>
    <w:rsid w:val="00BE45B4"/>
    <w:rsid w:val="00BE469E"/>
    <w:rsid w:val="00BE4EF1"/>
    <w:rsid w:val="00BE51CE"/>
    <w:rsid w:val="00BE5FF4"/>
    <w:rsid w:val="00BE623D"/>
    <w:rsid w:val="00BE6370"/>
    <w:rsid w:val="00BE66FC"/>
    <w:rsid w:val="00BE6AA0"/>
    <w:rsid w:val="00BE7139"/>
    <w:rsid w:val="00BE7826"/>
    <w:rsid w:val="00BE7D14"/>
    <w:rsid w:val="00BF0581"/>
    <w:rsid w:val="00BF07D1"/>
    <w:rsid w:val="00BF0A70"/>
    <w:rsid w:val="00BF0D44"/>
    <w:rsid w:val="00BF130D"/>
    <w:rsid w:val="00BF1915"/>
    <w:rsid w:val="00BF19DA"/>
    <w:rsid w:val="00BF2B55"/>
    <w:rsid w:val="00BF37AA"/>
    <w:rsid w:val="00BF38C5"/>
    <w:rsid w:val="00BF39FE"/>
    <w:rsid w:val="00BF3DF7"/>
    <w:rsid w:val="00BF41F0"/>
    <w:rsid w:val="00BF4C07"/>
    <w:rsid w:val="00BF56F8"/>
    <w:rsid w:val="00BF5825"/>
    <w:rsid w:val="00BF59BE"/>
    <w:rsid w:val="00BF6054"/>
    <w:rsid w:val="00BF6097"/>
    <w:rsid w:val="00BF6EEA"/>
    <w:rsid w:val="00BF6FBD"/>
    <w:rsid w:val="00BF7233"/>
    <w:rsid w:val="00BF74D1"/>
    <w:rsid w:val="00BF79D5"/>
    <w:rsid w:val="00BF7A18"/>
    <w:rsid w:val="00C00100"/>
    <w:rsid w:val="00C00792"/>
    <w:rsid w:val="00C008BB"/>
    <w:rsid w:val="00C00EE7"/>
    <w:rsid w:val="00C01C3F"/>
    <w:rsid w:val="00C02453"/>
    <w:rsid w:val="00C02620"/>
    <w:rsid w:val="00C02977"/>
    <w:rsid w:val="00C02A9D"/>
    <w:rsid w:val="00C02F22"/>
    <w:rsid w:val="00C0330A"/>
    <w:rsid w:val="00C044FA"/>
    <w:rsid w:val="00C04A06"/>
    <w:rsid w:val="00C05048"/>
    <w:rsid w:val="00C0528C"/>
    <w:rsid w:val="00C053A2"/>
    <w:rsid w:val="00C0549A"/>
    <w:rsid w:val="00C054AD"/>
    <w:rsid w:val="00C05E85"/>
    <w:rsid w:val="00C06B67"/>
    <w:rsid w:val="00C06C9F"/>
    <w:rsid w:val="00C072A8"/>
    <w:rsid w:val="00C07865"/>
    <w:rsid w:val="00C07C8A"/>
    <w:rsid w:val="00C07D8A"/>
    <w:rsid w:val="00C07FC2"/>
    <w:rsid w:val="00C11BF0"/>
    <w:rsid w:val="00C11D0C"/>
    <w:rsid w:val="00C11D31"/>
    <w:rsid w:val="00C1220C"/>
    <w:rsid w:val="00C12F2F"/>
    <w:rsid w:val="00C13DB0"/>
    <w:rsid w:val="00C13FE9"/>
    <w:rsid w:val="00C1415F"/>
    <w:rsid w:val="00C143C5"/>
    <w:rsid w:val="00C14825"/>
    <w:rsid w:val="00C14E6E"/>
    <w:rsid w:val="00C15A22"/>
    <w:rsid w:val="00C15B27"/>
    <w:rsid w:val="00C16433"/>
    <w:rsid w:val="00C17281"/>
    <w:rsid w:val="00C17A34"/>
    <w:rsid w:val="00C208F9"/>
    <w:rsid w:val="00C20B7F"/>
    <w:rsid w:val="00C21A93"/>
    <w:rsid w:val="00C22C74"/>
    <w:rsid w:val="00C22EDA"/>
    <w:rsid w:val="00C23328"/>
    <w:rsid w:val="00C23CC1"/>
    <w:rsid w:val="00C23D8A"/>
    <w:rsid w:val="00C23E80"/>
    <w:rsid w:val="00C2415B"/>
    <w:rsid w:val="00C2451A"/>
    <w:rsid w:val="00C2463D"/>
    <w:rsid w:val="00C249C4"/>
    <w:rsid w:val="00C251FE"/>
    <w:rsid w:val="00C25A65"/>
    <w:rsid w:val="00C2615D"/>
    <w:rsid w:val="00C26DAF"/>
    <w:rsid w:val="00C2755A"/>
    <w:rsid w:val="00C27659"/>
    <w:rsid w:val="00C278BE"/>
    <w:rsid w:val="00C27AC0"/>
    <w:rsid w:val="00C27EA1"/>
    <w:rsid w:val="00C302A8"/>
    <w:rsid w:val="00C30512"/>
    <w:rsid w:val="00C3055B"/>
    <w:rsid w:val="00C308CC"/>
    <w:rsid w:val="00C30D32"/>
    <w:rsid w:val="00C30E6B"/>
    <w:rsid w:val="00C3119F"/>
    <w:rsid w:val="00C3149C"/>
    <w:rsid w:val="00C315B1"/>
    <w:rsid w:val="00C31822"/>
    <w:rsid w:val="00C31DD5"/>
    <w:rsid w:val="00C31FFF"/>
    <w:rsid w:val="00C3210C"/>
    <w:rsid w:val="00C3302E"/>
    <w:rsid w:val="00C332B7"/>
    <w:rsid w:val="00C3348F"/>
    <w:rsid w:val="00C335A4"/>
    <w:rsid w:val="00C33C73"/>
    <w:rsid w:val="00C33EC6"/>
    <w:rsid w:val="00C34740"/>
    <w:rsid w:val="00C34961"/>
    <w:rsid w:val="00C34A6B"/>
    <w:rsid w:val="00C351AE"/>
    <w:rsid w:val="00C35288"/>
    <w:rsid w:val="00C354B0"/>
    <w:rsid w:val="00C365AB"/>
    <w:rsid w:val="00C36F07"/>
    <w:rsid w:val="00C372DD"/>
    <w:rsid w:val="00C378AC"/>
    <w:rsid w:val="00C378E4"/>
    <w:rsid w:val="00C37D19"/>
    <w:rsid w:val="00C402F6"/>
    <w:rsid w:val="00C40C8C"/>
    <w:rsid w:val="00C40DA5"/>
    <w:rsid w:val="00C40E1A"/>
    <w:rsid w:val="00C40E67"/>
    <w:rsid w:val="00C4109D"/>
    <w:rsid w:val="00C41423"/>
    <w:rsid w:val="00C41B66"/>
    <w:rsid w:val="00C41F66"/>
    <w:rsid w:val="00C41F6A"/>
    <w:rsid w:val="00C42701"/>
    <w:rsid w:val="00C42A38"/>
    <w:rsid w:val="00C44921"/>
    <w:rsid w:val="00C44B19"/>
    <w:rsid w:val="00C4500C"/>
    <w:rsid w:val="00C464A7"/>
    <w:rsid w:val="00C469CD"/>
    <w:rsid w:val="00C47207"/>
    <w:rsid w:val="00C475AC"/>
    <w:rsid w:val="00C50B41"/>
    <w:rsid w:val="00C5245A"/>
    <w:rsid w:val="00C52777"/>
    <w:rsid w:val="00C52EFF"/>
    <w:rsid w:val="00C53134"/>
    <w:rsid w:val="00C53170"/>
    <w:rsid w:val="00C535C5"/>
    <w:rsid w:val="00C536AF"/>
    <w:rsid w:val="00C53A30"/>
    <w:rsid w:val="00C54135"/>
    <w:rsid w:val="00C54290"/>
    <w:rsid w:val="00C54739"/>
    <w:rsid w:val="00C54C6E"/>
    <w:rsid w:val="00C55250"/>
    <w:rsid w:val="00C55584"/>
    <w:rsid w:val="00C56048"/>
    <w:rsid w:val="00C565FA"/>
    <w:rsid w:val="00C56D26"/>
    <w:rsid w:val="00C56DB1"/>
    <w:rsid w:val="00C570A8"/>
    <w:rsid w:val="00C57735"/>
    <w:rsid w:val="00C578FA"/>
    <w:rsid w:val="00C57E84"/>
    <w:rsid w:val="00C60135"/>
    <w:rsid w:val="00C6021F"/>
    <w:rsid w:val="00C605CD"/>
    <w:rsid w:val="00C61330"/>
    <w:rsid w:val="00C613C2"/>
    <w:rsid w:val="00C61777"/>
    <w:rsid w:val="00C61C75"/>
    <w:rsid w:val="00C621A8"/>
    <w:rsid w:val="00C6257B"/>
    <w:rsid w:val="00C62818"/>
    <w:rsid w:val="00C62CE9"/>
    <w:rsid w:val="00C62D46"/>
    <w:rsid w:val="00C62FE6"/>
    <w:rsid w:val="00C63C78"/>
    <w:rsid w:val="00C63CB0"/>
    <w:rsid w:val="00C649AB"/>
    <w:rsid w:val="00C64B91"/>
    <w:rsid w:val="00C64F9A"/>
    <w:rsid w:val="00C65169"/>
    <w:rsid w:val="00C6521C"/>
    <w:rsid w:val="00C65232"/>
    <w:rsid w:val="00C6536F"/>
    <w:rsid w:val="00C659FC"/>
    <w:rsid w:val="00C66155"/>
    <w:rsid w:val="00C66D00"/>
    <w:rsid w:val="00C67516"/>
    <w:rsid w:val="00C67517"/>
    <w:rsid w:val="00C676D4"/>
    <w:rsid w:val="00C67AF0"/>
    <w:rsid w:val="00C67B05"/>
    <w:rsid w:val="00C67BE5"/>
    <w:rsid w:val="00C67C12"/>
    <w:rsid w:val="00C704F9"/>
    <w:rsid w:val="00C70F22"/>
    <w:rsid w:val="00C7177E"/>
    <w:rsid w:val="00C717D8"/>
    <w:rsid w:val="00C71E43"/>
    <w:rsid w:val="00C721FA"/>
    <w:rsid w:val="00C723AE"/>
    <w:rsid w:val="00C72881"/>
    <w:rsid w:val="00C73AB3"/>
    <w:rsid w:val="00C7456C"/>
    <w:rsid w:val="00C748B9"/>
    <w:rsid w:val="00C75191"/>
    <w:rsid w:val="00C755B1"/>
    <w:rsid w:val="00C75910"/>
    <w:rsid w:val="00C7696B"/>
    <w:rsid w:val="00C76B08"/>
    <w:rsid w:val="00C76E07"/>
    <w:rsid w:val="00C7722E"/>
    <w:rsid w:val="00C77BDC"/>
    <w:rsid w:val="00C77C25"/>
    <w:rsid w:val="00C77DF9"/>
    <w:rsid w:val="00C805B0"/>
    <w:rsid w:val="00C80904"/>
    <w:rsid w:val="00C80995"/>
    <w:rsid w:val="00C814BA"/>
    <w:rsid w:val="00C81682"/>
    <w:rsid w:val="00C83D2F"/>
    <w:rsid w:val="00C840C1"/>
    <w:rsid w:val="00C84593"/>
    <w:rsid w:val="00C849DC"/>
    <w:rsid w:val="00C84BEE"/>
    <w:rsid w:val="00C85093"/>
    <w:rsid w:val="00C86455"/>
    <w:rsid w:val="00C8671A"/>
    <w:rsid w:val="00C867C3"/>
    <w:rsid w:val="00C903D2"/>
    <w:rsid w:val="00C90995"/>
    <w:rsid w:val="00C90E1E"/>
    <w:rsid w:val="00C90EDD"/>
    <w:rsid w:val="00C9288C"/>
    <w:rsid w:val="00C928DD"/>
    <w:rsid w:val="00C92AE0"/>
    <w:rsid w:val="00C92BDD"/>
    <w:rsid w:val="00C93591"/>
    <w:rsid w:val="00C93B6F"/>
    <w:rsid w:val="00C940D0"/>
    <w:rsid w:val="00C94988"/>
    <w:rsid w:val="00C94A69"/>
    <w:rsid w:val="00C952DE"/>
    <w:rsid w:val="00C9576D"/>
    <w:rsid w:val="00C957B6"/>
    <w:rsid w:val="00C959B9"/>
    <w:rsid w:val="00C961C3"/>
    <w:rsid w:val="00C967F7"/>
    <w:rsid w:val="00C96CF2"/>
    <w:rsid w:val="00C96FD0"/>
    <w:rsid w:val="00C971FC"/>
    <w:rsid w:val="00C97E22"/>
    <w:rsid w:val="00C97F6A"/>
    <w:rsid w:val="00CA07C8"/>
    <w:rsid w:val="00CA0823"/>
    <w:rsid w:val="00CA14D1"/>
    <w:rsid w:val="00CA1688"/>
    <w:rsid w:val="00CA1824"/>
    <w:rsid w:val="00CA19BB"/>
    <w:rsid w:val="00CA270B"/>
    <w:rsid w:val="00CA2A41"/>
    <w:rsid w:val="00CA3782"/>
    <w:rsid w:val="00CA3BE8"/>
    <w:rsid w:val="00CA3F9D"/>
    <w:rsid w:val="00CA467A"/>
    <w:rsid w:val="00CA46D9"/>
    <w:rsid w:val="00CA473C"/>
    <w:rsid w:val="00CA497B"/>
    <w:rsid w:val="00CA4ADB"/>
    <w:rsid w:val="00CA55BE"/>
    <w:rsid w:val="00CA5C85"/>
    <w:rsid w:val="00CA619B"/>
    <w:rsid w:val="00CA6433"/>
    <w:rsid w:val="00CA6842"/>
    <w:rsid w:val="00CA6F49"/>
    <w:rsid w:val="00CA70B9"/>
    <w:rsid w:val="00CA74C6"/>
    <w:rsid w:val="00CA752A"/>
    <w:rsid w:val="00CB003D"/>
    <w:rsid w:val="00CB0564"/>
    <w:rsid w:val="00CB066D"/>
    <w:rsid w:val="00CB0E79"/>
    <w:rsid w:val="00CB0F26"/>
    <w:rsid w:val="00CB110F"/>
    <w:rsid w:val="00CB2335"/>
    <w:rsid w:val="00CB23C9"/>
    <w:rsid w:val="00CB25D6"/>
    <w:rsid w:val="00CB28D1"/>
    <w:rsid w:val="00CB2C90"/>
    <w:rsid w:val="00CB3619"/>
    <w:rsid w:val="00CB3788"/>
    <w:rsid w:val="00CB3CAD"/>
    <w:rsid w:val="00CB437C"/>
    <w:rsid w:val="00CB4483"/>
    <w:rsid w:val="00CB4902"/>
    <w:rsid w:val="00CB4D8F"/>
    <w:rsid w:val="00CB4F7C"/>
    <w:rsid w:val="00CB514D"/>
    <w:rsid w:val="00CB566F"/>
    <w:rsid w:val="00CB58B3"/>
    <w:rsid w:val="00CB5F75"/>
    <w:rsid w:val="00CB637E"/>
    <w:rsid w:val="00CB65B0"/>
    <w:rsid w:val="00CB65D7"/>
    <w:rsid w:val="00CB67F0"/>
    <w:rsid w:val="00CB68B5"/>
    <w:rsid w:val="00CB6AD1"/>
    <w:rsid w:val="00CB6C72"/>
    <w:rsid w:val="00CB7882"/>
    <w:rsid w:val="00CB78FD"/>
    <w:rsid w:val="00CB7E1C"/>
    <w:rsid w:val="00CC0244"/>
    <w:rsid w:val="00CC1992"/>
    <w:rsid w:val="00CC1A84"/>
    <w:rsid w:val="00CC2437"/>
    <w:rsid w:val="00CC24ED"/>
    <w:rsid w:val="00CC25F6"/>
    <w:rsid w:val="00CC26CB"/>
    <w:rsid w:val="00CC279C"/>
    <w:rsid w:val="00CC2F7B"/>
    <w:rsid w:val="00CC2FE7"/>
    <w:rsid w:val="00CC385C"/>
    <w:rsid w:val="00CC3B64"/>
    <w:rsid w:val="00CC42EE"/>
    <w:rsid w:val="00CC44EE"/>
    <w:rsid w:val="00CC479D"/>
    <w:rsid w:val="00CC4990"/>
    <w:rsid w:val="00CC4A5F"/>
    <w:rsid w:val="00CC4E4B"/>
    <w:rsid w:val="00CC4FD4"/>
    <w:rsid w:val="00CC528A"/>
    <w:rsid w:val="00CC5325"/>
    <w:rsid w:val="00CC54FD"/>
    <w:rsid w:val="00CC60E8"/>
    <w:rsid w:val="00CC627D"/>
    <w:rsid w:val="00CC6CF9"/>
    <w:rsid w:val="00CC72C5"/>
    <w:rsid w:val="00CC78C4"/>
    <w:rsid w:val="00CC7DE9"/>
    <w:rsid w:val="00CC7E17"/>
    <w:rsid w:val="00CD036E"/>
    <w:rsid w:val="00CD10D5"/>
    <w:rsid w:val="00CD1183"/>
    <w:rsid w:val="00CD1279"/>
    <w:rsid w:val="00CD13E8"/>
    <w:rsid w:val="00CD15F5"/>
    <w:rsid w:val="00CD1A79"/>
    <w:rsid w:val="00CD1AFC"/>
    <w:rsid w:val="00CD1E37"/>
    <w:rsid w:val="00CD257F"/>
    <w:rsid w:val="00CD2906"/>
    <w:rsid w:val="00CD2E1F"/>
    <w:rsid w:val="00CD2E8F"/>
    <w:rsid w:val="00CD3382"/>
    <w:rsid w:val="00CD37FC"/>
    <w:rsid w:val="00CD38CA"/>
    <w:rsid w:val="00CD3EBF"/>
    <w:rsid w:val="00CD422D"/>
    <w:rsid w:val="00CD4432"/>
    <w:rsid w:val="00CD4924"/>
    <w:rsid w:val="00CD4F7C"/>
    <w:rsid w:val="00CD5791"/>
    <w:rsid w:val="00CD5CCE"/>
    <w:rsid w:val="00CD6FE1"/>
    <w:rsid w:val="00CD761E"/>
    <w:rsid w:val="00CD77FE"/>
    <w:rsid w:val="00CD7D2D"/>
    <w:rsid w:val="00CD7E56"/>
    <w:rsid w:val="00CE0098"/>
    <w:rsid w:val="00CE0755"/>
    <w:rsid w:val="00CE0D3F"/>
    <w:rsid w:val="00CE1391"/>
    <w:rsid w:val="00CE2AA3"/>
    <w:rsid w:val="00CE2E5E"/>
    <w:rsid w:val="00CE47B6"/>
    <w:rsid w:val="00CE4A1D"/>
    <w:rsid w:val="00CE4C82"/>
    <w:rsid w:val="00CE5D57"/>
    <w:rsid w:val="00CE63E6"/>
    <w:rsid w:val="00CE6B31"/>
    <w:rsid w:val="00CE7CF8"/>
    <w:rsid w:val="00CF0482"/>
    <w:rsid w:val="00CF06C6"/>
    <w:rsid w:val="00CF0FD5"/>
    <w:rsid w:val="00CF13D4"/>
    <w:rsid w:val="00CF149C"/>
    <w:rsid w:val="00CF15B3"/>
    <w:rsid w:val="00CF179D"/>
    <w:rsid w:val="00CF2EFB"/>
    <w:rsid w:val="00CF3107"/>
    <w:rsid w:val="00CF42C0"/>
    <w:rsid w:val="00CF45B0"/>
    <w:rsid w:val="00CF50E5"/>
    <w:rsid w:val="00CF5178"/>
    <w:rsid w:val="00CF565F"/>
    <w:rsid w:val="00CF5F28"/>
    <w:rsid w:val="00CF61AF"/>
    <w:rsid w:val="00CF688C"/>
    <w:rsid w:val="00CF6927"/>
    <w:rsid w:val="00CF762B"/>
    <w:rsid w:val="00CF7842"/>
    <w:rsid w:val="00CF7F4A"/>
    <w:rsid w:val="00CF7FB4"/>
    <w:rsid w:val="00D0027D"/>
    <w:rsid w:val="00D007DD"/>
    <w:rsid w:val="00D00897"/>
    <w:rsid w:val="00D00A3E"/>
    <w:rsid w:val="00D01947"/>
    <w:rsid w:val="00D02B77"/>
    <w:rsid w:val="00D03551"/>
    <w:rsid w:val="00D0394B"/>
    <w:rsid w:val="00D045AB"/>
    <w:rsid w:val="00D045D2"/>
    <w:rsid w:val="00D04BA6"/>
    <w:rsid w:val="00D04DC5"/>
    <w:rsid w:val="00D04F34"/>
    <w:rsid w:val="00D050CA"/>
    <w:rsid w:val="00D054D8"/>
    <w:rsid w:val="00D05510"/>
    <w:rsid w:val="00D05864"/>
    <w:rsid w:val="00D05DA4"/>
    <w:rsid w:val="00D05E78"/>
    <w:rsid w:val="00D06210"/>
    <w:rsid w:val="00D063DD"/>
    <w:rsid w:val="00D0678D"/>
    <w:rsid w:val="00D06870"/>
    <w:rsid w:val="00D07018"/>
    <w:rsid w:val="00D102D4"/>
    <w:rsid w:val="00D10FF9"/>
    <w:rsid w:val="00D1130C"/>
    <w:rsid w:val="00D11C1D"/>
    <w:rsid w:val="00D12384"/>
    <w:rsid w:val="00D12953"/>
    <w:rsid w:val="00D13355"/>
    <w:rsid w:val="00D14837"/>
    <w:rsid w:val="00D149C8"/>
    <w:rsid w:val="00D14AE5"/>
    <w:rsid w:val="00D14B20"/>
    <w:rsid w:val="00D14EB3"/>
    <w:rsid w:val="00D15024"/>
    <w:rsid w:val="00D153C1"/>
    <w:rsid w:val="00D1545C"/>
    <w:rsid w:val="00D16100"/>
    <w:rsid w:val="00D1657F"/>
    <w:rsid w:val="00D1778F"/>
    <w:rsid w:val="00D17CB4"/>
    <w:rsid w:val="00D17E6D"/>
    <w:rsid w:val="00D201DB"/>
    <w:rsid w:val="00D20299"/>
    <w:rsid w:val="00D202CE"/>
    <w:rsid w:val="00D203E9"/>
    <w:rsid w:val="00D207B8"/>
    <w:rsid w:val="00D20A1A"/>
    <w:rsid w:val="00D20FE9"/>
    <w:rsid w:val="00D210D0"/>
    <w:rsid w:val="00D212E2"/>
    <w:rsid w:val="00D21663"/>
    <w:rsid w:val="00D21BE3"/>
    <w:rsid w:val="00D22742"/>
    <w:rsid w:val="00D227A8"/>
    <w:rsid w:val="00D22CC5"/>
    <w:rsid w:val="00D22D80"/>
    <w:rsid w:val="00D23252"/>
    <w:rsid w:val="00D235C6"/>
    <w:rsid w:val="00D23EA6"/>
    <w:rsid w:val="00D23FAD"/>
    <w:rsid w:val="00D24163"/>
    <w:rsid w:val="00D24BDB"/>
    <w:rsid w:val="00D25618"/>
    <w:rsid w:val="00D257BB"/>
    <w:rsid w:val="00D25AE9"/>
    <w:rsid w:val="00D25B6D"/>
    <w:rsid w:val="00D25CB9"/>
    <w:rsid w:val="00D26A7E"/>
    <w:rsid w:val="00D270CB"/>
    <w:rsid w:val="00D271D5"/>
    <w:rsid w:val="00D2726A"/>
    <w:rsid w:val="00D2732B"/>
    <w:rsid w:val="00D27741"/>
    <w:rsid w:val="00D27D30"/>
    <w:rsid w:val="00D27EA9"/>
    <w:rsid w:val="00D305EC"/>
    <w:rsid w:val="00D30AF7"/>
    <w:rsid w:val="00D30D81"/>
    <w:rsid w:val="00D30FDA"/>
    <w:rsid w:val="00D32155"/>
    <w:rsid w:val="00D321BF"/>
    <w:rsid w:val="00D328B3"/>
    <w:rsid w:val="00D32A90"/>
    <w:rsid w:val="00D33259"/>
    <w:rsid w:val="00D334FE"/>
    <w:rsid w:val="00D3360B"/>
    <w:rsid w:val="00D339CF"/>
    <w:rsid w:val="00D3479D"/>
    <w:rsid w:val="00D34B16"/>
    <w:rsid w:val="00D350A2"/>
    <w:rsid w:val="00D3555D"/>
    <w:rsid w:val="00D358A0"/>
    <w:rsid w:val="00D35B85"/>
    <w:rsid w:val="00D364B4"/>
    <w:rsid w:val="00D400F9"/>
    <w:rsid w:val="00D408EA"/>
    <w:rsid w:val="00D40A15"/>
    <w:rsid w:val="00D40D72"/>
    <w:rsid w:val="00D4126C"/>
    <w:rsid w:val="00D41476"/>
    <w:rsid w:val="00D4151C"/>
    <w:rsid w:val="00D41AF1"/>
    <w:rsid w:val="00D4208F"/>
    <w:rsid w:val="00D421F0"/>
    <w:rsid w:val="00D4282A"/>
    <w:rsid w:val="00D431E2"/>
    <w:rsid w:val="00D4352D"/>
    <w:rsid w:val="00D43D00"/>
    <w:rsid w:val="00D43E91"/>
    <w:rsid w:val="00D443FB"/>
    <w:rsid w:val="00D44613"/>
    <w:rsid w:val="00D447CE"/>
    <w:rsid w:val="00D453D3"/>
    <w:rsid w:val="00D45BA9"/>
    <w:rsid w:val="00D4637C"/>
    <w:rsid w:val="00D46455"/>
    <w:rsid w:val="00D4671F"/>
    <w:rsid w:val="00D468AC"/>
    <w:rsid w:val="00D46E83"/>
    <w:rsid w:val="00D506A7"/>
    <w:rsid w:val="00D50DA5"/>
    <w:rsid w:val="00D52542"/>
    <w:rsid w:val="00D5329B"/>
    <w:rsid w:val="00D539C8"/>
    <w:rsid w:val="00D53B61"/>
    <w:rsid w:val="00D53E60"/>
    <w:rsid w:val="00D54295"/>
    <w:rsid w:val="00D545C5"/>
    <w:rsid w:val="00D5485E"/>
    <w:rsid w:val="00D557E6"/>
    <w:rsid w:val="00D56329"/>
    <w:rsid w:val="00D56621"/>
    <w:rsid w:val="00D5682D"/>
    <w:rsid w:val="00D56DE3"/>
    <w:rsid w:val="00D570BC"/>
    <w:rsid w:val="00D573EA"/>
    <w:rsid w:val="00D579A6"/>
    <w:rsid w:val="00D60D2B"/>
    <w:rsid w:val="00D61150"/>
    <w:rsid w:val="00D61457"/>
    <w:rsid w:val="00D616DC"/>
    <w:rsid w:val="00D61A22"/>
    <w:rsid w:val="00D61D9E"/>
    <w:rsid w:val="00D621AA"/>
    <w:rsid w:val="00D62EF8"/>
    <w:rsid w:val="00D6300D"/>
    <w:rsid w:val="00D631D2"/>
    <w:rsid w:val="00D637D9"/>
    <w:rsid w:val="00D639E1"/>
    <w:rsid w:val="00D63D4E"/>
    <w:rsid w:val="00D64123"/>
    <w:rsid w:val="00D65906"/>
    <w:rsid w:val="00D65B7C"/>
    <w:rsid w:val="00D66024"/>
    <w:rsid w:val="00D668E6"/>
    <w:rsid w:val="00D66DC1"/>
    <w:rsid w:val="00D66EF0"/>
    <w:rsid w:val="00D66F25"/>
    <w:rsid w:val="00D66FC5"/>
    <w:rsid w:val="00D6706B"/>
    <w:rsid w:val="00D6741D"/>
    <w:rsid w:val="00D677C4"/>
    <w:rsid w:val="00D679C2"/>
    <w:rsid w:val="00D67C57"/>
    <w:rsid w:val="00D7015A"/>
    <w:rsid w:val="00D7088D"/>
    <w:rsid w:val="00D7095B"/>
    <w:rsid w:val="00D711C5"/>
    <w:rsid w:val="00D71663"/>
    <w:rsid w:val="00D7169F"/>
    <w:rsid w:val="00D720BD"/>
    <w:rsid w:val="00D720F1"/>
    <w:rsid w:val="00D72354"/>
    <w:rsid w:val="00D7252F"/>
    <w:rsid w:val="00D72CCE"/>
    <w:rsid w:val="00D73319"/>
    <w:rsid w:val="00D7477C"/>
    <w:rsid w:val="00D74926"/>
    <w:rsid w:val="00D75ACC"/>
    <w:rsid w:val="00D75C7B"/>
    <w:rsid w:val="00D75F30"/>
    <w:rsid w:val="00D76F19"/>
    <w:rsid w:val="00D774C7"/>
    <w:rsid w:val="00D77828"/>
    <w:rsid w:val="00D77EFF"/>
    <w:rsid w:val="00D80583"/>
    <w:rsid w:val="00D806D3"/>
    <w:rsid w:val="00D807F1"/>
    <w:rsid w:val="00D8088C"/>
    <w:rsid w:val="00D80C09"/>
    <w:rsid w:val="00D81005"/>
    <w:rsid w:val="00D8167D"/>
    <w:rsid w:val="00D81873"/>
    <w:rsid w:val="00D81B81"/>
    <w:rsid w:val="00D81CC4"/>
    <w:rsid w:val="00D82C72"/>
    <w:rsid w:val="00D82EE9"/>
    <w:rsid w:val="00D832B5"/>
    <w:rsid w:val="00D833CD"/>
    <w:rsid w:val="00D83A2E"/>
    <w:rsid w:val="00D8453D"/>
    <w:rsid w:val="00D84687"/>
    <w:rsid w:val="00D84C68"/>
    <w:rsid w:val="00D84D5F"/>
    <w:rsid w:val="00D854A2"/>
    <w:rsid w:val="00D856CB"/>
    <w:rsid w:val="00D85BA2"/>
    <w:rsid w:val="00D85DC3"/>
    <w:rsid w:val="00D85DEE"/>
    <w:rsid w:val="00D86957"/>
    <w:rsid w:val="00D86A93"/>
    <w:rsid w:val="00D86AD5"/>
    <w:rsid w:val="00D86C5D"/>
    <w:rsid w:val="00D86F68"/>
    <w:rsid w:val="00D8720C"/>
    <w:rsid w:val="00D8786E"/>
    <w:rsid w:val="00D87E0F"/>
    <w:rsid w:val="00D87EF5"/>
    <w:rsid w:val="00D90267"/>
    <w:rsid w:val="00D905A3"/>
    <w:rsid w:val="00D90A72"/>
    <w:rsid w:val="00D90D40"/>
    <w:rsid w:val="00D9104C"/>
    <w:rsid w:val="00D91111"/>
    <w:rsid w:val="00D917C7"/>
    <w:rsid w:val="00D91CA2"/>
    <w:rsid w:val="00D92719"/>
    <w:rsid w:val="00D92844"/>
    <w:rsid w:val="00D92A52"/>
    <w:rsid w:val="00D92CB8"/>
    <w:rsid w:val="00D92D7A"/>
    <w:rsid w:val="00D94248"/>
    <w:rsid w:val="00D94CD4"/>
    <w:rsid w:val="00D95300"/>
    <w:rsid w:val="00D95C9B"/>
    <w:rsid w:val="00D95D9F"/>
    <w:rsid w:val="00D960C7"/>
    <w:rsid w:val="00D962ED"/>
    <w:rsid w:val="00D96631"/>
    <w:rsid w:val="00D96B28"/>
    <w:rsid w:val="00D96D87"/>
    <w:rsid w:val="00DA00FE"/>
    <w:rsid w:val="00DA0D97"/>
    <w:rsid w:val="00DA10B6"/>
    <w:rsid w:val="00DA11A7"/>
    <w:rsid w:val="00DA12F4"/>
    <w:rsid w:val="00DA249E"/>
    <w:rsid w:val="00DA2AFF"/>
    <w:rsid w:val="00DA2B04"/>
    <w:rsid w:val="00DA2E89"/>
    <w:rsid w:val="00DA2F07"/>
    <w:rsid w:val="00DA3752"/>
    <w:rsid w:val="00DA3DEC"/>
    <w:rsid w:val="00DA4461"/>
    <w:rsid w:val="00DA47C4"/>
    <w:rsid w:val="00DA4B31"/>
    <w:rsid w:val="00DA4CF9"/>
    <w:rsid w:val="00DA4F8C"/>
    <w:rsid w:val="00DA5DB6"/>
    <w:rsid w:val="00DA5DC0"/>
    <w:rsid w:val="00DA62C1"/>
    <w:rsid w:val="00DA6389"/>
    <w:rsid w:val="00DA6630"/>
    <w:rsid w:val="00DA747F"/>
    <w:rsid w:val="00DA7691"/>
    <w:rsid w:val="00DB0054"/>
    <w:rsid w:val="00DB1681"/>
    <w:rsid w:val="00DB1D0E"/>
    <w:rsid w:val="00DB20FD"/>
    <w:rsid w:val="00DB2595"/>
    <w:rsid w:val="00DB2CCB"/>
    <w:rsid w:val="00DB327D"/>
    <w:rsid w:val="00DB3688"/>
    <w:rsid w:val="00DB46F2"/>
    <w:rsid w:val="00DB493E"/>
    <w:rsid w:val="00DB4DE4"/>
    <w:rsid w:val="00DB649E"/>
    <w:rsid w:val="00DB64EE"/>
    <w:rsid w:val="00DB657E"/>
    <w:rsid w:val="00DB65C0"/>
    <w:rsid w:val="00DB74B1"/>
    <w:rsid w:val="00DB7C11"/>
    <w:rsid w:val="00DC031E"/>
    <w:rsid w:val="00DC0424"/>
    <w:rsid w:val="00DC0475"/>
    <w:rsid w:val="00DC062C"/>
    <w:rsid w:val="00DC09CA"/>
    <w:rsid w:val="00DC1023"/>
    <w:rsid w:val="00DC1386"/>
    <w:rsid w:val="00DC144A"/>
    <w:rsid w:val="00DC181C"/>
    <w:rsid w:val="00DC2440"/>
    <w:rsid w:val="00DC2A42"/>
    <w:rsid w:val="00DC30F3"/>
    <w:rsid w:val="00DC3574"/>
    <w:rsid w:val="00DC40C3"/>
    <w:rsid w:val="00DC4278"/>
    <w:rsid w:val="00DC492B"/>
    <w:rsid w:val="00DC4A00"/>
    <w:rsid w:val="00DC4A83"/>
    <w:rsid w:val="00DC4E58"/>
    <w:rsid w:val="00DC54A4"/>
    <w:rsid w:val="00DC5625"/>
    <w:rsid w:val="00DC58E0"/>
    <w:rsid w:val="00DC6260"/>
    <w:rsid w:val="00DC6A61"/>
    <w:rsid w:val="00DC6B76"/>
    <w:rsid w:val="00DC6C22"/>
    <w:rsid w:val="00DC73BC"/>
    <w:rsid w:val="00DC7688"/>
    <w:rsid w:val="00DD0EAB"/>
    <w:rsid w:val="00DD0F6F"/>
    <w:rsid w:val="00DD1335"/>
    <w:rsid w:val="00DD19B8"/>
    <w:rsid w:val="00DD1F39"/>
    <w:rsid w:val="00DD24E0"/>
    <w:rsid w:val="00DD28B9"/>
    <w:rsid w:val="00DD2D6E"/>
    <w:rsid w:val="00DD33A0"/>
    <w:rsid w:val="00DD3AC2"/>
    <w:rsid w:val="00DD3C69"/>
    <w:rsid w:val="00DD3C82"/>
    <w:rsid w:val="00DD3D72"/>
    <w:rsid w:val="00DD3EDE"/>
    <w:rsid w:val="00DD5C09"/>
    <w:rsid w:val="00DD69E3"/>
    <w:rsid w:val="00DD7653"/>
    <w:rsid w:val="00DD782F"/>
    <w:rsid w:val="00DD783B"/>
    <w:rsid w:val="00DD790D"/>
    <w:rsid w:val="00DD7934"/>
    <w:rsid w:val="00DE0A40"/>
    <w:rsid w:val="00DE0BA3"/>
    <w:rsid w:val="00DE0EBF"/>
    <w:rsid w:val="00DE1653"/>
    <w:rsid w:val="00DE2C8F"/>
    <w:rsid w:val="00DE2C98"/>
    <w:rsid w:val="00DE2D8D"/>
    <w:rsid w:val="00DE31D3"/>
    <w:rsid w:val="00DE32FD"/>
    <w:rsid w:val="00DE371F"/>
    <w:rsid w:val="00DE3CC2"/>
    <w:rsid w:val="00DE6364"/>
    <w:rsid w:val="00DE6818"/>
    <w:rsid w:val="00DE6929"/>
    <w:rsid w:val="00DE6B71"/>
    <w:rsid w:val="00DE7C34"/>
    <w:rsid w:val="00DE7D7D"/>
    <w:rsid w:val="00DF00A8"/>
    <w:rsid w:val="00DF06B7"/>
    <w:rsid w:val="00DF0E04"/>
    <w:rsid w:val="00DF1826"/>
    <w:rsid w:val="00DF1AF3"/>
    <w:rsid w:val="00DF1E1A"/>
    <w:rsid w:val="00DF1FE0"/>
    <w:rsid w:val="00DF210C"/>
    <w:rsid w:val="00DF3036"/>
    <w:rsid w:val="00DF4EB5"/>
    <w:rsid w:val="00DF5187"/>
    <w:rsid w:val="00DF53AF"/>
    <w:rsid w:val="00DF58B4"/>
    <w:rsid w:val="00DF5957"/>
    <w:rsid w:val="00DF5F24"/>
    <w:rsid w:val="00DF655F"/>
    <w:rsid w:val="00DF6D5D"/>
    <w:rsid w:val="00DF759D"/>
    <w:rsid w:val="00DF75DF"/>
    <w:rsid w:val="00DF75F3"/>
    <w:rsid w:val="00DF767E"/>
    <w:rsid w:val="00DF78B3"/>
    <w:rsid w:val="00DF7BAE"/>
    <w:rsid w:val="00DF7E6D"/>
    <w:rsid w:val="00E00B42"/>
    <w:rsid w:val="00E00F82"/>
    <w:rsid w:val="00E014D2"/>
    <w:rsid w:val="00E01802"/>
    <w:rsid w:val="00E01914"/>
    <w:rsid w:val="00E019B4"/>
    <w:rsid w:val="00E02483"/>
    <w:rsid w:val="00E02AF7"/>
    <w:rsid w:val="00E0326E"/>
    <w:rsid w:val="00E04357"/>
    <w:rsid w:val="00E04835"/>
    <w:rsid w:val="00E04F3F"/>
    <w:rsid w:val="00E0546F"/>
    <w:rsid w:val="00E05BA4"/>
    <w:rsid w:val="00E05EE8"/>
    <w:rsid w:val="00E05EEA"/>
    <w:rsid w:val="00E06117"/>
    <w:rsid w:val="00E06CC5"/>
    <w:rsid w:val="00E06DA8"/>
    <w:rsid w:val="00E074B0"/>
    <w:rsid w:val="00E079C3"/>
    <w:rsid w:val="00E07A34"/>
    <w:rsid w:val="00E07C44"/>
    <w:rsid w:val="00E07EB2"/>
    <w:rsid w:val="00E07ECF"/>
    <w:rsid w:val="00E10904"/>
    <w:rsid w:val="00E10BC8"/>
    <w:rsid w:val="00E112A2"/>
    <w:rsid w:val="00E112A5"/>
    <w:rsid w:val="00E1170A"/>
    <w:rsid w:val="00E11963"/>
    <w:rsid w:val="00E122E1"/>
    <w:rsid w:val="00E1255D"/>
    <w:rsid w:val="00E1289F"/>
    <w:rsid w:val="00E12D3B"/>
    <w:rsid w:val="00E1353E"/>
    <w:rsid w:val="00E13BD4"/>
    <w:rsid w:val="00E13EE0"/>
    <w:rsid w:val="00E144DC"/>
    <w:rsid w:val="00E14569"/>
    <w:rsid w:val="00E14703"/>
    <w:rsid w:val="00E150B9"/>
    <w:rsid w:val="00E15772"/>
    <w:rsid w:val="00E15A39"/>
    <w:rsid w:val="00E15DAA"/>
    <w:rsid w:val="00E15FD6"/>
    <w:rsid w:val="00E16016"/>
    <w:rsid w:val="00E16116"/>
    <w:rsid w:val="00E16D69"/>
    <w:rsid w:val="00E17FC4"/>
    <w:rsid w:val="00E2041E"/>
    <w:rsid w:val="00E2056E"/>
    <w:rsid w:val="00E205A5"/>
    <w:rsid w:val="00E20EB3"/>
    <w:rsid w:val="00E21A3F"/>
    <w:rsid w:val="00E221DD"/>
    <w:rsid w:val="00E222A4"/>
    <w:rsid w:val="00E222D3"/>
    <w:rsid w:val="00E22C20"/>
    <w:rsid w:val="00E23E08"/>
    <w:rsid w:val="00E23EBF"/>
    <w:rsid w:val="00E24359"/>
    <w:rsid w:val="00E24459"/>
    <w:rsid w:val="00E246D4"/>
    <w:rsid w:val="00E251C0"/>
    <w:rsid w:val="00E259B6"/>
    <w:rsid w:val="00E25F5E"/>
    <w:rsid w:val="00E2648E"/>
    <w:rsid w:val="00E26F87"/>
    <w:rsid w:val="00E3015C"/>
    <w:rsid w:val="00E302FF"/>
    <w:rsid w:val="00E3031B"/>
    <w:rsid w:val="00E3066D"/>
    <w:rsid w:val="00E3127B"/>
    <w:rsid w:val="00E3145A"/>
    <w:rsid w:val="00E323E2"/>
    <w:rsid w:val="00E32B75"/>
    <w:rsid w:val="00E33154"/>
    <w:rsid w:val="00E33688"/>
    <w:rsid w:val="00E33BEE"/>
    <w:rsid w:val="00E33CED"/>
    <w:rsid w:val="00E34401"/>
    <w:rsid w:val="00E34719"/>
    <w:rsid w:val="00E347B2"/>
    <w:rsid w:val="00E34AC2"/>
    <w:rsid w:val="00E3556D"/>
    <w:rsid w:val="00E36BAE"/>
    <w:rsid w:val="00E372AE"/>
    <w:rsid w:val="00E372F7"/>
    <w:rsid w:val="00E37331"/>
    <w:rsid w:val="00E374CF"/>
    <w:rsid w:val="00E375D1"/>
    <w:rsid w:val="00E40217"/>
    <w:rsid w:val="00E40A2D"/>
    <w:rsid w:val="00E41A3A"/>
    <w:rsid w:val="00E42AD3"/>
    <w:rsid w:val="00E42AE6"/>
    <w:rsid w:val="00E42BE0"/>
    <w:rsid w:val="00E4301F"/>
    <w:rsid w:val="00E43872"/>
    <w:rsid w:val="00E438E1"/>
    <w:rsid w:val="00E44AE9"/>
    <w:rsid w:val="00E451F3"/>
    <w:rsid w:val="00E45F48"/>
    <w:rsid w:val="00E473F1"/>
    <w:rsid w:val="00E4752B"/>
    <w:rsid w:val="00E478C9"/>
    <w:rsid w:val="00E50005"/>
    <w:rsid w:val="00E5009F"/>
    <w:rsid w:val="00E5035B"/>
    <w:rsid w:val="00E50972"/>
    <w:rsid w:val="00E50AEC"/>
    <w:rsid w:val="00E50E53"/>
    <w:rsid w:val="00E51305"/>
    <w:rsid w:val="00E5144E"/>
    <w:rsid w:val="00E51EA5"/>
    <w:rsid w:val="00E51F9A"/>
    <w:rsid w:val="00E52193"/>
    <w:rsid w:val="00E524FA"/>
    <w:rsid w:val="00E527F8"/>
    <w:rsid w:val="00E528E8"/>
    <w:rsid w:val="00E529F5"/>
    <w:rsid w:val="00E52D53"/>
    <w:rsid w:val="00E530B8"/>
    <w:rsid w:val="00E532CA"/>
    <w:rsid w:val="00E5354C"/>
    <w:rsid w:val="00E53B97"/>
    <w:rsid w:val="00E54721"/>
    <w:rsid w:val="00E54D53"/>
    <w:rsid w:val="00E554E8"/>
    <w:rsid w:val="00E56D0C"/>
    <w:rsid w:val="00E56F13"/>
    <w:rsid w:val="00E57523"/>
    <w:rsid w:val="00E57F4D"/>
    <w:rsid w:val="00E60171"/>
    <w:rsid w:val="00E60978"/>
    <w:rsid w:val="00E60FF7"/>
    <w:rsid w:val="00E612B7"/>
    <w:rsid w:val="00E61894"/>
    <w:rsid w:val="00E61F8B"/>
    <w:rsid w:val="00E62214"/>
    <w:rsid w:val="00E6245C"/>
    <w:rsid w:val="00E62B35"/>
    <w:rsid w:val="00E62C34"/>
    <w:rsid w:val="00E62D90"/>
    <w:rsid w:val="00E63140"/>
    <w:rsid w:val="00E633DC"/>
    <w:rsid w:val="00E646D2"/>
    <w:rsid w:val="00E64760"/>
    <w:rsid w:val="00E64864"/>
    <w:rsid w:val="00E64BA0"/>
    <w:rsid w:val="00E65309"/>
    <w:rsid w:val="00E6533D"/>
    <w:rsid w:val="00E655E2"/>
    <w:rsid w:val="00E65A51"/>
    <w:rsid w:val="00E65CD8"/>
    <w:rsid w:val="00E66603"/>
    <w:rsid w:val="00E66DC4"/>
    <w:rsid w:val="00E66E11"/>
    <w:rsid w:val="00E67700"/>
    <w:rsid w:val="00E67D22"/>
    <w:rsid w:val="00E711EA"/>
    <w:rsid w:val="00E715D0"/>
    <w:rsid w:val="00E71851"/>
    <w:rsid w:val="00E72028"/>
    <w:rsid w:val="00E7221E"/>
    <w:rsid w:val="00E72EC8"/>
    <w:rsid w:val="00E735A9"/>
    <w:rsid w:val="00E735FE"/>
    <w:rsid w:val="00E73ACF"/>
    <w:rsid w:val="00E74ECC"/>
    <w:rsid w:val="00E75863"/>
    <w:rsid w:val="00E760AA"/>
    <w:rsid w:val="00E7627E"/>
    <w:rsid w:val="00E76EB1"/>
    <w:rsid w:val="00E77186"/>
    <w:rsid w:val="00E776F0"/>
    <w:rsid w:val="00E7782D"/>
    <w:rsid w:val="00E800C6"/>
    <w:rsid w:val="00E80640"/>
    <w:rsid w:val="00E807F1"/>
    <w:rsid w:val="00E80F80"/>
    <w:rsid w:val="00E81085"/>
    <w:rsid w:val="00E8157E"/>
    <w:rsid w:val="00E815FC"/>
    <w:rsid w:val="00E81736"/>
    <w:rsid w:val="00E81994"/>
    <w:rsid w:val="00E81ED7"/>
    <w:rsid w:val="00E82586"/>
    <w:rsid w:val="00E826C4"/>
    <w:rsid w:val="00E82A2B"/>
    <w:rsid w:val="00E82D58"/>
    <w:rsid w:val="00E82F1F"/>
    <w:rsid w:val="00E82FC6"/>
    <w:rsid w:val="00E830F1"/>
    <w:rsid w:val="00E83154"/>
    <w:rsid w:val="00E837F9"/>
    <w:rsid w:val="00E83A20"/>
    <w:rsid w:val="00E83B64"/>
    <w:rsid w:val="00E84301"/>
    <w:rsid w:val="00E84357"/>
    <w:rsid w:val="00E84C24"/>
    <w:rsid w:val="00E84D69"/>
    <w:rsid w:val="00E84F1E"/>
    <w:rsid w:val="00E850C3"/>
    <w:rsid w:val="00E85535"/>
    <w:rsid w:val="00E856C5"/>
    <w:rsid w:val="00E85C7C"/>
    <w:rsid w:val="00E86488"/>
    <w:rsid w:val="00E86DAD"/>
    <w:rsid w:val="00E870F0"/>
    <w:rsid w:val="00E90228"/>
    <w:rsid w:val="00E907F4"/>
    <w:rsid w:val="00E90D82"/>
    <w:rsid w:val="00E90DCC"/>
    <w:rsid w:val="00E90F4A"/>
    <w:rsid w:val="00E9145C"/>
    <w:rsid w:val="00E919A6"/>
    <w:rsid w:val="00E926C6"/>
    <w:rsid w:val="00E928C3"/>
    <w:rsid w:val="00E9351C"/>
    <w:rsid w:val="00E94F63"/>
    <w:rsid w:val="00E95A44"/>
    <w:rsid w:val="00E95A66"/>
    <w:rsid w:val="00E95BB8"/>
    <w:rsid w:val="00E95F4E"/>
    <w:rsid w:val="00E962CA"/>
    <w:rsid w:val="00E963A4"/>
    <w:rsid w:val="00E963FF"/>
    <w:rsid w:val="00E96556"/>
    <w:rsid w:val="00E969F1"/>
    <w:rsid w:val="00E96D10"/>
    <w:rsid w:val="00E96E5D"/>
    <w:rsid w:val="00E9710C"/>
    <w:rsid w:val="00E9798A"/>
    <w:rsid w:val="00E979F7"/>
    <w:rsid w:val="00EA0266"/>
    <w:rsid w:val="00EA0968"/>
    <w:rsid w:val="00EA1477"/>
    <w:rsid w:val="00EA1D58"/>
    <w:rsid w:val="00EA26A0"/>
    <w:rsid w:val="00EA3000"/>
    <w:rsid w:val="00EA327C"/>
    <w:rsid w:val="00EA3725"/>
    <w:rsid w:val="00EA3936"/>
    <w:rsid w:val="00EA44F5"/>
    <w:rsid w:val="00EA4D49"/>
    <w:rsid w:val="00EA513F"/>
    <w:rsid w:val="00EA591B"/>
    <w:rsid w:val="00EA5961"/>
    <w:rsid w:val="00EA5CD1"/>
    <w:rsid w:val="00EA5E2A"/>
    <w:rsid w:val="00EA6D84"/>
    <w:rsid w:val="00EA6F9F"/>
    <w:rsid w:val="00EA734E"/>
    <w:rsid w:val="00EA7710"/>
    <w:rsid w:val="00EA7D38"/>
    <w:rsid w:val="00EB05B6"/>
    <w:rsid w:val="00EB0731"/>
    <w:rsid w:val="00EB07A3"/>
    <w:rsid w:val="00EB093B"/>
    <w:rsid w:val="00EB0FEE"/>
    <w:rsid w:val="00EB1015"/>
    <w:rsid w:val="00EB11AE"/>
    <w:rsid w:val="00EB15DC"/>
    <w:rsid w:val="00EB18A7"/>
    <w:rsid w:val="00EB19BD"/>
    <w:rsid w:val="00EB2020"/>
    <w:rsid w:val="00EB26AF"/>
    <w:rsid w:val="00EB27D5"/>
    <w:rsid w:val="00EB28E9"/>
    <w:rsid w:val="00EB29BC"/>
    <w:rsid w:val="00EB2A3B"/>
    <w:rsid w:val="00EB2E09"/>
    <w:rsid w:val="00EB31A7"/>
    <w:rsid w:val="00EB336B"/>
    <w:rsid w:val="00EB3653"/>
    <w:rsid w:val="00EB3F65"/>
    <w:rsid w:val="00EB425D"/>
    <w:rsid w:val="00EB45FA"/>
    <w:rsid w:val="00EB5094"/>
    <w:rsid w:val="00EB578A"/>
    <w:rsid w:val="00EB5D47"/>
    <w:rsid w:val="00EB5F16"/>
    <w:rsid w:val="00EB6454"/>
    <w:rsid w:val="00EB6AFD"/>
    <w:rsid w:val="00EB6C7D"/>
    <w:rsid w:val="00EB70E5"/>
    <w:rsid w:val="00EB75BC"/>
    <w:rsid w:val="00EB7763"/>
    <w:rsid w:val="00EB7914"/>
    <w:rsid w:val="00EB7AC2"/>
    <w:rsid w:val="00EB7C8E"/>
    <w:rsid w:val="00EB7E72"/>
    <w:rsid w:val="00EC0116"/>
    <w:rsid w:val="00EC02BE"/>
    <w:rsid w:val="00EC056C"/>
    <w:rsid w:val="00EC0A11"/>
    <w:rsid w:val="00EC1416"/>
    <w:rsid w:val="00EC146E"/>
    <w:rsid w:val="00EC1B1A"/>
    <w:rsid w:val="00EC1C15"/>
    <w:rsid w:val="00EC1D82"/>
    <w:rsid w:val="00EC1E1D"/>
    <w:rsid w:val="00EC21CA"/>
    <w:rsid w:val="00EC35DE"/>
    <w:rsid w:val="00EC3EDF"/>
    <w:rsid w:val="00EC4B9D"/>
    <w:rsid w:val="00EC53E6"/>
    <w:rsid w:val="00EC543A"/>
    <w:rsid w:val="00EC5975"/>
    <w:rsid w:val="00EC5F64"/>
    <w:rsid w:val="00EC6130"/>
    <w:rsid w:val="00EC6766"/>
    <w:rsid w:val="00EC6B27"/>
    <w:rsid w:val="00EC6BF6"/>
    <w:rsid w:val="00EC74A6"/>
    <w:rsid w:val="00EC758A"/>
    <w:rsid w:val="00EC7AE3"/>
    <w:rsid w:val="00EC7E08"/>
    <w:rsid w:val="00ED0F4E"/>
    <w:rsid w:val="00ED1075"/>
    <w:rsid w:val="00ED1971"/>
    <w:rsid w:val="00ED1993"/>
    <w:rsid w:val="00ED19E8"/>
    <w:rsid w:val="00ED1A17"/>
    <w:rsid w:val="00ED1A58"/>
    <w:rsid w:val="00ED1E9A"/>
    <w:rsid w:val="00ED1FCD"/>
    <w:rsid w:val="00ED1FF7"/>
    <w:rsid w:val="00ED2563"/>
    <w:rsid w:val="00ED2A4C"/>
    <w:rsid w:val="00ED2B3B"/>
    <w:rsid w:val="00ED2BDC"/>
    <w:rsid w:val="00ED312C"/>
    <w:rsid w:val="00ED395D"/>
    <w:rsid w:val="00ED4371"/>
    <w:rsid w:val="00ED583E"/>
    <w:rsid w:val="00ED5CE5"/>
    <w:rsid w:val="00ED6DFC"/>
    <w:rsid w:val="00ED710A"/>
    <w:rsid w:val="00ED75CF"/>
    <w:rsid w:val="00ED762B"/>
    <w:rsid w:val="00ED7C90"/>
    <w:rsid w:val="00EE067C"/>
    <w:rsid w:val="00EE0E5B"/>
    <w:rsid w:val="00EE11D4"/>
    <w:rsid w:val="00EE1275"/>
    <w:rsid w:val="00EE1597"/>
    <w:rsid w:val="00EE16AD"/>
    <w:rsid w:val="00EE1D7D"/>
    <w:rsid w:val="00EE1DA1"/>
    <w:rsid w:val="00EE2031"/>
    <w:rsid w:val="00EE2D3E"/>
    <w:rsid w:val="00EE35DE"/>
    <w:rsid w:val="00EE370C"/>
    <w:rsid w:val="00EE4924"/>
    <w:rsid w:val="00EE641B"/>
    <w:rsid w:val="00EE6C29"/>
    <w:rsid w:val="00EE715E"/>
    <w:rsid w:val="00EE7204"/>
    <w:rsid w:val="00EE7232"/>
    <w:rsid w:val="00EE754A"/>
    <w:rsid w:val="00EE7A5E"/>
    <w:rsid w:val="00EE7F4F"/>
    <w:rsid w:val="00EF002E"/>
    <w:rsid w:val="00EF0377"/>
    <w:rsid w:val="00EF039F"/>
    <w:rsid w:val="00EF0491"/>
    <w:rsid w:val="00EF05F3"/>
    <w:rsid w:val="00EF0CEF"/>
    <w:rsid w:val="00EF119B"/>
    <w:rsid w:val="00EF11CE"/>
    <w:rsid w:val="00EF120E"/>
    <w:rsid w:val="00EF13FE"/>
    <w:rsid w:val="00EF1488"/>
    <w:rsid w:val="00EF1801"/>
    <w:rsid w:val="00EF1A7E"/>
    <w:rsid w:val="00EF1ECC"/>
    <w:rsid w:val="00EF2143"/>
    <w:rsid w:val="00EF256E"/>
    <w:rsid w:val="00EF2C6E"/>
    <w:rsid w:val="00EF3159"/>
    <w:rsid w:val="00EF384D"/>
    <w:rsid w:val="00EF4569"/>
    <w:rsid w:val="00EF4B37"/>
    <w:rsid w:val="00EF4F51"/>
    <w:rsid w:val="00EF51DF"/>
    <w:rsid w:val="00EF51FC"/>
    <w:rsid w:val="00EF61CD"/>
    <w:rsid w:val="00EF6960"/>
    <w:rsid w:val="00EF6C4A"/>
    <w:rsid w:val="00EF6D95"/>
    <w:rsid w:val="00EF74D6"/>
    <w:rsid w:val="00EF7D4C"/>
    <w:rsid w:val="00F0083A"/>
    <w:rsid w:val="00F0088A"/>
    <w:rsid w:val="00F00DB1"/>
    <w:rsid w:val="00F01BC1"/>
    <w:rsid w:val="00F01DA0"/>
    <w:rsid w:val="00F01E26"/>
    <w:rsid w:val="00F02BB9"/>
    <w:rsid w:val="00F02E7D"/>
    <w:rsid w:val="00F03706"/>
    <w:rsid w:val="00F05E11"/>
    <w:rsid w:val="00F060ED"/>
    <w:rsid w:val="00F062AC"/>
    <w:rsid w:val="00F068A0"/>
    <w:rsid w:val="00F06FD7"/>
    <w:rsid w:val="00F070A4"/>
    <w:rsid w:val="00F0745D"/>
    <w:rsid w:val="00F0756C"/>
    <w:rsid w:val="00F076DB"/>
    <w:rsid w:val="00F10983"/>
    <w:rsid w:val="00F10C63"/>
    <w:rsid w:val="00F112AD"/>
    <w:rsid w:val="00F115CA"/>
    <w:rsid w:val="00F121CB"/>
    <w:rsid w:val="00F124CD"/>
    <w:rsid w:val="00F12787"/>
    <w:rsid w:val="00F12B84"/>
    <w:rsid w:val="00F12C33"/>
    <w:rsid w:val="00F12D2B"/>
    <w:rsid w:val="00F136A0"/>
    <w:rsid w:val="00F140B4"/>
    <w:rsid w:val="00F146C4"/>
    <w:rsid w:val="00F147E1"/>
    <w:rsid w:val="00F152AB"/>
    <w:rsid w:val="00F15824"/>
    <w:rsid w:val="00F158E2"/>
    <w:rsid w:val="00F15AA3"/>
    <w:rsid w:val="00F15BE9"/>
    <w:rsid w:val="00F16342"/>
    <w:rsid w:val="00F166FC"/>
    <w:rsid w:val="00F1693D"/>
    <w:rsid w:val="00F16A13"/>
    <w:rsid w:val="00F17101"/>
    <w:rsid w:val="00F175F6"/>
    <w:rsid w:val="00F177DC"/>
    <w:rsid w:val="00F17AC1"/>
    <w:rsid w:val="00F17E8E"/>
    <w:rsid w:val="00F2092E"/>
    <w:rsid w:val="00F20A25"/>
    <w:rsid w:val="00F20B06"/>
    <w:rsid w:val="00F20D6E"/>
    <w:rsid w:val="00F21433"/>
    <w:rsid w:val="00F222D9"/>
    <w:rsid w:val="00F225F8"/>
    <w:rsid w:val="00F22810"/>
    <w:rsid w:val="00F23002"/>
    <w:rsid w:val="00F23521"/>
    <w:rsid w:val="00F2359F"/>
    <w:rsid w:val="00F23BA9"/>
    <w:rsid w:val="00F241D5"/>
    <w:rsid w:val="00F2486D"/>
    <w:rsid w:val="00F24A6F"/>
    <w:rsid w:val="00F24B47"/>
    <w:rsid w:val="00F25573"/>
    <w:rsid w:val="00F25733"/>
    <w:rsid w:val="00F25A5B"/>
    <w:rsid w:val="00F25E05"/>
    <w:rsid w:val="00F263C4"/>
    <w:rsid w:val="00F26B85"/>
    <w:rsid w:val="00F26F08"/>
    <w:rsid w:val="00F2710C"/>
    <w:rsid w:val="00F27189"/>
    <w:rsid w:val="00F274F9"/>
    <w:rsid w:val="00F2783D"/>
    <w:rsid w:val="00F301B4"/>
    <w:rsid w:val="00F30865"/>
    <w:rsid w:val="00F314CA"/>
    <w:rsid w:val="00F31547"/>
    <w:rsid w:val="00F31F31"/>
    <w:rsid w:val="00F31F85"/>
    <w:rsid w:val="00F3334A"/>
    <w:rsid w:val="00F33A4D"/>
    <w:rsid w:val="00F34F34"/>
    <w:rsid w:val="00F3519E"/>
    <w:rsid w:val="00F35350"/>
    <w:rsid w:val="00F35720"/>
    <w:rsid w:val="00F35C7D"/>
    <w:rsid w:val="00F35D14"/>
    <w:rsid w:val="00F35E37"/>
    <w:rsid w:val="00F361F5"/>
    <w:rsid w:val="00F36868"/>
    <w:rsid w:val="00F36CF6"/>
    <w:rsid w:val="00F37737"/>
    <w:rsid w:val="00F4022D"/>
    <w:rsid w:val="00F405ED"/>
    <w:rsid w:val="00F40BDA"/>
    <w:rsid w:val="00F41633"/>
    <w:rsid w:val="00F419C8"/>
    <w:rsid w:val="00F41C30"/>
    <w:rsid w:val="00F422FB"/>
    <w:rsid w:val="00F4235A"/>
    <w:rsid w:val="00F42F73"/>
    <w:rsid w:val="00F4352C"/>
    <w:rsid w:val="00F435DD"/>
    <w:rsid w:val="00F43806"/>
    <w:rsid w:val="00F43EA9"/>
    <w:rsid w:val="00F4480D"/>
    <w:rsid w:val="00F44A54"/>
    <w:rsid w:val="00F44FE7"/>
    <w:rsid w:val="00F45F48"/>
    <w:rsid w:val="00F46D51"/>
    <w:rsid w:val="00F46DC9"/>
    <w:rsid w:val="00F47051"/>
    <w:rsid w:val="00F47064"/>
    <w:rsid w:val="00F4775A"/>
    <w:rsid w:val="00F47DFA"/>
    <w:rsid w:val="00F504D5"/>
    <w:rsid w:val="00F5078F"/>
    <w:rsid w:val="00F514DF"/>
    <w:rsid w:val="00F52226"/>
    <w:rsid w:val="00F52CC2"/>
    <w:rsid w:val="00F53779"/>
    <w:rsid w:val="00F540A3"/>
    <w:rsid w:val="00F54796"/>
    <w:rsid w:val="00F5639C"/>
    <w:rsid w:val="00F56533"/>
    <w:rsid w:val="00F56757"/>
    <w:rsid w:val="00F569F5"/>
    <w:rsid w:val="00F56DC6"/>
    <w:rsid w:val="00F5727D"/>
    <w:rsid w:val="00F600B0"/>
    <w:rsid w:val="00F60C1E"/>
    <w:rsid w:val="00F61083"/>
    <w:rsid w:val="00F614E9"/>
    <w:rsid w:val="00F61830"/>
    <w:rsid w:val="00F61F2B"/>
    <w:rsid w:val="00F62353"/>
    <w:rsid w:val="00F625EA"/>
    <w:rsid w:val="00F62EC1"/>
    <w:rsid w:val="00F632F0"/>
    <w:rsid w:val="00F63C68"/>
    <w:rsid w:val="00F640CA"/>
    <w:rsid w:val="00F6435F"/>
    <w:rsid w:val="00F64F85"/>
    <w:rsid w:val="00F650C6"/>
    <w:rsid w:val="00F6570E"/>
    <w:rsid w:val="00F65D41"/>
    <w:rsid w:val="00F65FA8"/>
    <w:rsid w:val="00F6641D"/>
    <w:rsid w:val="00F6654F"/>
    <w:rsid w:val="00F670C5"/>
    <w:rsid w:val="00F671E1"/>
    <w:rsid w:val="00F672F3"/>
    <w:rsid w:val="00F677E4"/>
    <w:rsid w:val="00F677E9"/>
    <w:rsid w:val="00F67E52"/>
    <w:rsid w:val="00F70AF9"/>
    <w:rsid w:val="00F70F5D"/>
    <w:rsid w:val="00F71282"/>
    <w:rsid w:val="00F717A9"/>
    <w:rsid w:val="00F717D7"/>
    <w:rsid w:val="00F724FC"/>
    <w:rsid w:val="00F727ED"/>
    <w:rsid w:val="00F72893"/>
    <w:rsid w:val="00F72B2F"/>
    <w:rsid w:val="00F72F75"/>
    <w:rsid w:val="00F73E44"/>
    <w:rsid w:val="00F7412B"/>
    <w:rsid w:val="00F744CB"/>
    <w:rsid w:val="00F74885"/>
    <w:rsid w:val="00F7539A"/>
    <w:rsid w:val="00F753C7"/>
    <w:rsid w:val="00F75D7F"/>
    <w:rsid w:val="00F769F5"/>
    <w:rsid w:val="00F76B28"/>
    <w:rsid w:val="00F76F81"/>
    <w:rsid w:val="00F776C9"/>
    <w:rsid w:val="00F77968"/>
    <w:rsid w:val="00F77C20"/>
    <w:rsid w:val="00F77DAA"/>
    <w:rsid w:val="00F808A3"/>
    <w:rsid w:val="00F808C8"/>
    <w:rsid w:val="00F80E08"/>
    <w:rsid w:val="00F810DE"/>
    <w:rsid w:val="00F81447"/>
    <w:rsid w:val="00F817F6"/>
    <w:rsid w:val="00F8210B"/>
    <w:rsid w:val="00F8240F"/>
    <w:rsid w:val="00F82581"/>
    <w:rsid w:val="00F82F71"/>
    <w:rsid w:val="00F8319D"/>
    <w:rsid w:val="00F83BF7"/>
    <w:rsid w:val="00F83CF7"/>
    <w:rsid w:val="00F84CFC"/>
    <w:rsid w:val="00F84EE2"/>
    <w:rsid w:val="00F852AC"/>
    <w:rsid w:val="00F855BB"/>
    <w:rsid w:val="00F85A38"/>
    <w:rsid w:val="00F8618F"/>
    <w:rsid w:val="00F86742"/>
    <w:rsid w:val="00F86E62"/>
    <w:rsid w:val="00F87873"/>
    <w:rsid w:val="00F8797F"/>
    <w:rsid w:val="00F9024B"/>
    <w:rsid w:val="00F90368"/>
    <w:rsid w:val="00F90801"/>
    <w:rsid w:val="00F90CEE"/>
    <w:rsid w:val="00F90FD1"/>
    <w:rsid w:val="00F91066"/>
    <w:rsid w:val="00F91420"/>
    <w:rsid w:val="00F91516"/>
    <w:rsid w:val="00F9192B"/>
    <w:rsid w:val="00F91BBC"/>
    <w:rsid w:val="00F9200E"/>
    <w:rsid w:val="00F92102"/>
    <w:rsid w:val="00F9219E"/>
    <w:rsid w:val="00F92456"/>
    <w:rsid w:val="00F927F6"/>
    <w:rsid w:val="00F928A7"/>
    <w:rsid w:val="00F92EBB"/>
    <w:rsid w:val="00F93C72"/>
    <w:rsid w:val="00F93E69"/>
    <w:rsid w:val="00F946C5"/>
    <w:rsid w:val="00F94832"/>
    <w:rsid w:val="00F94D2D"/>
    <w:rsid w:val="00F94E29"/>
    <w:rsid w:val="00F951A8"/>
    <w:rsid w:val="00F954DC"/>
    <w:rsid w:val="00F9668C"/>
    <w:rsid w:val="00F969ED"/>
    <w:rsid w:val="00F973B8"/>
    <w:rsid w:val="00F97777"/>
    <w:rsid w:val="00FA074C"/>
    <w:rsid w:val="00FA0C0F"/>
    <w:rsid w:val="00FA1054"/>
    <w:rsid w:val="00FA1715"/>
    <w:rsid w:val="00FA189F"/>
    <w:rsid w:val="00FA1985"/>
    <w:rsid w:val="00FA24D6"/>
    <w:rsid w:val="00FA2EB3"/>
    <w:rsid w:val="00FA33EA"/>
    <w:rsid w:val="00FA3B20"/>
    <w:rsid w:val="00FA3B31"/>
    <w:rsid w:val="00FA3F36"/>
    <w:rsid w:val="00FA4BDA"/>
    <w:rsid w:val="00FA4E6A"/>
    <w:rsid w:val="00FA56B9"/>
    <w:rsid w:val="00FA5849"/>
    <w:rsid w:val="00FA6021"/>
    <w:rsid w:val="00FA6E71"/>
    <w:rsid w:val="00FA7041"/>
    <w:rsid w:val="00FB09F2"/>
    <w:rsid w:val="00FB1AF5"/>
    <w:rsid w:val="00FB1F32"/>
    <w:rsid w:val="00FB2621"/>
    <w:rsid w:val="00FB28A9"/>
    <w:rsid w:val="00FB3319"/>
    <w:rsid w:val="00FB38C1"/>
    <w:rsid w:val="00FB39D8"/>
    <w:rsid w:val="00FB4749"/>
    <w:rsid w:val="00FB496B"/>
    <w:rsid w:val="00FB4AF0"/>
    <w:rsid w:val="00FB4EEC"/>
    <w:rsid w:val="00FB5305"/>
    <w:rsid w:val="00FB5539"/>
    <w:rsid w:val="00FB580A"/>
    <w:rsid w:val="00FB5BF0"/>
    <w:rsid w:val="00FB5CDA"/>
    <w:rsid w:val="00FB5D0B"/>
    <w:rsid w:val="00FB6219"/>
    <w:rsid w:val="00FB6344"/>
    <w:rsid w:val="00FB6DD5"/>
    <w:rsid w:val="00FC05BE"/>
    <w:rsid w:val="00FC0BB0"/>
    <w:rsid w:val="00FC18C6"/>
    <w:rsid w:val="00FC1D66"/>
    <w:rsid w:val="00FC20A3"/>
    <w:rsid w:val="00FC2965"/>
    <w:rsid w:val="00FC2AA2"/>
    <w:rsid w:val="00FC2BFC"/>
    <w:rsid w:val="00FC2FEF"/>
    <w:rsid w:val="00FC4821"/>
    <w:rsid w:val="00FC4E0A"/>
    <w:rsid w:val="00FC507A"/>
    <w:rsid w:val="00FC5721"/>
    <w:rsid w:val="00FC5F58"/>
    <w:rsid w:val="00FC6563"/>
    <w:rsid w:val="00FC675B"/>
    <w:rsid w:val="00FC703C"/>
    <w:rsid w:val="00FC7057"/>
    <w:rsid w:val="00FC70C1"/>
    <w:rsid w:val="00FC7C5E"/>
    <w:rsid w:val="00FD0107"/>
    <w:rsid w:val="00FD03E0"/>
    <w:rsid w:val="00FD0552"/>
    <w:rsid w:val="00FD0E3F"/>
    <w:rsid w:val="00FD1636"/>
    <w:rsid w:val="00FD1CDC"/>
    <w:rsid w:val="00FD1F7B"/>
    <w:rsid w:val="00FD1FFB"/>
    <w:rsid w:val="00FD25DF"/>
    <w:rsid w:val="00FD2A36"/>
    <w:rsid w:val="00FD2EE6"/>
    <w:rsid w:val="00FD3AA6"/>
    <w:rsid w:val="00FD3C99"/>
    <w:rsid w:val="00FD45B6"/>
    <w:rsid w:val="00FD468C"/>
    <w:rsid w:val="00FD54F3"/>
    <w:rsid w:val="00FD55D5"/>
    <w:rsid w:val="00FD5B38"/>
    <w:rsid w:val="00FD5B9A"/>
    <w:rsid w:val="00FD5BAB"/>
    <w:rsid w:val="00FD5C6A"/>
    <w:rsid w:val="00FD5CC6"/>
    <w:rsid w:val="00FD61D3"/>
    <w:rsid w:val="00FD64A9"/>
    <w:rsid w:val="00FD6621"/>
    <w:rsid w:val="00FD7256"/>
    <w:rsid w:val="00FE058D"/>
    <w:rsid w:val="00FE0629"/>
    <w:rsid w:val="00FE08F5"/>
    <w:rsid w:val="00FE23DF"/>
    <w:rsid w:val="00FE2A57"/>
    <w:rsid w:val="00FE2EA6"/>
    <w:rsid w:val="00FE2F85"/>
    <w:rsid w:val="00FE2FFD"/>
    <w:rsid w:val="00FE310F"/>
    <w:rsid w:val="00FE369C"/>
    <w:rsid w:val="00FE3FFA"/>
    <w:rsid w:val="00FE45FA"/>
    <w:rsid w:val="00FE477F"/>
    <w:rsid w:val="00FE4CEE"/>
    <w:rsid w:val="00FE53AC"/>
    <w:rsid w:val="00FE5BD3"/>
    <w:rsid w:val="00FE6258"/>
    <w:rsid w:val="00FE675A"/>
    <w:rsid w:val="00FE6F80"/>
    <w:rsid w:val="00FE71EB"/>
    <w:rsid w:val="00FE78F3"/>
    <w:rsid w:val="00FE7EF6"/>
    <w:rsid w:val="00FF0141"/>
    <w:rsid w:val="00FF0863"/>
    <w:rsid w:val="00FF13B4"/>
    <w:rsid w:val="00FF1535"/>
    <w:rsid w:val="00FF1B0C"/>
    <w:rsid w:val="00FF249F"/>
    <w:rsid w:val="00FF2991"/>
    <w:rsid w:val="00FF309C"/>
    <w:rsid w:val="00FF3DCD"/>
    <w:rsid w:val="00FF4251"/>
    <w:rsid w:val="00FF45C6"/>
    <w:rsid w:val="00FF4E5B"/>
    <w:rsid w:val="00FF50BD"/>
    <w:rsid w:val="00FF51E9"/>
    <w:rsid w:val="00FF5A40"/>
    <w:rsid w:val="00FF5B70"/>
    <w:rsid w:val="00FF5CDC"/>
    <w:rsid w:val="00FF64F5"/>
    <w:rsid w:val="00FF6EA9"/>
    <w:rsid w:val="00FF6FAA"/>
    <w:rsid w:val="00FF7441"/>
    <w:rsid w:val="00FF771D"/>
    <w:rsid w:val="00FF77B0"/>
    <w:rsid w:val="00FF7D61"/>
    <w:rsid w:val="01AC57A6"/>
    <w:rsid w:val="01C963F3"/>
    <w:rsid w:val="03B6339E"/>
    <w:rsid w:val="04461F7D"/>
    <w:rsid w:val="062067FE"/>
    <w:rsid w:val="065821AB"/>
    <w:rsid w:val="077E1111"/>
    <w:rsid w:val="084C06C0"/>
    <w:rsid w:val="086800A0"/>
    <w:rsid w:val="092D7C23"/>
    <w:rsid w:val="09664528"/>
    <w:rsid w:val="09B25C7E"/>
    <w:rsid w:val="0A2148F3"/>
    <w:rsid w:val="0A4A174E"/>
    <w:rsid w:val="0B3F7726"/>
    <w:rsid w:val="0B430D9D"/>
    <w:rsid w:val="0BEB6F2D"/>
    <w:rsid w:val="0BFA364D"/>
    <w:rsid w:val="0CC954FA"/>
    <w:rsid w:val="0CCD4738"/>
    <w:rsid w:val="0D6F054E"/>
    <w:rsid w:val="0D725B91"/>
    <w:rsid w:val="0E144B5A"/>
    <w:rsid w:val="0F013483"/>
    <w:rsid w:val="0F121CAE"/>
    <w:rsid w:val="111451B1"/>
    <w:rsid w:val="12E8676D"/>
    <w:rsid w:val="133A2492"/>
    <w:rsid w:val="136441CE"/>
    <w:rsid w:val="139B1477"/>
    <w:rsid w:val="14332AA2"/>
    <w:rsid w:val="14686756"/>
    <w:rsid w:val="14FD6699"/>
    <w:rsid w:val="157955E3"/>
    <w:rsid w:val="15D849FF"/>
    <w:rsid w:val="164F206C"/>
    <w:rsid w:val="16E54654"/>
    <w:rsid w:val="16E93A50"/>
    <w:rsid w:val="16FC296F"/>
    <w:rsid w:val="184B0E55"/>
    <w:rsid w:val="18730A0F"/>
    <w:rsid w:val="18AB63FB"/>
    <w:rsid w:val="19457086"/>
    <w:rsid w:val="19734677"/>
    <w:rsid w:val="199724DC"/>
    <w:rsid w:val="1AB561B1"/>
    <w:rsid w:val="1B1D15CE"/>
    <w:rsid w:val="1BF34341"/>
    <w:rsid w:val="1C0E2F29"/>
    <w:rsid w:val="1CE43C8A"/>
    <w:rsid w:val="1DD3548B"/>
    <w:rsid w:val="1DED21D8"/>
    <w:rsid w:val="1E1E7C35"/>
    <w:rsid w:val="1E5B152D"/>
    <w:rsid w:val="1EBF49AE"/>
    <w:rsid w:val="1F0E3DA5"/>
    <w:rsid w:val="1FB931AC"/>
    <w:rsid w:val="204136C0"/>
    <w:rsid w:val="208D2D81"/>
    <w:rsid w:val="20C55B80"/>
    <w:rsid w:val="20CE49AC"/>
    <w:rsid w:val="215A36C6"/>
    <w:rsid w:val="21EA3909"/>
    <w:rsid w:val="22143D06"/>
    <w:rsid w:val="22C24633"/>
    <w:rsid w:val="22F75C0D"/>
    <w:rsid w:val="232E2076"/>
    <w:rsid w:val="24807DEF"/>
    <w:rsid w:val="248F4E23"/>
    <w:rsid w:val="249B4BA3"/>
    <w:rsid w:val="25114177"/>
    <w:rsid w:val="2530088B"/>
    <w:rsid w:val="25555EA5"/>
    <w:rsid w:val="255D5E59"/>
    <w:rsid w:val="259221B1"/>
    <w:rsid w:val="25F82554"/>
    <w:rsid w:val="2601765A"/>
    <w:rsid w:val="260A251D"/>
    <w:rsid w:val="267F67D1"/>
    <w:rsid w:val="26B45420"/>
    <w:rsid w:val="273F6043"/>
    <w:rsid w:val="277E3593"/>
    <w:rsid w:val="281178FD"/>
    <w:rsid w:val="282B2E08"/>
    <w:rsid w:val="28332D0A"/>
    <w:rsid w:val="28630A25"/>
    <w:rsid w:val="289522DC"/>
    <w:rsid w:val="290F7096"/>
    <w:rsid w:val="29710090"/>
    <w:rsid w:val="2B3B5C26"/>
    <w:rsid w:val="2C32224A"/>
    <w:rsid w:val="2C3D0F42"/>
    <w:rsid w:val="2C7F7652"/>
    <w:rsid w:val="2D177764"/>
    <w:rsid w:val="2D2F28DA"/>
    <w:rsid w:val="2D3D3C21"/>
    <w:rsid w:val="2EA365D8"/>
    <w:rsid w:val="2F28674F"/>
    <w:rsid w:val="2F3F7F81"/>
    <w:rsid w:val="2F7013AD"/>
    <w:rsid w:val="2FFB511A"/>
    <w:rsid w:val="301D46EF"/>
    <w:rsid w:val="30532B78"/>
    <w:rsid w:val="30AD7056"/>
    <w:rsid w:val="313E3D64"/>
    <w:rsid w:val="31E63BA8"/>
    <w:rsid w:val="32AF5D7F"/>
    <w:rsid w:val="33480F8C"/>
    <w:rsid w:val="337D06C5"/>
    <w:rsid w:val="34A02734"/>
    <w:rsid w:val="35541A83"/>
    <w:rsid w:val="35C91DF7"/>
    <w:rsid w:val="361E1B63"/>
    <w:rsid w:val="361F1F7B"/>
    <w:rsid w:val="367A4403"/>
    <w:rsid w:val="36E95712"/>
    <w:rsid w:val="372907BF"/>
    <w:rsid w:val="373B350A"/>
    <w:rsid w:val="375A12C0"/>
    <w:rsid w:val="37783D82"/>
    <w:rsid w:val="38194CD8"/>
    <w:rsid w:val="38C26B8B"/>
    <w:rsid w:val="39390D22"/>
    <w:rsid w:val="39E9692C"/>
    <w:rsid w:val="3A2F2590"/>
    <w:rsid w:val="3A626FED"/>
    <w:rsid w:val="3AAE056A"/>
    <w:rsid w:val="3B7B2140"/>
    <w:rsid w:val="3C2679C3"/>
    <w:rsid w:val="3C9C1D23"/>
    <w:rsid w:val="3DB03FCF"/>
    <w:rsid w:val="3E0B4452"/>
    <w:rsid w:val="3E2148E6"/>
    <w:rsid w:val="3FB30DEE"/>
    <w:rsid w:val="40EC4EBB"/>
    <w:rsid w:val="41335680"/>
    <w:rsid w:val="41635C6F"/>
    <w:rsid w:val="42554A87"/>
    <w:rsid w:val="425D3A13"/>
    <w:rsid w:val="4283791D"/>
    <w:rsid w:val="42C817D4"/>
    <w:rsid w:val="42FB0C93"/>
    <w:rsid w:val="434B6A27"/>
    <w:rsid w:val="43805C0B"/>
    <w:rsid w:val="43EC23C9"/>
    <w:rsid w:val="447A578E"/>
    <w:rsid w:val="44B76D92"/>
    <w:rsid w:val="44E67CEF"/>
    <w:rsid w:val="45554E75"/>
    <w:rsid w:val="463F1685"/>
    <w:rsid w:val="464E3D9E"/>
    <w:rsid w:val="46623CEE"/>
    <w:rsid w:val="47D204E7"/>
    <w:rsid w:val="49137521"/>
    <w:rsid w:val="498D67EF"/>
    <w:rsid w:val="49A90785"/>
    <w:rsid w:val="4A453E49"/>
    <w:rsid w:val="4A7364C9"/>
    <w:rsid w:val="4B3C2D5F"/>
    <w:rsid w:val="4C104E92"/>
    <w:rsid w:val="4C5D4DE8"/>
    <w:rsid w:val="4C631422"/>
    <w:rsid w:val="4DC60731"/>
    <w:rsid w:val="4E21448E"/>
    <w:rsid w:val="4F543FF8"/>
    <w:rsid w:val="4F786330"/>
    <w:rsid w:val="4F952A3E"/>
    <w:rsid w:val="4FCA5A0C"/>
    <w:rsid w:val="5004130D"/>
    <w:rsid w:val="50186198"/>
    <w:rsid w:val="513A2737"/>
    <w:rsid w:val="515B5948"/>
    <w:rsid w:val="515B7CB7"/>
    <w:rsid w:val="517245EC"/>
    <w:rsid w:val="518A6447"/>
    <w:rsid w:val="52EB479B"/>
    <w:rsid w:val="52FB4980"/>
    <w:rsid w:val="53B316E5"/>
    <w:rsid w:val="54E029F8"/>
    <w:rsid w:val="55120D38"/>
    <w:rsid w:val="56561084"/>
    <w:rsid w:val="571921A6"/>
    <w:rsid w:val="57AD5BD4"/>
    <w:rsid w:val="583B6311"/>
    <w:rsid w:val="585711D8"/>
    <w:rsid w:val="591A2206"/>
    <w:rsid w:val="599767C4"/>
    <w:rsid w:val="5A4E03B9"/>
    <w:rsid w:val="5AD13129"/>
    <w:rsid w:val="5B9A423C"/>
    <w:rsid w:val="5BB138E2"/>
    <w:rsid w:val="5EB033F0"/>
    <w:rsid w:val="5ED209B4"/>
    <w:rsid w:val="5F49114F"/>
    <w:rsid w:val="5F532459"/>
    <w:rsid w:val="60BD055D"/>
    <w:rsid w:val="61285F53"/>
    <w:rsid w:val="61A66D2D"/>
    <w:rsid w:val="621B4377"/>
    <w:rsid w:val="6235591B"/>
    <w:rsid w:val="62532AF1"/>
    <w:rsid w:val="627634E0"/>
    <w:rsid w:val="62C710D7"/>
    <w:rsid w:val="62DA48B2"/>
    <w:rsid w:val="631B2E02"/>
    <w:rsid w:val="646031C3"/>
    <w:rsid w:val="6562503C"/>
    <w:rsid w:val="658E5B0E"/>
    <w:rsid w:val="666F593F"/>
    <w:rsid w:val="668F0856"/>
    <w:rsid w:val="672F1572"/>
    <w:rsid w:val="6739419F"/>
    <w:rsid w:val="6768725A"/>
    <w:rsid w:val="67CA033E"/>
    <w:rsid w:val="67E54135"/>
    <w:rsid w:val="680C1784"/>
    <w:rsid w:val="684D6578"/>
    <w:rsid w:val="687716F6"/>
    <w:rsid w:val="6AC975E8"/>
    <w:rsid w:val="6B2347B2"/>
    <w:rsid w:val="6B936B66"/>
    <w:rsid w:val="6C040369"/>
    <w:rsid w:val="6C2E004A"/>
    <w:rsid w:val="6D346FC3"/>
    <w:rsid w:val="6D6F1482"/>
    <w:rsid w:val="6E146BD3"/>
    <w:rsid w:val="6E342110"/>
    <w:rsid w:val="6E9323E7"/>
    <w:rsid w:val="70363A77"/>
    <w:rsid w:val="706933FF"/>
    <w:rsid w:val="71431EA2"/>
    <w:rsid w:val="71F9675B"/>
    <w:rsid w:val="723932A5"/>
    <w:rsid w:val="730218E9"/>
    <w:rsid w:val="73072696"/>
    <w:rsid w:val="73090EC9"/>
    <w:rsid w:val="7345528C"/>
    <w:rsid w:val="73557816"/>
    <w:rsid w:val="73BC0AEF"/>
    <w:rsid w:val="74DB6895"/>
    <w:rsid w:val="756B0E42"/>
    <w:rsid w:val="758F3DCE"/>
    <w:rsid w:val="761023DF"/>
    <w:rsid w:val="76742AFE"/>
    <w:rsid w:val="76B65384"/>
    <w:rsid w:val="770A79A4"/>
    <w:rsid w:val="77C948CA"/>
    <w:rsid w:val="78034139"/>
    <w:rsid w:val="788E3053"/>
    <w:rsid w:val="78C642A1"/>
    <w:rsid w:val="79EB6A00"/>
    <w:rsid w:val="7A63452D"/>
    <w:rsid w:val="7A8C5157"/>
    <w:rsid w:val="7BEF3783"/>
    <w:rsid w:val="7BEF74D5"/>
    <w:rsid w:val="7C1903CF"/>
    <w:rsid w:val="7C39335E"/>
    <w:rsid w:val="7C5424EB"/>
    <w:rsid w:val="7D4500BE"/>
    <w:rsid w:val="7FF2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autoRedefine/>
    <w:qFormat/>
    <w:uiPriority w:val="0"/>
    <w:pPr>
      <w:keepNext/>
      <w:jc w:val="center"/>
      <w:outlineLvl w:val="0"/>
    </w:pPr>
    <w:rPr>
      <w:bCs/>
      <w:sz w:val="44"/>
      <w:szCs w:val="20"/>
    </w:rPr>
  </w:style>
  <w:style w:type="paragraph" w:styleId="3">
    <w:name w:val="heading 2"/>
    <w:basedOn w:val="1"/>
    <w:next w:val="4"/>
    <w:link w:val="54"/>
    <w:autoRedefine/>
    <w:qFormat/>
    <w:uiPriority w:val="0"/>
    <w:pPr>
      <w:keepNext/>
      <w:keepLines/>
      <w:spacing w:line="360" w:lineRule="auto"/>
      <w:outlineLvl w:val="1"/>
    </w:pPr>
    <w:rPr>
      <w:rFonts w:ascii="Arial" w:hAnsi="Arial" w:eastAsia="方正小标宋简体"/>
      <w:b/>
      <w:bCs/>
      <w:sz w:val="44"/>
      <w:szCs w:val="32"/>
    </w:rPr>
  </w:style>
  <w:style w:type="paragraph" w:styleId="5">
    <w:name w:val="heading 3"/>
    <w:basedOn w:val="1"/>
    <w:next w:val="1"/>
    <w:link w:val="55"/>
    <w:autoRedefine/>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56"/>
    <w:autoRedefine/>
    <w:qFormat/>
    <w:uiPriority w:val="0"/>
    <w:pPr>
      <w:keepNext/>
      <w:keepLines/>
      <w:spacing w:line="560" w:lineRule="exact"/>
      <w:outlineLvl w:val="3"/>
    </w:pPr>
    <w:rPr>
      <w:rFonts w:ascii="Arial" w:hAnsi="Arial" w:eastAsia="黑体"/>
      <w:b/>
      <w:bCs/>
      <w:sz w:val="28"/>
      <w:szCs w:val="28"/>
    </w:rPr>
  </w:style>
  <w:style w:type="paragraph" w:styleId="7">
    <w:name w:val="heading 5"/>
    <w:basedOn w:val="1"/>
    <w:next w:val="1"/>
    <w:link w:val="57"/>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58"/>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9"/>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0"/>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1"/>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widowControl/>
      <w:ind w:firstLine="420"/>
      <w:jc w:val="left"/>
    </w:pPr>
    <w:rPr>
      <w:kern w:val="0"/>
      <w:sz w:val="20"/>
      <w:szCs w:val="20"/>
    </w:rPr>
  </w:style>
  <w:style w:type="paragraph" w:styleId="12">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3">
    <w:name w:val="Document Map"/>
    <w:basedOn w:val="1"/>
    <w:link w:val="85"/>
    <w:autoRedefine/>
    <w:semiHidden/>
    <w:qFormat/>
    <w:uiPriority w:val="0"/>
    <w:pPr>
      <w:shd w:val="clear" w:color="auto" w:fill="000080"/>
    </w:pPr>
  </w:style>
  <w:style w:type="paragraph" w:styleId="14">
    <w:name w:val="annotation text"/>
    <w:basedOn w:val="1"/>
    <w:next w:val="1"/>
    <w:link w:val="69"/>
    <w:autoRedefine/>
    <w:qFormat/>
    <w:uiPriority w:val="0"/>
    <w:pPr>
      <w:jc w:val="left"/>
    </w:pPr>
  </w:style>
  <w:style w:type="paragraph" w:styleId="15">
    <w:name w:val="Salutation"/>
    <w:basedOn w:val="1"/>
    <w:next w:val="1"/>
    <w:link w:val="74"/>
    <w:autoRedefine/>
    <w:qFormat/>
    <w:uiPriority w:val="0"/>
    <w:rPr>
      <w:rFonts w:ascii="仿宋_GB2312" w:eastAsia="仿宋_GB2312"/>
      <w:sz w:val="24"/>
    </w:rPr>
  </w:style>
  <w:style w:type="paragraph" w:styleId="16">
    <w:name w:val="Body Text"/>
    <w:basedOn w:val="1"/>
    <w:next w:val="17"/>
    <w:link w:val="63"/>
    <w:autoRedefine/>
    <w:qFormat/>
    <w:uiPriority w:val="99"/>
    <w:pPr>
      <w:spacing w:after="120"/>
    </w:pPr>
  </w:style>
  <w:style w:type="paragraph" w:styleId="17">
    <w:name w:val="Body Text First Indent"/>
    <w:basedOn w:val="1"/>
    <w:next w:val="1"/>
    <w:autoRedefine/>
    <w:qFormat/>
    <w:uiPriority w:val="99"/>
    <w:pPr>
      <w:spacing w:after="120" w:line="275" w:lineRule="atLeast"/>
      <w:ind w:firstLine="420"/>
      <w:textAlignment w:val="baseline"/>
    </w:pPr>
  </w:style>
  <w:style w:type="paragraph" w:styleId="18">
    <w:name w:val="Body Text Indent"/>
    <w:basedOn w:val="1"/>
    <w:link w:val="66"/>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8"/>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9"/>
    <w:autoRedefine/>
    <w:qFormat/>
    <w:uiPriority w:val="0"/>
    <w:rPr>
      <w:sz w:val="24"/>
      <w:szCs w:val="20"/>
    </w:rPr>
  </w:style>
  <w:style w:type="paragraph" w:styleId="25">
    <w:name w:val="Body Text Indent 2"/>
    <w:basedOn w:val="1"/>
    <w:link w:val="76"/>
    <w:autoRedefine/>
    <w:qFormat/>
    <w:uiPriority w:val="0"/>
    <w:pPr>
      <w:spacing w:after="120" w:line="480" w:lineRule="auto"/>
      <w:ind w:left="420" w:leftChars="200"/>
    </w:pPr>
  </w:style>
  <w:style w:type="paragraph" w:styleId="26">
    <w:name w:val="endnote text"/>
    <w:basedOn w:val="1"/>
    <w:autoRedefine/>
    <w:semiHidden/>
    <w:unhideWhenUsed/>
    <w:qFormat/>
    <w:uiPriority w:val="99"/>
    <w:pPr>
      <w:snapToGrid w:val="0"/>
      <w:jc w:val="left"/>
    </w:pPr>
  </w:style>
  <w:style w:type="paragraph" w:styleId="27">
    <w:name w:val="Balloon Text"/>
    <w:basedOn w:val="1"/>
    <w:link w:val="93"/>
    <w:autoRedefine/>
    <w:qFormat/>
    <w:uiPriority w:val="0"/>
    <w:rPr>
      <w:sz w:val="18"/>
      <w:szCs w:val="18"/>
    </w:rPr>
  </w:style>
  <w:style w:type="paragraph" w:styleId="28">
    <w:name w:val="footer"/>
    <w:basedOn w:val="1"/>
    <w:link w:val="64"/>
    <w:autoRedefine/>
    <w:qFormat/>
    <w:uiPriority w:val="99"/>
    <w:pPr>
      <w:tabs>
        <w:tab w:val="center" w:pos="4153"/>
        <w:tab w:val="right" w:pos="8306"/>
      </w:tabs>
      <w:snapToGrid w:val="0"/>
      <w:jc w:val="left"/>
    </w:pPr>
    <w:rPr>
      <w:sz w:val="18"/>
      <w:szCs w:val="18"/>
    </w:rPr>
  </w:style>
  <w:style w:type="paragraph" w:styleId="29">
    <w:name w:val="header"/>
    <w:basedOn w:val="1"/>
    <w:link w:val="65"/>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spacing w:line="360" w:lineRule="auto"/>
    </w:pPr>
    <w:rPr>
      <w:rFonts w:eastAsia="黑体" w:asciiTheme="minorEastAsia" w:hAnsiTheme="minorEastAsia"/>
      <w:b/>
      <w:sz w:val="32"/>
      <w:szCs w:val="21"/>
    </w:rPr>
  </w:style>
  <w:style w:type="paragraph" w:styleId="31">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2">
    <w:name w:val="Subtitle"/>
    <w:basedOn w:val="1"/>
    <w:next w:val="1"/>
    <w:link w:val="146"/>
    <w:autoRedefine/>
    <w:qFormat/>
    <w:uiPriority w:val="0"/>
    <w:pPr>
      <w:spacing w:before="240" w:after="60" w:line="312" w:lineRule="auto"/>
      <w:jc w:val="center"/>
      <w:outlineLvl w:val="1"/>
    </w:pPr>
    <w:rPr>
      <w:rFonts w:ascii="等线 Light" w:hAnsi="等线 Light"/>
      <w:b/>
      <w:bCs/>
      <w:kern w:val="28"/>
      <w:sz w:val="32"/>
      <w:szCs w:val="32"/>
    </w:rPr>
  </w:style>
  <w:style w:type="paragraph" w:styleId="33">
    <w:name w:val="toc 6"/>
    <w:basedOn w:val="1"/>
    <w:next w:val="1"/>
    <w:autoRedefine/>
    <w:qFormat/>
    <w:uiPriority w:val="39"/>
    <w:pPr>
      <w:ind w:left="2100"/>
    </w:pPr>
    <w:rPr>
      <w:szCs w:val="20"/>
    </w:rPr>
  </w:style>
  <w:style w:type="paragraph" w:styleId="34">
    <w:name w:val="Body Text Indent 3"/>
    <w:basedOn w:val="1"/>
    <w:link w:val="78"/>
    <w:autoRedefine/>
    <w:qFormat/>
    <w:uiPriority w:val="0"/>
    <w:pPr>
      <w:spacing w:after="120"/>
      <w:ind w:left="420" w:leftChars="200"/>
    </w:pPr>
    <w:rPr>
      <w:sz w:val="16"/>
      <w:szCs w:val="16"/>
    </w:rPr>
  </w:style>
  <w:style w:type="paragraph" w:styleId="35">
    <w:name w:val="toc 2"/>
    <w:basedOn w:val="1"/>
    <w:next w:val="1"/>
    <w:autoRedefine/>
    <w:unhideWhenUsed/>
    <w:qFormat/>
    <w:uiPriority w:val="39"/>
    <w:pPr>
      <w:spacing w:line="360" w:lineRule="auto"/>
    </w:pPr>
    <w:rPr>
      <w:rFonts w:eastAsiaTheme="minorEastAsia"/>
      <w:b/>
      <w:sz w:val="28"/>
    </w:rPr>
  </w:style>
  <w:style w:type="paragraph" w:styleId="36">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7">
    <w:name w:val="Body Text 2"/>
    <w:basedOn w:val="1"/>
    <w:link w:val="75"/>
    <w:autoRedefine/>
    <w:qFormat/>
    <w:uiPriority w:val="0"/>
    <w:pPr>
      <w:spacing w:after="120" w:line="480" w:lineRule="auto"/>
    </w:pPr>
  </w:style>
  <w:style w:type="paragraph" w:styleId="38">
    <w:name w:val="HTML Preformatted"/>
    <w:basedOn w:val="1"/>
    <w:link w:val="7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autoRedefine/>
    <w:qFormat/>
    <w:uiPriority w:val="0"/>
    <w:pPr>
      <w:spacing w:line="220" w:lineRule="exact"/>
      <w:jc w:val="center"/>
    </w:pPr>
    <w:rPr>
      <w:rFonts w:ascii="仿宋_GB2312" w:eastAsia="仿宋_GB2312"/>
      <w:szCs w:val="20"/>
    </w:rPr>
  </w:style>
  <w:style w:type="paragraph" w:styleId="41">
    <w:name w:val="Title"/>
    <w:basedOn w:val="1"/>
    <w:link w:val="110"/>
    <w:autoRedefine/>
    <w:qFormat/>
    <w:uiPriority w:val="0"/>
    <w:pPr>
      <w:jc w:val="center"/>
      <w:outlineLvl w:val="0"/>
    </w:pPr>
    <w:rPr>
      <w:rFonts w:asciiTheme="minorHAnsi" w:hAnsiTheme="minorHAnsi" w:eastAsiaTheme="minorEastAsia" w:cstheme="minorBidi"/>
      <w:b/>
      <w:sz w:val="32"/>
      <w:szCs w:val="22"/>
    </w:rPr>
  </w:style>
  <w:style w:type="paragraph" w:styleId="42">
    <w:name w:val="annotation subject"/>
    <w:basedOn w:val="14"/>
    <w:next w:val="14"/>
    <w:link w:val="92"/>
    <w:autoRedefine/>
    <w:qFormat/>
    <w:uiPriority w:val="0"/>
    <w:rPr>
      <w:b/>
      <w:bCs/>
    </w:rPr>
  </w:style>
  <w:style w:type="paragraph" w:styleId="43">
    <w:name w:val="Body Text First Indent 2"/>
    <w:basedOn w:val="18"/>
    <w:autoRedefine/>
    <w:unhideWhenUsed/>
    <w:qFormat/>
    <w:uiPriority w:val="99"/>
    <w:pPr>
      <w:tabs>
        <w:tab w:val="left" w:pos="0"/>
        <w:tab w:val="left" w:pos="993"/>
        <w:tab w:val="left" w:pos="1134"/>
      </w:tabs>
      <w:ind w:firstLine="420" w:firstLineChars="200"/>
    </w:p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22"/>
    <w:rPr>
      <w:b/>
      <w:bCs/>
    </w:rPr>
  </w:style>
  <w:style w:type="character" w:styleId="48">
    <w:name w:val="endnote reference"/>
    <w:basedOn w:val="46"/>
    <w:autoRedefine/>
    <w:semiHidden/>
    <w:unhideWhenUsed/>
    <w:qFormat/>
    <w:uiPriority w:val="99"/>
    <w:rPr>
      <w:vertAlign w:val="superscript"/>
    </w:rPr>
  </w:style>
  <w:style w:type="character" w:styleId="49">
    <w:name w:val="page number"/>
    <w:basedOn w:val="46"/>
    <w:autoRedefine/>
    <w:qFormat/>
    <w:uiPriority w:val="0"/>
  </w:style>
  <w:style w:type="character" w:styleId="50">
    <w:name w:val="FollowedHyperlink"/>
    <w:autoRedefine/>
    <w:qFormat/>
    <w:uiPriority w:val="0"/>
    <w:rPr>
      <w:color w:val="800080"/>
      <w:u w:val="single"/>
    </w:rPr>
  </w:style>
  <w:style w:type="character" w:styleId="51">
    <w:name w:val="Hyperlink"/>
    <w:autoRedefine/>
    <w:qFormat/>
    <w:uiPriority w:val="99"/>
    <w:rPr>
      <w:color w:val="136EC2"/>
      <w:u w:val="single"/>
    </w:rPr>
  </w:style>
  <w:style w:type="character" w:styleId="52">
    <w:name w:val="annotation reference"/>
    <w:autoRedefine/>
    <w:qFormat/>
    <w:uiPriority w:val="0"/>
    <w:rPr>
      <w:sz w:val="21"/>
      <w:szCs w:val="21"/>
    </w:rPr>
  </w:style>
  <w:style w:type="character" w:customStyle="1" w:styleId="53">
    <w:name w:val="标题 1 字符1"/>
    <w:basedOn w:val="46"/>
    <w:link w:val="2"/>
    <w:autoRedefine/>
    <w:qFormat/>
    <w:uiPriority w:val="0"/>
    <w:rPr>
      <w:bCs/>
      <w:kern w:val="2"/>
      <w:sz w:val="44"/>
    </w:rPr>
  </w:style>
  <w:style w:type="character" w:customStyle="1" w:styleId="54">
    <w:name w:val="标题 2 字符1"/>
    <w:basedOn w:val="46"/>
    <w:link w:val="3"/>
    <w:autoRedefine/>
    <w:qFormat/>
    <w:uiPriority w:val="0"/>
    <w:rPr>
      <w:rFonts w:ascii="Arial" w:hAnsi="Arial" w:eastAsia="方正小标宋简体"/>
      <w:b/>
      <w:bCs/>
      <w:kern w:val="2"/>
      <w:sz w:val="44"/>
      <w:szCs w:val="32"/>
    </w:rPr>
  </w:style>
  <w:style w:type="character" w:customStyle="1" w:styleId="55">
    <w:name w:val="标题 3 字符"/>
    <w:basedOn w:val="46"/>
    <w:link w:val="5"/>
    <w:autoRedefine/>
    <w:qFormat/>
    <w:uiPriority w:val="0"/>
    <w:rPr>
      <w:rFonts w:eastAsia="黑体"/>
      <w:b/>
      <w:bCs/>
      <w:kern w:val="2"/>
      <w:sz w:val="32"/>
      <w:szCs w:val="32"/>
    </w:rPr>
  </w:style>
  <w:style w:type="character" w:customStyle="1" w:styleId="56">
    <w:name w:val="标题 4 字符1"/>
    <w:basedOn w:val="46"/>
    <w:link w:val="6"/>
    <w:autoRedefine/>
    <w:qFormat/>
    <w:uiPriority w:val="0"/>
    <w:rPr>
      <w:rFonts w:ascii="Arial" w:hAnsi="Arial" w:eastAsia="黑体"/>
      <w:b/>
      <w:bCs/>
      <w:kern w:val="2"/>
      <w:sz w:val="28"/>
      <w:szCs w:val="28"/>
    </w:rPr>
  </w:style>
  <w:style w:type="character" w:customStyle="1" w:styleId="57">
    <w:name w:val="标题 5 字符"/>
    <w:basedOn w:val="46"/>
    <w:link w:val="7"/>
    <w:autoRedefine/>
    <w:qFormat/>
    <w:uiPriority w:val="0"/>
    <w:rPr>
      <w:rFonts w:ascii="Times New Roman" w:hAnsi="Times New Roman" w:eastAsia="宋体" w:cs="Times New Roman"/>
      <w:b/>
      <w:bCs/>
      <w:kern w:val="0"/>
      <w:sz w:val="28"/>
      <w:szCs w:val="28"/>
    </w:rPr>
  </w:style>
  <w:style w:type="character" w:customStyle="1" w:styleId="58">
    <w:name w:val="标题 6 字符"/>
    <w:basedOn w:val="46"/>
    <w:link w:val="8"/>
    <w:autoRedefine/>
    <w:qFormat/>
    <w:uiPriority w:val="0"/>
    <w:rPr>
      <w:rFonts w:ascii="Arial" w:hAnsi="Arial" w:eastAsia="黑体" w:cs="Times New Roman"/>
      <w:b/>
      <w:bCs/>
      <w:kern w:val="0"/>
      <w:sz w:val="24"/>
      <w:szCs w:val="24"/>
    </w:rPr>
  </w:style>
  <w:style w:type="character" w:customStyle="1" w:styleId="59">
    <w:name w:val="标题 7 字符"/>
    <w:basedOn w:val="46"/>
    <w:link w:val="9"/>
    <w:autoRedefine/>
    <w:qFormat/>
    <w:uiPriority w:val="0"/>
    <w:rPr>
      <w:rFonts w:ascii="Times New Roman" w:hAnsi="Times New Roman" w:eastAsia="宋体" w:cs="Times New Roman"/>
      <w:b/>
      <w:bCs/>
      <w:kern w:val="0"/>
      <w:sz w:val="24"/>
      <w:szCs w:val="24"/>
    </w:rPr>
  </w:style>
  <w:style w:type="character" w:customStyle="1" w:styleId="60">
    <w:name w:val="标题 8 字符"/>
    <w:basedOn w:val="46"/>
    <w:link w:val="10"/>
    <w:autoRedefine/>
    <w:qFormat/>
    <w:uiPriority w:val="0"/>
    <w:rPr>
      <w:rFonts w:ascii="Arial" w:hAnsi="Arial" w:eastAsia="黑体" w:cs="Times New Roman"/>
      <w:kern w:val="0"/>
      <w:sz w:val="24"/>
      <w:szCs w:val="24"/>
    </w:rPr>
  </w:style>
  <w:style w:type="character" w:customStyle="1" w:styleId="61">
    <w:name w:val="标题 9 字符"/>
    <w:basedOn w:val="46"/>
    <w:link w:val="11"/>
    <w:autoRedefine/>
    <w:qFormat/>
    <w:uiPriority w:val="0"/>
    <w:rPr>
      <w:rFonts w:ascii="Arial" w:hAnsi="Arial" w:eastAsia="黑体" w:cs="Times New Roman"/>
      <w:kern w:val="0"/>
      <w:szCs w:val="21"/>
    </w:rPr>
  </w:style>
  <w:style w:type="paragraph" w:customStyle="1" w:styleId="62">
    <w:name w:val="表格内容"/>
    <w:basedOn w:val="16"/>
    <w:autoRedefine/>
    <w:qFormat/>
    <w:uiPriority w:val="0"/>
    <w:pPr>
      <w:suppressLineNumbers/>
      <w:suppressAutoHyphens/>
      <w:jc w:val="left"/>
    </w:pPr>
    <w:rPr>
      <w:rFonts w:cs="Tahoma"/>
      <w:kern w:val="0"/>
      <w:sz w:val="24"/>
    </w:rPr>
  </w:style>
  <w:style w:type="character" w:customStyle="1" w:styleId="63">
    <w:name w:val="正文文本 字符1"/>
    <w:basedOn w:val="46"/>
    <w:link w:val="16"/>
    <w:autoRedefine/>
    <w:qFormat/>
    <w:uiPriority w:val="0"/>
    <w:rPr>
      <w:rFonts w:ascii="Times New Roman" w:hAnsi="Times New Roman" w:eastAsia="宋体" w:cs="Times New Roman"/>
      <w:szCs w:val="24"/>
    </w:rPr>
  </w:style>
  <w:style w:type="character" w:customStyle="1" w:styleId="64">
    <w:name w:val="页脚 字符1"/>
    <w:basedOn w:val="46"/>
    <w:link w:val="28"/>
    <w:autoRedefine/>
    <w:qFormat/>
    <w:uiPriority w:val="99"/>
    <w:rPr>
      <w:rFonts w:ascii="Times New Roman" w:hAnsi="Times New Roman" w:eastAsia="宋体" w:cs="Times New Roman"/>
      <w:sz w:val="18"/>
      <w:szCs w:val="18"/>
    </w:rPr>
  </w:style>
  <w:style w:type="character" w:customStyle="1" w:styleId="65">
    <w:name w:val="页眉 字符1"/>
    <w:basedOn w:val="46"/>
    <w:link w:val="29"/>
    <w:autoRedefine/>
    <w:qFormat/>
    <w:uiPriority w:val="99"/>
    <w:rPr>
      <w:rFonts w:ascii="Times New Roman" w:hAnsi="Times New Roman" w:eastAsia="宋体" w:cs="Times New Roman"/>
      <w:sz w:val="18"/>
      <w:szCs w:val="18"/>
    </w:rPr>
  </w:style>
  <w:style w:type="character" w:customStyle="1" w:styleId="66">
    <w:name w:val="正文文本缩进 字符1"/>
    <w:basedOn w:val="46"/>
    <w:link w:val="18"/>
    <w:autoRedefine/>
    <w:qFormat/>
    <w:uiPriority w:val="0"/>
    <w:rPr>
      <w:rFonts w:ascii="Times New Roman" w:hAnsi="Times New Roman" w:eastAsia="宋体" w:cs="Times New Roman"/>
      <w:szCs w:val="24"/>
    </w:rPr>
  </w:style>
  <w:style w:type="paragraph" w:customStyle="1" w:styleId="67">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8">
    <w:name w:val="纯文本 字符1"/>
    <w:basedOn w:val="46"/>
    <w:link w:val="22"/>
    <w:autoRedefine/>
    <w:qFormat/>
    <w:uiPriority w:val="0"/>
    <w:rPr>
      <w:rFonts w:ascii="宋体" w:hAnsi="Courier New" w:eastAsia="宋体" w:cs="Courier New"/>
      <w:szCs w:val="21"/>
    </w:rPr>
  </w:style>
  <w:style w:type="character" w:customStyle="1" w:styleId="69">
    <w:name w:val="批注文字 字符1"/>
    <w:basedOn w:val="46"/>
    <w:link w:val="14"/>
    <w:autoRedefine/>
    <w:qFormat/>
    <w:uiPriority w:val="0"/>
    <w:rPr>
      <w:rFonts w:ascii="Times New Roman" w:hAnsi="Times New Roman" w:eastAsia="宋体" w:cs="Times New Roman"/>
      <w:szCs w:val="24"/>
    </w:rPr>
  </w:style>
  <w:style w:type="paragraph" w:customStyle="1" w:styleId="70">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71">
    <w:name w:val="Char Char Char"/>
    <w:basedOn w:val="1"/>
    <w:autoRedefine/>
    <w:qFormat/>
    <w:uiPriority w:val="0"/>
    <w:rPr>
      <w:rFonts w:ascii="宋体" w:hAnsi="宋体"/>
      <w:b/>
      <w:sz w:val="28"/>
      <w:szCs w:val="28"/>
    </w:rPr>
  </w:style>
  <w:style w:type="paragraph" w:customStyle="1" w:styleId="72">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3">
    <w:name w:val="HTML 预设格式 字符"/>
    <w:basedOn w:val="46"/>
    <w:link w:val="38"/>
    <w:autoRedefine/>
    <w:qFormat/>
    <w:uiPriority w:val="0"/>
    <w:rPr>
      <w:rFonts w:ascii="Arial" w:hAnsi="Arial" w:eastAsia="宋体" w:cs="Arial"/>
      <w:kern w:val="0"/>
      <w:sz w:val="24"/>
      <w:szCs w:val="24"/>
    </w:rPr>
  </w:style>
  <w:style w:type="character" w:customStyle="1" w:styleId="74">
    <w:name w:val="称呼 字符"/>
    <w:basedOn w:val="46"/>
    <w:link w:val="15"/>
    <w:autoRedefine/>
    <w:qFormat/>
    <w:uiPriority w:val="0"/>
    <w:rPr>
      <w:rFonts w:ascii="仿宋_GB2312" w:hAnsi="Times New Roman" w:eastAsia="仿宋_GB2312" w:cs="Times New Roman"/>
      <w:sz w:val="24"/>
      <w:szCs w:val="24"/>
    </w:rPr>
  </w:style>
  <w:style w:type="character" w:customStyle="1" w:styleId="75">
    <w:name w:val="正文文本 2 字符1"/>
    <w:basedOn w:val="46"/>
    <w:link w:val="37"/>
    <w:autoRedefine/>
    <w:qFormat/>
    <w:uiPriority w:val="0"/>
    <w:rPr>
      <w:rFonts w:ascii="Times New Roman" w:hAnsi="Times New Roman" w:eastAsia="宋体" w:cs="Times New Roman"/>
      <w:szCs w:val="24"/>
    </w:rPr>
  </w:style>
  <w:style w:type="character" w:customStyle="1" w:styleId="76">
    <w:name w:val="正文文本缩进 2 字符1"/>
    <w:basedOn w:val="46"/>
    <w:link w:val="25"/>
    <w:autoRedefine/>
    <w:qFormat/>
    <w:uiPriority w:val="0"/>
    <w:rPr>
      <w:rFonts w:ascii="Times New Roman" w:hAnsi="Times New Roman" w:eastAsia="宋体" w:cs="Times New Roman"/>
      <w:szCs w:val="24"/>
    </w:rPr>
  </w:style>
  <w:style w:type="paragraph" w:customStyle="1" w:styleId="77">
    <w:name w:val="Char"/>
    <w:basedOn w:val="1"/>
    <w:autoRedefine/>
    <w:qFormat/>
    <w:uiPriority w:val="0"/>
    <w:pPr>
      <w:tabs>
        <w:tab w:val="left" w:pos="360"/>
      </w:tabs>
      <w:ind w:left="360" w:hanging="360" w:hangingChars="200"/>
    </w:pPr>
    <w:rPr>
      <w:sz w:val="24"/>
    </w:rPr>
  </w:style>
  <w:style w:type="character" w:customStyle="1" w:styleId="78">
    <w:name w:val="正文文本缩进 3 字符"/>
    <w:basedOn w:val="46"/>
    <w:link w:val="34"/>
    <w:autoRedefine/>
    <w:qFormat/>
    <w:uiPriority w:val="0"/>
    <w:rPr>
      <w:rFonts w:ascii="Times New Roman" w:hAnsi="Times New Roman" w:eastAsia="宋体" w:cs="Times New Roman"/>
      <w:sz w:val="16"/>
      <w:szCs w:val="16"/>
    </w:rPr>
  </w:style>
  <w:style w:type="character" w:customStyle="1" w:styleId="79">
    <w:name w:val="日期 字符"/>
    <w:basedOn w:val="46"/>
    <w:link w:val="24"/>
    <w:autoRedefine/>
    <w:qFormat/>
    <w:uiPriority w:val="0"/>
    <w:rPr>
      <w:rFonts w:ascii="Times New Roman" w:hAnsi="Times New Roman" w:eastAsia="宋体" w:cs="Times New Roman"/>
      <w:sz w:val="24"/>
      <w:szCs w:val="20"/>
    </w:rPr>
  </w:style>
  <w:style w:type="paragraph" w:customStyle="1" w:styleId="80">
    <w:name w:val="样式1"/>
    <w:basedOn w:val="1"/>
    <w:link w:val="112"/>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81">
    <w:name w:val="p0 Char"/>
    <w:link w:val="82"/>
    <w:autoRedefine/>
    <w:qFormat/>
    <w:uiPriority w:val="0"/>
    <w:rPr>
      <w:rFonts w:eastAsia="宋体"/>
      <w:szCs w:val="21"/>
    </w:rPr>
  </w:style>
  <w:style w:type="paragraph" w:customStyle="1" w:styleId="82">
    <w:name w:val="p0"/>
    <w:basedOn w:val="1"/>
    <w:link w:val="81"/>
    <w:autoRedefine/>
    <w:qFormat/>
    <w:uiPriority w:val="0"/>
    <w:pPr>
      <w:widowControl/>
    </w:pPr>
    <w:rPr>
      <w:rFonts w:asciiTheme="minorHAnsi" w:hAnsiTheme="minorHAnsi" w:cstheme="minorBidi"/>
      <w:szCs w:val="21"/>
    </w:rPr>
  </w:style>
  <w:style w:type="paragraph" w:customStyle="1" w:styleId="83">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4">
    <w:name w:val="Char Char1 Char Char Char Char Char1 Char Char Char Char"/>
    <w:basedOn w:val="13"/>
    <w:autoRedefine/>
    <w:qFormat/>
    <w:uiPriority w:val="0"/>
    <w:rPr>
      <w:rFonts w:ascii="Tahoma" w:hAnsi="Tahoma"/>
    </w:rPr>
  </w:style>
  <w:style w:type="character" w:customStyle="1" w:styleId="85">
    <w:name w:val="文档结构图 字符1"/>
    <w:basedOn w:val="46"/>
    <w:link w:val="13"/>
    <w:autoRedefine/>
    <w:semiHidden/>
    <w:qFormat/>
    <w:uiPriority w:val="0"/>
    <w:rPr>
      <w:rFonts w:ascii="Times New Roman" w:hAnsi="Times New Roman" w:eastAsia="宋体" w:cs="Times New Roman"/>
      <w:szCs w:val="24"/>
      <w:shd w:val="clear" w:color="auto" w:fill="000080"/>
    </w:rPr>
  </w:style>
  <w:style w:type="paragraph" w:customStyle="1" w:styleId="8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7">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9">
    <w:name w:val="1"/>
    <w:basedOn w:val="1"/>
    <w:autoRedefine/>
    <w:qFormat/>
    <w:uiPriority w:val="0"/>
    <w:pPr>
      <w:spacing w:afterLines="50" w:line="360" w:lineRule="auto"/>
    </w:pPr>
    <w:rPr>
      <w:rFonts w:ascii="宋体" w:hAnsi="宋体"/>
      <w:b/>
      <w:sz w:val="30"/>
      <w:szCs w:val="21"/>
    </w:rPr>
  </w:style>
  <w:style w:type="paragraph" w:customStyle="1" w:styleId="90">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91">
    <w:name w:val="标题 1 +"/>
    <w:basedOn w:val="2"/>
    <w:next w:val="1"/>
    <w:autoRedefine/>
    <w:qFormat/>
    <w:uiPriority w:val="0"/>
    <w:pPr>
      <w:keepLines/>
      <w:spacing w:line="600" w:lineRule="auto"/>
    </w:pPr>
    <w:rPr>
      <w:rFonts w:eastAsia="黑体"/>
      <w:kern w:val="0"/>
      <w:sz w:val="32"/>
      <w:szCs w:val="32"/>
    </w:rPr>
  </w:style>
  <w:style w:type="character" w:customStyle="1" w:styleId="92">
    <w:name w:val="批注主题 字符1"/>
    <w:basedOn w:val="69"/>
    <w:link w:val="42"/>
    <w:autoRedefine/>
    <w:qFormat/>
    <w:uiPriority w:val="0"/>
    <w:rPr>
      <w:rFonts w:ascii="Times New Roman" w:hAnsi="Times New Roman" w:eastAsia="宋体" w:cs="Times New Roman"/>
      <w:b/>
      <w:bCs/>
      <w:szCs w:val="24"/>
    </w:rPr>
  </w:style>
  <w:style w:type="character" w:customStyle="1" w:styleId="93">
    <w:name w:val="批注框文本 字符1"/>
    <w:basedOn w:val="46"/>
    <w:link w:val="27"/>
    <w:autoRedefine/>
    <w:qFormat/>
    <w:uiPriority w:val="0"/>
    <w:rPr>
      <w:rFonts w:ascii="Times New Roman" w:hAnsi="Times New Roman" w:eastAsia="宋体" w:cs="Times New Roman"/>
      <w:sz w:val="18"/>
      <w:szCs w:val="18"/>
    </w:rPr>
  </w:style>
  <w:style w:type="paragraph" w:customStyle="1" w:styleId="94">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 w:val="0"/>
      <w:bCs w:val="0"/>
      <w:sz w:val="28"/>
      <w:szCs w:val="20"/>
    </w:rPr>
  </w:style>
  <w:style w:type="paragraph" w:customStyle="1" w:styleId="95">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6">
    <w:name w:val="Char1 Char Char Char 字元 Char Char 字元 Char 字元 Char1 Char Char Char"/>
    <w:basedOn w:val="1"/>
    <w:autoRedefine/>
    <w:qFormat/>
    <w:uiPriority w:val="0"/>
    <w:rPr>
      <w:szCs w:val="20"/>
    </w:rPr>
  </w:style>
  <w:style w:type="paragraph" w:customStyle="1" w:styleId="97">
    <w:name w:val="p16"/>
    <w:basedOn w:val="1"/>
    <w:autoRedefine/>
    <w:qFormat/>
    <w:uiPriority w:val="0"/>
    <w:pPr>
      <w:widowControl/>
      <w:jc w:val="left"/>
    </w:pPr>
    <w:rPr>
      <w:kern w:val="0"/>
      <w:szCs w:val="21"/>
    </w:rPr>
  </w:style>
  <w:style w:type="paragraph" w:customStyle="1" w:styleId="98">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00">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1">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02">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3">
    <w:name w:val="List Paragraph"/>
    <w:basedOn w:val="1"/>
    <w:link w:val="109"/>
    <w:autoRedefine/>
    <w:qFormat/>
    <w:uiPriority w:val="34"/>
    <w:pPr>
      <w:ind w:firstLine="420" w:firstLineChars="200"/>
    </w:pPr>
  </w:style>
  <w:style w:type="character" w:customStyle="1" w:styleId="104">
    <w:name w:val="fontstyle01"/>
    <w:basedOn w:val="46"/>
    <w:autoRedefine/>
    <w:qFormat/>
    <w:uiPriority w:val="0"/>
    <w:rPr>
      <w:rFonts w:hint="eastAsia" w:ascii="宋体" w:hAnsi="宋体" w:eastAsia="宋体"/>
      <w:color w:val="000000"/>
      <w:sz w:val="24"/>
      <w:szCs w:val="24"/>
    </w:rPr>
  </w:style>
  <w:style w:type="character" w:customStyle="1" w:styleId="105">
    <w:name w:val="fontstyle11"/>
    <w:basedOn w:val="46"/>
    <w:autoRedefine/>
    <w:qFormat/>
    <w:uiPriority w:val="0"/>
    <w:rPr>
      <w:rFonts w:hint="default" w:ascii="TimesNewRomanPSMT" w:hAnsi="TimesNewRomanPSMT"/>
      <w:color w:val="000000"/>
      <w:sz w:val="24"/>
      <w:szCs w:val="24"/>
    </w:rPr>
  </w:style>
  <w:style w:type="paragraph" w:customStyle="1" w:styleId="106">
    <w:name w:val="TOC 标题1"/>
    <w:basedOn w:val="2"/>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7">
    <w:name w:val="fontstyle21"/>
    <w:basedOn w:val="46"/>
    <w:autoRedefine/>
    <w:qFormat/>
    <w:uiPriority w:val="0"/>
    <w:rPr>
      <w:rFonts w:hint="eastAsia" w:ascii="宋体" w:hAnsi="宋体" w:eastAsia="宋体"/>
      <w:color w:val="993300"/>
      <w:sz w:val="24"/>
      <w:szCs w:val="24"/>
    </w:rPr>
  </w:style>
  <w:style w:type="character" w:customStyle="1" w:styleId="108">
    <w:name w:val="fontstyle31"/>
    <w:basedOn w:val="46"/>
    <w:autoRedefine/>
    <w:qFormat/>
    <w:uiPriority w:val="0"/>
    <w:rPr>
      <w:rFonts w:hint="default" w:ascii="Arial" w:hAnsi="Arial" w:cs="Arial"/>
      <w:color w:val="993300"/>
      <w:sz w:val="24"/>
      <w:szCs w:val="24"/>
    </w:rPr>
  </w:style>
  <w:style w:type="character" w:customStyle="1" w:styleId="109">
    <w:name w:val="列表段落 字符"/>
    <w:link w:val="103"/>
    <w:autoRedefine/>
    <w:qFormat/>
    <w:uiPriority w:val="0"/>
    <w:rPr>
      <w:rFonts w:ascii="Times New Roman" w:hAnsi="Times New Roman" w:eastAsia="宋体" w:cs="Times New Roman"/>
      <w:szCs w:val="24"/>
    </w:rPr>
  </w:style>
  <w:style w:type="character" w:customStyle="1" w:styleId="110">
    <w:name w:val="标题 字符1"/>
    <w:link w:val="41"/>
    <w:autoRedefine/>
    <w:qFormat/>
    <w:uiPriority w:val="0"/>
    <w:rPr>
      <w:b/>
      <w:sz w:val="32"/>
    </w:rPr>
  </w:style>
  <w:style w:type="character" w:customStyle="1" w:styleId="111">
    <w:name w:val="标题 Char1"/>
    <w:basedOn w:val="46"/>
    <w:autoRedefine/>
    <w:qFormat/>
    <w:uiPriority w:val="10"/>
    <w:rPr>
      <w:rFonts w:eastAsia="宋体" w:asciiTheme="majorHAnsi" w:hAnsiTheme="majorHAnsi" w:cstheme="majorBidi"/>
      <w:b/>
      <w:bCs/>
      <w:sz w:val="32"/>
      <w:szCs w:val="32"/>
    </w:rPr>
  </w:style>
  <w:style w:type="character" w:customStyle="1" w:styleId="112">
    <w:name w:val="样式1 Char Char"/>
    <w:link w:val="80"/>
    <w:autoRedefine/>
    <w:qFormat/>
    <w:uiPriority w:val="0"/>
    <w:rPr>
      <w:rFonts w:ascii="宋体" w:hAnsi="宋体" w:eastAsia="宋体" w:cs="Times New Roman"/>
      <w:kern w:val="0"/>
      <w:szCs w:val="21"/>
    </w:rPr>
  </w:style>
  <w:style w:type="character" w:customStyle="1" w:styleId="113">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4">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5">
    <w:name w:val="批注文字 字符"/>
    <w:autoRedefine/>
    <w:qFormat/>
    <w:uiPriority w:val="0"/>
    <w:rPr>
      <w:sz w:val="24"/>
      <w:szCs w:val="24"/>
    </w:rPr>
  </w:style>
  <w:style w:type="character" w:customStyle="1" w:styleId="116">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7">
    <w:name w:val="列出段落1"/>
    <w:basedOn w:val="1"/>
    <w:autoRedefine/>
    <w:qFormat/>
    <w:uiPriority w:val="0"/>
    <w:pPr>
      <w:ind w:firstLine="420" w:firstLineChars="200"/>
    </w:pPr>
    <w:rPr>
      <w:kern w:val="0"/>
      <w:sz w:val="24"/>
    </w:rPr>
  </w:style>
  <w:style w:type="character" w:customStyle="1" w:styleId="118">
    <w:name w:val="标题 1 字符"/>
    <w:autoRedefine/>
    <w:qFormat/>
    <w:uiPriority w:val="0"/>
    <w:rPr>
      <w:b/>
      <w:bCs/>
      <w:kern w:val="44"/>
      <w:sz w:val="44"/>
      <w:szCs w:val="44"/>
    </w:rPr>
  </w:style>
  <w:style w:type="character" w:customStyle="1" w:styleId="119">
    <w:name w:val="标题 2 字符"/>
    <w:autoRedefine/>
    <w:qFormat/>
    <w:uiPriority w:val="9"/>
    <w:rPr>
      <w:rFonts w:ascii="Arial" w:hAnsi="Arial" w:eastAsia="黑体"/>
      <w:b/>
      <w:sz w:val="32"/>
    </w:rPr>
  </w:style>
  <w:style w:type="character" w:customStyle="1" w:styleId="120">
    <w:name w:val="标题 4 字符"/>
    <w:autoRedefine/>
    <w:qFormat/>
    <w:uiPriority w:val="0"/>
    <w:rPr>
      <w:rFonts w:ascii="Arial" w:hAnsi="Arial" w:eastAsia="黑体" w:cs="Arial"/>
      <w:b/>
      <w:bCs/>
      <w:kern w:val="2"/>
      <w:sz w:val="28"/>
      <w:szCs w:val="28"/>
    </w:rPr>
  </w:style>
  <w:style w:type="character" w:customStyle="1" w:styleId="121">
    <w:name w:val="文档结构图 字符"/>
    <w:autoRedefine/>
    <w:semiHidden/>
    <w:qFormat/>
    <w:uiPriority w:val="0"/>
    <w:rPr>
      <w:sz w:val="24"/>
      <w:szCs w:val="24"/>
      <w:shd w:val="clear" w:color="auto" w:fill="000080"/>
    </w:rPr>
  </w:style>
  <w:style w:type="character" w:customStyle="1" w:styleId="122">
    <w:name w:val="正文文本 字符"/>
    <w:autoRedefine/>
    <w:qFormat/>
    <w:uiPriority w:val="99"/>
    <w:rPr>
      <w:sz w:val="21"/>
      <w:szCs w:val="24"/>
    </w:rPr>
  </w:style>
  <w:style w:type="character" w:customStyle="1" w:styleId="123">
    <w:name w:val="正文文本缩进 字符"/>
    <w:autoRedefine/>
    <w:qFormat/>
    <w:uiPriority w:val="0"/>
    <w:rPr>
      <w:sz w:val="24"/>
      <w:szCs w:val="24"/>
    </w:rPr>
  </w:style>
  <w:style w:type="character" w:customStyle="1" w:styleId="124">
    <w:name w:val="正文文本缩进 2 字符"/>
    <w:autoRedefine/>
    <w:qFormat/>
    <w:uiPriority w:val="0"/>
    <w:rPr>
      <w:sz w:val="24"/>
      <w:szCs w:val="24"/>
    </w:rPr>
  </w:style>
  <w:style w:type="character" w:customStyle="1" w:styleId="125">
    <w:name w:val="批注框文本 字符"/>
    <w:autoRedefine/>
    <w:qFormat/>
    <w:locked/>
    <w:uiPriority w:val="0"/>
    <w:rPr>
      <w:rFonts w:cs="Times New Roman"/>
      <w:sz w:val="18"/>
      <w:szCs w:val="18"/>
    </w:rPr>
  </w:style>
  <w:style w:type="character" w:customStyle="1" w:styleId="126">
    <w:name w:val="页脚 字符"/>
    <w:autoRedefine/>
    <w:qFormat/>
    <w:locked/>
    <w:uiPriority w:val="99"/>
    <w:rPr>
      <w:rFonts w:cs="Times New Roman"/>
      <w:sz w:val="18"/>
      <w:szCs w:val="18"/>
    </w:rPr>
  </w:style>
  <w:style w:type="character" w:customStyle="1" w:styleId="127">
    <w:name w:val="页眉 字符"/>
    <w:autoRedefine/>
    <w:qFormat/>
    <w:locked/>
    <w:uiPriority w:val="0"/>
    <w:rPr>
      <w:rFonts w:cs="Times New Roman"/>
      <w:sz w:val="18"/>
      <w:szCs w:val="18"/>
    </w:rPr>
  </w:style>
  <w:style w:type="paragraph" w:customStyle="1" w:styleId="128">
    <w:name w:val="_Style 122"/>
    <w:basedOn w:val="1"/>
    <w:next w:val="1"/>
    <w:autoRedefine/>
    <w:qFormat/>
    <w:uiPriority w:val="39"/>
    <w:pPr>
      <w:ind w:left="420" w:leftChars="200"/>
    </w:pPr>
    <w:rPr>
      <w:kern w:val="0"/>
      <w:sz w:val="24"/>
    </w:rPr>
  </w:style>
  <w:style w:type="character" w:customStyle="1" w:styleId="129">
    <w:name w:val="正文文本 2 字符"/>
    <w:autoRedefine/>
    <w:qFormat/>
    <w:uiPriority w:val="0"/>
    <w:rPr>
      <w:sz w:val="21"/>
      <w:szCs w:val="24"/>
    </w:rPr>
  </w:style>
  <w:style w:type="character" w:customStyle="1" w:styleId="130">
    <w:name w:val="标题 字符"/>
    <w:autoRedefine/>
    <w:qFormat/>
    <w:uiPriority w:val="0"/>
    <w:rPr>
      <w:rFonts w:ascii="Calibri Light" w:hAnsi="Calibri Light"/>
      <w:b/>
      <w:bCs/>
      <w:kern w:val="2"/>
      <w:sz w:val="32"/>
      <w:szCs w:val="32"/>
    </w:rPr>
  </w:style>
  <w:style w:type="character" w:customStyle="1" w:styleId="131">
    <w:name w:val="apple-style-span"/>
    <w:autoRedefine/>
    <w:qFormat/>
    <w:uiPriority w:val="0"/>
  </w:style>
  <w:style w:type="character" w:customStyle="1" w:styleId="132">
    <w:name w:val="样式 (中文) 仿宋_GB2312 三号"/>
    <w:autoRedefine/>
    <w:qFormat/>
    <w:uiPriority w:val="0"/>
    <w:rPr>
      <w:rFonts w:hint="eastAsia" w:ascii="仿宋_GB2312" w:eastAsia="仿宋_GB2312"/>
      <w:sz w:val="32"/>
    </w:rPr>
  </w:style>
  <w:style w:type="character" w:customStyle="1" w:styleId="133">
    <w:name w:val="1111111199999 Char"/>
    <w:link w:val="134"/>
    <w:autoRedefine/>
    <w:qFormat/>
    <w:locked/>
    <w:uiPriority w:val="0"/>
    <w:rPr>
      <w:sz w:val="21"/>
    </w:rPr>
  </w:style>
  <w:style w:type="paragraph" w:customStyle="1" w:styleId="134">
    <w:name w:val="1111111199999"/>
    <w:basedOn w:val="1"/>
    <w:link w:val="133"/>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5">
    <w:name w:val="Char Char3"/>
    <w:autoRedefine/>
    <w:qFormat/>
    <w:locked/>
    <w:uiPriority w:val="0"/>
    <w:rPr>
      <w:rFonts w:ascii="宋体" w:hAnsi="宋体" w:eastAsia="宋体"/>
      <w:sz w:val="18"/>
      <w:szCs w:val="18"/>
      <w:lang w:val="en-US" w:eastAsia="zh-CN" w:bidi="ar-SA"/>
    </w:rPr>
  </w:style>
  <w:style w:type="character" w:customStyle="1" w:styleId="136">
    <w:name w:val="Char Char4"/>
    <w:autoRedefine/>
    <w:qFormat/>
    <w:locked/>
    <w:uiPriority w:val="0"/>
    <w:rPr>
      <w:rFonts w:ascii="宋体" w:hAnsi="Courier New" w:eastAsia="宋体"/>
      <w:kern w:val="2"/>
      <w:sz w:val="21"/>
      <w:lang w:bidi="ar-SA"/>
    </w:rPr>
  </w:style>
  <w:style w:type="character" w:customStyle="1" w:styleId="137">
    <w:name w:val="List Paragraph Char"/>
    <w:link w:val="138"/>
    <w:autoRedefine/>
    <w:qFormat/>
    <w:locked/>
    <w:uiPriority w:val="0"/>
    <w:rPr>
      <w:rFonts w:ascii="Calibri" w:hAnsi="Calibri"/>
      <w:sz w:val="22"/>
      <w:lang w:eastAsia="en-US"/>
    </w:rPr>
  </w:style>
  <w:style w:type="paragraph" w:customStyle="1" w:styleId="138">
    <w:name w:val="列出段落111"/>
    <w:basedOn w:val="1"/>
    <w:link w:val="137"/>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9">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40">
    <w:name w:val="Char Char Char Char"/>
    <w:basedOn w:val="1"/>
    <w:autoRedefine/>
    <w:qFormat/>
    <w:uiPriority w:val="0"/>
    <w:rPr>
      <w:sz w:val="24"/>
      <w:szCs w:val="36"/>
    </w:rPr>
  </w:style>
  <w:style w:type="paragraph" w:customStyle="1" w:styleId="141">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42">
    <w:name w:val="样式2"/>
    <w:basedOn w:val="2"/>
    <w:autoRedefine/>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3">
    <w:name w:val="样式3"/>
    <w:basedOn w:val="2"/>
    <w:autoRedefine/>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4">
    <w:name w:val="批注主题 字符"/>
    <w:autoRedefine/>
    <w:qFormat/>
    <w:uiPriority w:val="0"/>
    <w:rPr>
      <w:b/>
      <w:bCs/>
      <w:sz w:val="24"/>
      <w:szCs w:val="24"/>
    </w:rPr>
  </w:style>
  <w:style w:type="character" w:customStyle="1" w:styleId="145">
    <w:name w:val="副标题 Char"/>
    <w:basedOn w:val="46"/>
    <w:autoRedefine/>
    <w:qFormat/>
    <w:uiPriority w:val="11"/>
    <w:rPr>
      <w:rFonts w:eastAsia="宋体" w:asciiTheme="majorHAnsi" w:hAnsiTheme="majorHAnsi" w:cstheme="majorBidi"/>
      <w:b/>
      <w:bCs/>
      <w:kern w:val="28"/>
      <w:sz w:val="32"/>
      <w:szCs w:val="32"/>
    </w:rPr>
  </w:style>
  <w:style w:type="character" w:customStyle="1" w:styleId="146">
    <w:name w:val="副标题 字符"/>
    <w:link w:val="32"/>
    <w:autoRedefine/>
    <w:qFormat/>
    <w:uiPriority w:val="0"/>
    <w:rPr>
      <w:rFonts w:ascii="等线 Light" w:hAnsi="等线 Light" w:eastAsia="宋体" w:cs="Times New Roman"/>
      <w:b/>
      <w:bCs/>
      <w:kern w:val="28"/>
      <w:sz w:val="32"/>
      <w:szCs w:val="32"/>
    </w:rPr>
  </w:style>
  <w:style w:type="character" w:customStyle="1" w:styleId="147">
    <w:name w:val="未处理的提及1"/>
    <w:basedOn w:val="46"/>
    <w:autoRedefine/>
    <w:semiHidden/>
    <w:unhideWhenUsed/>
    <w:qFormat/>
    <w:uiPriority w:val="99"/>
    <w:rPr>
      <w:color w:val="605E5C"/>
      <w:shd w:val="clear" w:color="auto" w:fill="E1DFDD"/>
    </w:rPr>
  </w:style>
  <w:style w:type="character" w:customStyle="1" w:styleId="148">
    <w:name w:val="未处理的提及2"/>
    <w:basedOn w:val="46"/>
    <w:autoRedefine/>
    <w:semiHidden/>
    <w:unhideWhenUsed/>
    <w:qFormat/>
    <w:uiPriority w:val="99"/>
    <w:rPr>
      <w:color w:val="605E5C"/>
      <w:shd w:val="clear" w:color="auto" w:fill="E1DFDD"/>
    </w:rPr>
  </w:style>
  <w:style w:type="paragraph" w:customStyle="1" w:styleId="149">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50">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1">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52">
    <w:name w:val="未处理的提及3"/>
    <w:basedOn w:val="46"/>
    <w:autoRedefine/>
    <w:semiHidden/>
    <w:unhideWhenUsed/>
    <w:qFormat/>
    <w:uiPriority w:val="99"/>
    <w:rPr>
      <w:color w:val="605E5C"/>
      <w:shd w:val="clear" w:color="auto" w:fill="E1DFDD"/>
    </w:rPr>
  </w:style>
  <w:style w:type="paragraph" w:customStyle="1" w:styleId="153">
    <w:name w:val="TOC Heading"/>
    <w:basedOn w:val="2"/>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154">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5">
    <w:name w:val="pf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6">
    <w:name w:val="cf01"/>
    <w:basedOn w:val="46"/>
    <w:autoRedefine/>
    <w:qFormat/>
    <w:uiPriority w:val="0"/>
    <w:rPr>
      <w:rFonts w:hint="eastAsia" w:ascii="Microsoft YaHei UI" w:hAnsi="Microsoft YaHei UI" w:eastAsia="Microsoft YaHei UI"/>
      <w:sz w:val="24"/>
      <w:szCs w:val="24"/>
    </w:rPr>
  </w:style>
  <w:style w:type="character" w:customStyle="1" w:styleId="157">
    <w:name w:val="未处理的提及4"/>
    <w:basedOn w:val="46"/>
    <w:autoRedefine/>
    <w:semiHidden/>
    <w:unhideWhenUsed/>
    <w:qFormat/>
    <w:uiPriority w:val="99"/>
    <w:rPr>
      <w:color w:val="605E5C"/>
      <w:shd w:val="clear" w:color="auto" w:fill="E1DFDD"/>
    </w:rPr>
  </w:style>
  <w:style w:type="character" w:customStyle="1" w:styleId="158">
    <w:name w:val="Unresolved Mention"/>
    <w:basedOn w:val="46"/>
    <w:autoRedefine/>
    <w:semiHidden/>
    <w:unhideWhenUsed/>
    <w:qFormat/>
    <w:uiPriority w:val="99"/>
    <w:rPr>
      <w:color w:val="605E5C"/>
      <w:shd w:val="clear" w:color="auto" w:fill="E1DFDD"/>
    </w:rPr>
  </w:style>
  <w:style w:type="paragraph" w:customStyle="1" w:styleId="159">
    <w:name w:val="_Style 1"/>
    <w:basedOn w:val="1"/>
    <w:autoRedefine/>
    <w:qFormat/>
    <w:uiPriority w:val="0"/>
    <w:pPr>
      <w:ind w:firstLine="420" w:firstLineChars="200"/>
    </w:pPr>
    <w:rPr>
      <w:rFonts w:ascii="Calibri" w:hAnsi="Calibri"/>
      <w:kern w:val="2"/>
      <w:sz w:val="21"/>
      <w:szCs w:val="22"/>
    </w:rPr>
  </w:style>
  <w:style w:type="paragraph" w:customStyle="1" w:styleId="160">
    <w:name w:val="副标题【正】"/>
    <w:basedOn w:val="1"/>
    <w:next w:val="1"/>
    <w:autoRedefine/>
    <w:qFormat/>
    <w:uiPriority w:val="0"/>
    <w:pPr>
      <w:spacing w:line="360" w:lineRule="auto"/>
      <w:ind w:firstLine="0" w:firstLineChars="0"/>
      <w:jc w:val="center"/>
    </w:pPr>
    <w:rPr>
      <w:b/>
      <w:sz w:val="32"/>
    </w:rPr>
  </w:style>
  <w:style w:type="paragraph" w:customStyle="1" w:styleId="161">
    <w:name w:val="无缩进15"/>
    <w:basedOn w:val="1"/>
    <w:next w:val="1"/>
    <w:autoRedefine/>
    <w:qFormat/>
    <w:uiPriority w:val="0"/>
    <w:pPr>
      <w:spacing w:line="300" w:lineRule="exact"/>
      <w:ind w:firstLine="0" w:firstLineChars="0"/>
    </w:pPr>
  </w:style>
  <w:style w:type="paragraph" w:customStyle="1" w:styleId="162">
    <w:name w:val="表头（表下）"/>
    <w:basedOn w:val="1"/>
    <w:next w:val="1"/>
    <w:autoRedefine/>
    <w:qFormat/>
    <w:uiPriority w:val="0"/>
    <w:pPr>
      <w:spacing w:line="300" w:lineRule="exact"/>
      <w:ind w:firstLine="0" w:firstLineChars="0"/>
      <w:jc w:val="center"/>
    </w:pPr>
    <w:rPr>
      <w:b/>
    </w:rPr>
  </w:style>
  <w:style w:type="paragraph" w:customStyle="1" w:styleId="163">
    <w:name w:val="副标题（正）"/>
    <w:basedOn w:val="1"/>
    <w:next w:val="1"/>
    <w:autoRedefine/>
    <w:qFormat/>
    <w:uiPriority w:val="0"/>
    <w:pPr>
      <w:spacing w:line="360" w:lineRule="auto"/>
      <w:ind w:firstLine="0" w:firstLineChars="0"/>
      <w:jc w:val="center"/>
    </w:pPr>
    <w:rPr>
      <w:b/>
      <w:sz w:val="44"/>
    </w:rPr>
  </w:style>
  <w:style w:type="paragraph" w:customStyle="1" w:styleId="164">
    <w:name w:val="副标题（正））"/>
    <w:basedOn w:val="1"/>
    <w:next w:val="1"/>
    <w:autoRedefine/>
    <w:qFormat/>
    <w:uiPriority w:val="0"/>
    <w:pPr>
      <w:spacing w:line="360" w:lineRule="auto"/>
      <w:ind w:firstLine="0" w:firstLineChars="0"/>
      <w:jc w:val="center"/>
    </w:pPr>
    <w:rPr>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A28A4-1519-472B-80C7-6A3006DFCB4D}">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135</Pages>
  <Words>52075</Words>
  <Characters>53700</Characters>
  <Lines>237</Lines>
  <Paragraphs>66</Paragraphs>
  <TotalTime>7</TotalTime>
  <ScaleCrop>false</ScaleCrop>
  <LinksUpToDate>false</LinksUpToDate>
  <CharactersWithSpaces>58429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WPS_1591204460</cp:lastModifiedBy>
  <cp:lastPrinted>2024-03-19T03:29:00Z</cp:lastPrinted>
  <dcterms:modified xsi:type="dcterms:W3CDTF">2024-04-07T09:33:51Z</dcterms:modified>
  <cp:revision>3310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5A66706A50A84EF889DEFC6418D9FE68_13</vt:lpwstr>
  </property>
</Properties>
</file>